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ABC9" w14:textId="2EAD640F" w:rsidR="00C55CCF" w:rsidRPr="00B33666" w:rsidRDefault="00513A40" w:rsidP="00C55CCF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28"/>
        </w:rPr>
      </w:pPr>
      <w:r w:rsidRPr="00B33666">
        <w:rPr>
          <w:rFonts w:ascii="Times New Roman" w:eastAsia="標楷體" w:hAnsi="Times New Roman" w:cs="Times New Roman" w:hint="eastAsia"/>
          <w:b/>
          <w:bCs/>
          <w:sz w:val="40"/>
          <w:szCs w:val="28"/>
        </w:rPr>
        <w:t>壽險業</w:t>
      </w:r>
      <w:r w:rsidR="00264F35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長</w:t>
      </w:r>
      <w:r w:rsidR="00670150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年</w:t>
      </w:r>
      <w:r w:rsidR="00264F35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期健康保險保單年度損失率</w:t>
      </w:r>
    </w:p>
    <w:p w14:paraId="43872113" w14:textId="77777777" w:rsidR="0049599E" w:rsidRPr="00B33666" w:rsidRDefault="0049599E" w:rsidP="00D86181">
      <w:pPr>
        <w:overflowPunct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【損失率計算基礎】</w:t>
      </w:r>
    </w:p>
    <w:p w14:paraId="320CB4B0" w14:textId="13035CCA" w:rsidR="00D128BC" w:rsidRPr="00B33666" w:rsidRDefault="000A475F" w:rsidP="00B27569">
      <w:pPr>
        <w:overflowPunct w:val="0"/>
        <w:snapToGrid w:val="0"/>
        <w:spacing w:beforeLines="50" w:before="180" w:line="6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bookmarkStart w:id="0" w:name="_Hlk107394477"/>
      <w:r w:rsidRPr="00B33666">
        <w:rPr>
          <w:rFonts w:ascii="Times New Roman" w:eastAsia="標楷體" w:hAnsi="Times New Roman" w:cs="Times New Roman"/>
          <w:sz w:val="28"/>
        </w:rPr>
        <w:t>一般</w:t>
      </w:r>
      <w:r w:rsidR="008375C1" w:rsidRPr="00B33666">
        <w:rPr>
          <w:rFonts w:ascii="Times New Roman" w:eastAsia="標楷體" w:hAnsi="Times New Roman" w:cs="Times New Roman"/>
          <w:sz w:val="28"/>
        </w:rPr>
        <w:t>商業</w:t>
      </w:r>
      <w:r w:rsidR="00677E22" w:rsidRPr="00B33666">
        <w:rPr>
          <w:rFonts w:ascii="Times New Roman" w:eastAsia="標楷體" w:hAnsi="Times New Roman" w:cs="Times New Roman"/>
          <w:sz w:val="28"/>
        </w:rPr>
        <w:t>保險費包括兩部分，其一為「純保險費」，係保險事故發生時</w:t>
      </w:r>
      <w:r w:rsidR="008375C1" w:rsidRPr="00B33666">
        <w:rPr>
          <w:rFonts w:ascii="Times New Roman" w:eastAsia="標楷體" w:hAnsi="Times New Roman" w:cs="Times New Roman"/>
          <w:sz w:val="28"/>
        </w:rPr>
        <w:t>，</w:t>
      </w:r>
      <w:r w:rsidR="004D1638" w:rsidRPr="00B33666">
        <w:rPr>
          <w:rFonts w:ascii="Times New Roman" w:eastAsia="標楷體" w:hAnsi="Times New Roman" w:cs="Times New Roman"/>
          <w:sz w:val="28"/>
        </w:rPr>
        <w:t>保險公司</w:t>
      </w:r>
      <w:r w:rsidR="003A52DC" w:rsidRPr="00B33666">
        <w:rPr>
          <w:rFonts w:ascii="Times New Roman" w:eastAsia="標楷體" w:hAnsi="Times New Roman" w:cs="Times New Roman"/>
          <w:sz w:val="28"/>
        </w:rPr>
        <w:t>作為</w:t>
      </w:r>
      <w:r w:rsidR="008545BF" w:rsidRPr="00B33666">
        <w:rPr>
          <w:rFonts w:ascii="Times New Roman" w:eastAsia="標楷體" w:hAnsi="Times New Roman" w:cs="Times New Roman"/>
          <w:sz w:val="28"/>
        </w:rPr>
        <w:t>理賠</w:t>
      </w:r>
      <w:r w:rsidR="003A52DC" w:rsidRPr="00B33666">
        <w:rPr>
          <w:rFonts w:ascii="Times New Roman" w:eastAsia="標楷體" w:hAnsi="Times New Roman" w:cs="Times New Roman"/>
          <w:sz w:val="28"/>
        </w:rPr>
        <w:t>給付</w:t>
      </w:r>
      <w:r w:rsidR="00D128BC" w:rsidRPr="00B33666">
        <w:rPr>
          <w:rFonts w:ascii="Times New Roman" w:eastAsia="標楷體" w:hAnsi="Times New Roman" w:cs="Times New Roman"/>
          <w:sz w:val="28"/>
        </w:rPr>
        <w:t>之用，</w:t>
      </w:r>
      <w:r w:rsidR="00677E22" w:rsidRPr="00B33666">
        <w:rPr>
          <w:rFonts w:ascii="Times New Roman" w:eastAsia="標楷體" w:hAnsi="Times New Roman" w:cs="Times New Roman"/>
          <w:sz w:val="28"/>
        </w:rPr>
        <w:t>另一為「附加費用」，</w:t>
      </w:r>
      <w:r w:rsidR="00D128BC" w:rsidRPr="00B33666">
        <w:rPr>
          <w:rFonts w:ascii="Times New Roman" w:eastAsia="標楷體" w:hAnsi="Times New Roman" w:cs="Times New Roman"/>
          <w:sz w:val="28"/>
        </w:rPr>
        <w:t>作為支持公司</w:t>
      </w:r>
      <w:r w:rsidR="004C4F04" w:rsidRPr="00B33666">
        <w:rPr>
          <w:rFonts w:ascii="Times New Roman" w:eastAsia="標楷體" w:hAnsi="Times New Roman" w:cs="Times New Roman"/>
          <w:sz w:val="28"/>
        </w:rPr>
        <w:t>一般</w:t>
      </w:r>
      <w:r w:rsidR="00D128BC" w:rsidRPr="00B33666">
        <w:rPr>
          <w:rFonts w:ascii="Times New Roman" w:eastAsia="標楷體" w:hAnsi="Times New Roman" w:cs="Times New Roman"/>
          <w:sz w:val="28"/>
        </w:rPr>
        <w:t>行政營運之用，兩者</w:t>
      </w:r>
      <w:r w:rsidR="00677E22" w:rsidRPr="00B33666">
        <w:rPr>
          <w:rFonts w:ascii="Times New Roman" w:eastAsia="標楷體" w:hAnsi="Times New Roman" w:cs="Times New Roman"/>
          <w:sz w:val="28"/>
        </w:rPr>
        <w:t>合計即為保險公司</w:t>
      </w:r>
      <w:r w:rsidR="00434C8C" w:rsidRPr="00B33666">
        <w:rPr>
          <w:rFonts w:ascii="Times New Roman" w:eastAsia="標楷體" w:hAnsi="Times New Roman" w:cs="Times New Roman"/>
          <w:sz w:val="28"/>
        </w:rPr>
        <w:t>市場</w:t>
      </w:r>
      <w:r w:rsidR="00677E22" w:rsidRPr="00B33666">
        <w:rPr>
          <w:rFonts w:ascii="Times New Roman" w:eastAsia="標楷體" w:hAnsi="Times New Roman" w:cs="Times New Roman"/>
          <w:sz w:val="28"/>
        </w:rPr>
        <w:t>銷售商品時</w:t>
      </w:r>
      <w:r w:rsidR="00D128BC" w:rsidRPr="00B33666">
        <w:rPr>
          <w:rFonts w:ascii="Times New Roman" w:eastAsia="標楷體" w:hAnsi="Times New Roman" w:cs="Times New Roman"/>
          <w:sz w:val="28"/>
        </w:rPr>
        <w:t>向消費者</w:t>
      </w:r>
      <w:r w:rsidR="00677E22" w:rsidRPr="00B33666">
        <w:rPr>
          <w:rFonts w:ascii="Times New Roman" w:eastAsia="標楷體" w:hAnsi="Times New Roman" w:cs="Times New Roman"/>
          <w:sz w:val="28"/>
        </w:rPr>
        <w:t>所收取之保險費</w:t>
      </w:r>
      <w:r w:rsidR="00D128BC" w:rsidRPr="00B33666">
        <w:rPr>
          <w:rFonts w:ascii="Times New Roman" w:eastAsia="標楷體" w:hAnsi="Times New Roman" w:cs="Times New Roman"/>
          <w:sz w:val="28"/>
        </w:rPr>
        <w:t>。</w:t>
      </w:r>
      <w:bookmarkEnd w:id="0"/>
    </w:p>
    <w:p w14:paraId="1070DF98" w14:textId="199B6B20" w:rsidR="0002022C" w:rsidRPr="00B33666" w:rsidRDefault="00191834" w:rsidP="00191834">
      <w:pPr>
        <w:overflowPunct w:val="0"/>
        <w:snapToGrid w:val="0"/>
        <w:spacing w:beforeLines="50" w:before="180" w:line="600" w:lineRule="exact"/>
        <w:ind w:leftChars="200" w:left="480" w:firstLineChars="183" w:firstLine="513"/>
        <w:jc w:val="both"/>
        <w:rPr>
          <w:rFonts w:ascii="Times New Roman" w:eastAsia="標楷體" w:hAnsi="Times New Roman" w:cs="Times New Roman"/>
          <w:b/>
          <w:bCs/>
          <w:sz w:val="28"/>
        </w:rPr>
      </w:pPr>
      <w:r w:rsidRPr="00B33666">
        <w:rPr>
          <w:rFonts w:ascii="Times New Roman" w:eastAsia="標楷體" w:hAnsi="Times New Roman" w:cs="Times New Roman"/>
          <w:b/>
          <w:bCs/>
          <w:sz w:val="28"/>
        </w:rPr>
        <w:t>長年期健康保險損失率係反應純保</w:t>
      </w:r>
      <w:r w:rsidR="00B536BF" w:rsidRPr="00B33666">
        <w:rPr>
          <w:rFonts w:ascii="Times New Roman" w:eastAsia="標楷體" w:hAnsi="Times New Roman" w:cs="Times New Roman" w:hint="eastAsia"/>
          <w:b/>
          <w:bCs/>
          <w:sz w:val="28"/>
        </w:rPr>
        <w:t>險</w:t>
      </w:r>
      <w:r w:rsidRPr="00B33666">
        <w:rPr>
          <w:rFonts w:ascii="Times New Roman" w:eastAsia="標楷體" w:hAnsi="Times New Roman" w:cs="Times New Roman"/>
          <w:b/>
          <w:bCs/>
          <w:sz w:val="28"/>
        </w:rPr>
        <w:t>費是否足以支應保險理賠給付，通常以危險純保費為計算基礎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，其中</w:t>
      </w:r>
      <w:r w:rsidR="0002022C" w:rsidRPr="00B33666">
        <w:rPr>
          <w:rFonts w:ascii="Times New Roman" w:eastAsia="標楷體" w:hAnsi="Times New Roman" w:cs="Times New Roman"/>
          <w:sz w:val="28"/>
        </w:rPr>
        <w:t>危險</w:t>
      </w:r>
      <w:r w:rsidR="00B536BF" w:rsidRPr="00B33666">
        <w:rPr>
          <w:rFonts w:ascii="Times New Roman" w:eastAsia="標楷體" w:hAnsi="Times New Roman" w:cs="Times New Roman" w:hint="eastAsia"/>
          <w:sz w:val="28"/>
        </w:rPr>
        <w:t>純</w:t>
      </w:r>
      <w:r w:rsidR="0002022C" w:rsidRPr="00B33666">
        <w:rPr>
          <w:rFonts w:ascii="Times New Roman" w:eastAsia="標楷體" w:hAnsi="Times New Roman" w:cs="Times New Roman"/>
          <w:sz w:val="28"/>
        </w:rPr>
        <w:t>保費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又稱之為</w:t>
      </w:r>
      <w:r w:rsidR="0002022C" w:rsidRPr="00B33666">
        <w:rPr>
          <w:rFonts w:ascii="Times New Roman" w:eastAsia="標楷體" w:hAnsi="Times New Roman" w:cs="Times New Roman"/>
          <w:sz w:val="28"/>
        </w:rPr>
        <w:t>「自然保險費」，通常隨被保險人年齡增長而遞增，故消費者</w:t>
      </w:r>
      <w:proofErr w:type="gramStart"/>
      <w:r w:rsidR="0002022C" w:rsidRPr="00B33666">
        <w:rPr>
          <w:rFonts w:ascii="Times New Roman" w:eastAsia="標楷體" w:hAnsi="Times New Roman" w:cs="Times New Roman"/>
          <w:sz w:val="28"/>
        </w:rPr>
        <w:t>每年均需繳納</w:t>
      </w:r>
      <w:proofErr w:type="gramEnd"/>
      <w:r w:rsidR="0002022C" w:rsidRPr="00B33666">
        <w:rPr>
          <w:rFonts w:ascii="Times New Roman" w:eastAsia="標楷體" w:hAnsi="Times New Roman" w:cs="Times New Roman"/>
          <w:sz w:val="28"/>
        </w:rPr>
        <w:t>保險費且繳付金額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會</w:t>
      </w:r>
      <w:r w:rsidR="0002022C" w:rsidRPr="00B33666">
        <w:rPr>
          <w:rFonts w:ascii="Times New Roman" w:eastAsia="標楷體" w:hAnsi="Times New Roman" w:cs="Times New Roman"/>
          <w:sz w:val="28"/>
        </w:rPr>
        <w:t>逐年增加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直至</w:t>
      </w:r>
      <w:r w:rsidR="00B536BF" w:rsidRPr="00B33666">
        <w:rPr>
          <w:rFonts w:ascii="Times New Roman" w:eastAsia="標楷體" w:hAnsi="Times New Roman" w:cs="Times New Roman"/>
          <w:sz w:val="28"/>
        </w:rPr>
        <w:t>保險期間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結束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。</w:t>
      </w:r>
    </w:p>
    <w:p w14:paraId="42731BD6" w14:textId="71F29471" w:rsidR="00133427" w:rsidRPr="00B33666" w:rsidRDefault="0002022C" w:rsidP="0002022C">
      <w:pPr>
        <w:overflowPunct w:val="0"/>
        <w:snapToGrid w:val="0"/>
        <w:spacing w:beforeLines="50" w:before="180" w:line="6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 w:hint="eastAsia"/>
          <w:sz w:val="28"/>
        </w:rPr>
        <w:t>而</w:t>
      </w:r>
      <w:r w:rsidRPr="00B33666">
        <w:rPr>
          <w:rFonts w:ascii="Times New Roman" w:eastAsia="標楷體" w:hAnsi="Times New Roman" w:cs="Times New Roman"/>
          <w:sz w:val="28"/>
        </w:rPr>
        <w:t>目前市場銷售長年期健康保險大多為限期繳費，</w:t>
      </w:r>
      <w:proofErr w:type="gramStart"/>
      <w:r w:rsidRPr="00B33666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B33666">
        <w:rPr>
          <w:rFonts w:ascii="Times New Roman" w:eastAsia="標楷體" w:hAnsi="Times New Roman" w:cs="Times New Roman"/>
          <w:sz w:val="28"/>
        </w:rPr>
        <w:t>平準</w:t>
      </w:r>
      <w:r w:rsidRPr="00B33666">
        <w:rPr>
          <w:rFonts w:ascii="Times New Roman" w:eastAsia="標楷體" w:hAnsi="Times New Roman" w:cs="Times New Roman" w:hint="eastAsia"/>
          <w:sz w:val="28"/>
        </w:rPr>
        <w:t>總</w:t>
      </w:r>
      <w:r w:rsidRPr="00B33666">
        <w:rPr>
          <w:rFonts w:ascii="Times New Roman" w:eastAsia="標楷體" w:hAnsi="Times New Roman" w:cs="Times New Roman"/>
          <w:sz w:val="28"/>
        </w:rPr>
        <w:t>保</w:t>
      </w:r>
      <w:r w:rsidRPr="00B33666">
        <w:rPr>
          <w:rFonts w:ascii="Times New Roman" w:eastAsia="標楷體" w:hAnsi="Times New Roman" w:cs="Times New Roman" w:hint="eastAsia"/>
          <w:sz w:val="28"/>
        </w:rPr>
        <w:t>險</w:t>
      </w:r>
      <w:r w:rsidRPr="00B33666">
        <w:rPr>
          <w:rFonts w:ascii="Times New Roman" w:eastAsia="標楷體" w:hAnsi="Times New Roman" w:cs="Times New Roman"/>
          <w:sz w:val="28"/>
        </w:rPr>
        <w:t>費方式計收。「平</w:t>
      </w:r>
      <w:proofErr w:type="gramStart"/>
      <w:r w:rsidRPr="00B33666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3666">
        <w:rPr>
          <w:rFonts w:ascii="Times New Roman" w:eastAsia="標楷體" w:hAnsi="Times New Roman" w:cs="Times New Roman" w:hint="eastAsia"/>
          <w:sz w:val="28"/>
        </w:rPr>
        <w:t>總</w:t>
      </w:r>
      <w:r w:rsidRPr="00B33666">
        <w:rPr>
          <w:rFonts w:ascii="Times New Roman" w:eastAsia="標楷體" w:hAnsi="Times New Roman" w:cs="Times New Roman"/>
          <w:sz w:val="28"/>
        </w:rPr>
        <w:t>保險費」係將整個保險期間之</w:t>
      </w:r>
      <w:r w:rsidRPr="00B33666">
        <w:rPr>
          <w:rFonts w:ascii="Times New Roman" w:eastAsia="標楷體" w:hAnsi="Times New Roman" w:cs="Times New Roman" w:hint="eastAsia"/>
          <w:sz w:val="28"/>
        </w:rPr>
        <w:t>經營</w:t>
      </w:r>
      <w:r w:rsidRPr="00B33666">
        <w:rPr>
          <w:rFonts w:ascii="Times New Roman" w:eastAsia="標楷體" w:hAnsi="Times New Roman" w:cs="Times New Roman"/>
          <w:sz w:val="28"/>
        </w:rPr>
        <w:t>成本平均分攤於繳費期間內，使要保人每期負擔之保險費均相同，其目的在避免保險費因隨被保險人年齡而增加，致使要保人高齡時無法負擔過高之保險費，亦可免除被保險人於退休後，無工作收入時仍需繳納保險費之可能性。</w:t>
      </w:r>
      <w:r w:rsidR="00D16085" w:rsidRPr="00B33666">
        <w:rPr>
          <w:rFonts w:ascii="Times New Roman" w:eastAsia="標楷體" w:hAnsi="Times New Roman" w:cs="Times New Roman" w:hint="eastAsia"/>
          <w:sz w:val="28"/>
        </w:rPr>
        <w:t>倘</w:t>
      </w:r>
      <w:r w:rsidR="00FC64E4" w:rsidRPr="00B33666">
        <w:rPr>
          <w:rFonts w:ascii="Times New Roman" w:eastAsia="標楷體" w:hAnsi="Times New Roman" w:cs="Times New Roman"/>
          <w:sz w:val="28"/>
        </w:rPr>
        <w:t>以</w:t>
      </w:r>
      <w:r w:rsidR="00117860" w:rsidRPr="00B33666">
        <w:rPr>
          <w:rFonts w:ascii="Times New Roman" w:eastAsia="標楷體" w:hAnsi="Times New Roman" w:cs="Times New Roman"/>
          <w:sz w:val="28"/>
        </w:rPr>
        <w:t>「當年度</w:t>
      </w:r>
      <w:r w:rsidR="00097259" w:rsidRPr="00B33666">
        <w:rPr>
          <w:rFonts w:ascii="Times New Roman" w:eastAsia="標楷體" w:hAnsi="Times New Roman" w:cs="Times New Roman"/>
          <w:sz w:val="28"/>
        </w:rPr>
        <w:t>保險理賠給付</w:t>
      </w:r>
      <w:r w:rsidR="00117860" w:rsidRPr="00B33666">
        <w:rPr>
          <w:rFonts w:ascii="Times New Roman" w:eastAsia="標楷體" w:hAnsi="Times New Roman" w:cs="Times New Roman"/>
          <w:sz w:val="28"/>
        </w:rPr>
        <w:t>÷</w:t>
      </w:r>
      <w:r w:rsidR="00117860" w:rsidRPr="00B33666">
        <w:rPr>
          <w:rFonts w:ascii="Times New Roman" w:eastAsia="標楷體" w:hAnsi="Times New Roman" w:cs="Times New Roman"/>
          <w:sz w:val="28"/>
        </w:rPr>
        <w:t>當年度保</w:t>
      </w:r>
      <w:r w:rsidR="00AF479C" w:rsidRPr="00B33666">
        <w:rPr>
          <w:rFonts w:ascii="Times New Roman" w:eastAsia="標楷體" w:hAnsi="Times New Roman" w:cs="Times New Roman"/>
          <w:sz w:val="28"/>
        </w:rPr>
        <w:t>險</w:t>
      </w:r>
      <w:r w:rsidR="00117860" w:rsidRPr="00B33666">
        <w:rPr>
          <w:rFonts w:ascii="Times New Roman" w:eastAsia="標楷體" w:hAnsi="Times New Roman" w:cs="Times New Roman"/>
          <w:sz w:val="28"/>
        </w:rPr>
        <w:t>費收入」作</w:t>
      </w:r>
      <w:r w:rsidR="001C7AF4" w:rsidRPr="00B33666">
        <w:rPr>
          <w:rFonts w:ascii="Times New Roman" w:eastAsia="標楷體" w:hAnsi="Times New Roman" w:cs="Times New Roman"/>
          <w:sz w:val="28"/>
        </w:rPr>
        <w:t>為</w:t>
      </w:r>
      <w:r w:rsidR="00677E22" w:rsidRPr="00B33666">
        <w:rPr>
          <w:rFonts w:ascii="Times New Roman" w:eastAsia="標楷體" w:hAnsi="Times New Roman" w:cs="Times New Roman"/>
          <w:sz w:val="28"/>
        </w:rPr>
        <w:t>長年期健康保險損失率</w:t>
      </w:r>
      <w:r w:rsidR="000C702E" w:rsidRPr="00B33666">
        <w:rPr>
          <w:rFonts w:ascii="Times New Roman" w:eastAsia="標楷體" w:hAnsi="Times New Roman" w:cs="Times New Roman"/>
          <w:sz w:val="28"/>
        </w:rPr>
        <w:t>之計算</w:t>
      </w:r>
      <w:r w:rsidR="00172DE6" w:rsidRPr="00B33666">
        <w:rPr>
          <w:rFonts w:ascii="Times New Roman" w:eastAsia="標楷體" w:hAnsi="Times New Roman" w:cs="Times New Roman"/>
          <w:sz w:val="28"/>
        </w:rPr>
        <w:t>公式</w:t>
      </w:r>
      <w:r w:rsidR="00677E22" w:rsidRPr="00B33666">
        <w:rPr>
          <w:rFonts w:ascii="Times New Roman" w:eastAsia="標楷體" w:hAnsi="Times New Roman" w:cs="Times New Roman"/>
          <w:sz w:val="28"/>
        </w:rPr>
        <w:t>，</w:t>
      </w:r>
      <w:r w:rsidR="00B536BF" w:rsidRPr="00B33666">
        <w:rPr>
          <w:rFonts w:ascii="Times New Roman" w:eastAsia="標楷體" w:hAnsi="Times New Roman" w:cs="Times New Roman" w:hint="eastAsia"/>
          <w:sz w:val="28"/>
        </w:rPr>
        <w:t>繳費期間內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因</w:t>
      </w:r>
      <w:r w:rsidR="00712AFA" w:rsidRPr="00B33666">
        <w:rPr>
          <w:rFonts w:ascii="Times New Roman" w:eastAsia="標楷體" w:hAnsi="Times New Roman" w:cs="Times New Roman"/>
          <w:sz w:val="28"/>
        </w:rPr>
        <w:t>當年度保險費收入</w:t>
      </w:r>
      <w:r w:rsidR="00DF0BE5" w:rsidRPr="00B33666">
        <w:rPr>
          <w:rFonts w:ascii="Times New Roman" w:eastAsia="標楷體" w:hAnsi="Times New Roman" w:cs="Times New Roman"/>
          <w:sz w:val="28"/>
        </w:rPr>
        <w:t>遠高於當年度危險保險費</w:t>
      </w:r>
      <w:r w:rsidR="00ED538B" w:rsidRPr="00B33666">
        <w:rPr>
          <w:rFonts w:ascii="Times New Roman" w:eastAsia="標楷體" w:hAnsi="Times New Roman" w:cs="Times New Roman"/>
          <w:sz w:val="28"/>
        </w:rPr>
        <w:t>，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將會</w:t>
      </w:r>
      <w:r w:rsidR="00BC0A47" w:rsidRPr="00B33666">
        <w:rPr>
          <w:rFonts w:ascii="Times New Roman" w:eastAsia="標楷體" w:hAnsi="Times New Roman" w:cs="Times New Roman"/>
          <w:sz w:val="28"/>
        </w:rPr>
        <w:t>造成</w:t>
      </w:r>
      <w:r w:rsidR="003A52DC" w:rsidRPr="00B33666">
        <w:rPr>
          <w:rFonts w:ascii="Times New Roman" w:eastAsia="標楷體" w:hAnsi="Times New Roman" w:cs="Times New Roman"/>
          <w:sz w:val="28"/>
        </w:rPr>
        <w:t>損失率</w:t>
      </w:r>
      <w:r w:rsidR="00581C7E" w:rsidRPr="00B33666">
        <w:rPr>
          <w:rFonts w:ascii="Times New Roman" w:eastAsia="標楷體" w:hAnsi="Times New Roman" w:cs="Times New Roman"/>
          <w:sz w:val="28"/>
        </w:rPr>
        <w:t>嚴重低估</w:t>
      </w:r>
      <w:r w:rsidRPr="00B33666">
        <w:rPr>
          <w:rFonts w:ascii="Times New Roman" w:eastAsia="標楷體" w:hAnsi="Times New Roman" w:cs="Times New Roman" w:hint="eastAsia"/>
          <w:sz w:val="28"/>
        </w:rPr>
        <w:t>；</w:t>
      </w:r>
      <w:r w:rsidR="00E17F98" w:rsidRPr="00B33666">
        <w:rPr>
          <w:rFonts w:ascii="Times New Roman" w:eastAsia="標楷體" w:hAnsi="Times New Roman" w:cs="Times New Roman"/>
          <w:sz w:val="28"/>
        </w:rPr>
        <w:t>繳費期滿後因無保費收入</w:t>
      </w:r>
      <w:r w:rsidR="009F6F1D" w:rsidRPr="00B33666">
        <w:rPr>
          <w:rFonts w:ascii="Times New Roman" w:eastAsia="標楷體" w:hAnsi="Times New Roman" w:cs="Times New Roman"/>
          <w:sz w:val="28"/>
        </w:rPr>
        <w:t>，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將</w:t>
      </w:r>
      <w:r w:rsidR="004F74A0" w:rsidRPr="00B33666">
        <w:rPr>
          <w:rFonts w:ascii="Times New Roman" w:eastAsia="標楷體" w:hAnsi="Times New Roman" w:cs="Times New Roman"/>
          <w:sz w:val="28"/>
        </w:rPr>
        <w:t>導致損失率</w:t>
      </w:r>
      <w:r w:rsidR="00A84852" w:rsidRPr="00B33666">
        <w:rPr>
          <w:rFonts w:ascii="Times New Roman" w:eastAsia="標楷體" w:hAnsi="Times New Roman" w:cs="Times New Roman"/>
          <w:sz w:val="28"/>
        </w:rPr>
        <w:t>陷入</w:t>
      </w:r>
      <w:r w:rsidR="004F74A0" w:rsidRPr="00B33666">
        <w:rPr>
          <w:rFonts w:ascii="Times New Roman" w:eastAsia="標楷體" w:hAnsi="Times New Roman" w:cs="Times New Roman"/>
          <w:sz w:val="28"/>
        </w:rPr>
        <w:t>無法計算之窘境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，</w:t>
      </w:r>
      <w:r w:rsidR="007C6FFB" w:rsidRPr="00B33666">
        <w:rPr>
          <w:rFonts w:ascii="Times New Roman" w:eastAsia="標楷體" w:hAnsi="Times New Roman" w:cs="Times New Roman"/>
          <w:sz w:val="28"/>
        </w:rPr>
        <w:t>故</w:t>
      </w:r>
      <w:r w:rsidR="00151BB0" w:rsidRPr="00B33666">
        <w:rPr>
          <w:rFonts w:ascii="Times New Roman" w:eastAsia="標楷體" w:hAnsi="Times New Roman" w:cs="Times New Roman"/>
          <w:sz w:val="28"/>
        </w:rPr>
        <w:t>長年期健康保險損失率</w:t>
      </w:r>
      <w:r w:rsidRPr="00B33666">
        <w:rPr>
          <w:rFonts w:ascii="Times New Roman" w:eastAsia="標楷體" w:hAnsi="Times New Roman" w:cs="Times New Roman" w:hint="eastAsia"/>
          <w:sz w:val="28"/>
        </w:rPr>
        <w:t>無法以</w:t>
      </w:r>
      <w:r w:rsidR="005C6F62" w:rsidRPr="00B33666">
        <w:rPr>
          <w:rFonts w:ascii="Times New Roman" w:eastAsia="標楷體" w:hAnsi="Times New Roman" w:cs="Times New Roman"/>
          <w:sz w:val="28"/>
        </w:rPr>
        <w:t>平</w:t>
      </w:r>
      <w:proofErr w:type="gramStart"/>
      <w:r w:rsidR="005C6F62" w:rsidRPr="00B33666">
        <w:rPr>
          <w:rFonts w:ascii="Times New Roman" w:eastAsia="標楷體" w:hAnsi="Times New Roman" w:cs="Times New Roman"/>
          <w:sz w:val="28"/>
        </w:rPr>
        <w:t>準</w:t>
      </w:r>
      <w:proofErr w:type="gramEnd"/>
      <w:r w:rsidR="00133427" w:rsidRPr="00B33666">
        <w:rPr>
          <w:rFonts w:ascii="Times New Roman" w:eastAsia="標楷體" w:hAnsi="Times New Roman" w:cs="Times New Roman"/>
          <w:sz w:val="28"/>
        </w:rPr>
        <w:t>總保費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做</w:t>
      </w:r>
      <w:r w:rsidR="00B26B37" w:rsidRPr="00B33666">
        <w:rPr>
          <w:rFonts w:ascii="Times New Roman" w:eastAsia="標楷體" w:hAnsi="Times New Roman" w:cs="Times New Roman"/>
          <w:sz w:val="28"/>
        </w:rPr>
        <w:t>為計算基礎</w:t>
      </w:r>
      <w:r w:rsidR="00133427" w:rsidRPr="00B33666">
        <w:rPr>
          <w:rFonts w:ascii="Times New Roman" w:eastAsia="標楷體" w:hAnsi="Times New Roman" w:cs="Times New Roman"/>
          <w:sz w:val="28"/>
        </w:rPr>
        <w:t>。</w:t>
      </w:r>
    </w:p>
    <w:p w14:paraId="54FFC7B1" w14:textId="55FCD6C3" w:rsidR="00350CDB" w:rsidRPr="00B33666" w:rsidRDefault="00350CDB">
      <w:pPr>
        <w:widowControl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br w:type="page"/>
      </w:r>
    </w:p>
    <w:p w14:paraId="739CC12A" w14:textId="4C573B59" w:rsidR="00590693" w:rsidRPr="00B33666" w:rsidRDefault="00590693" w:rsidP="006E62C7">
      <w:pPr>
        <w:overflowPunct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lastRenderedPageBreak/>
        <w:t>【損失率趨勢說明】</w:t>
      </w:r>
    </w:p>
    <w:p w14:paraId="4C5B42E4" w14:textId="18F55C9F" w:rsidR="006E62C7" w:rsidRPr="00B33666" w:rsidRDefault="006E62C7" w:rsidP="006027D4">
      <w:pPr>
        <w:snapToGrid w:val="0"/>
        <w:rPr>
          <w:rFonts w:ascii="Times New Roman" w:eastAsia="標楷體" w:hAnsi="Times New Roman" w:cs="Times New Roman"/>
          <w:bCs/>
          <w:sz w:val="28"/>
          <w:szCs w:val="36"/>
        </w:rPr>
      </w:pP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表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壽險業最近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3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年之長年期健康保險之損失率；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單位：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%</w:t>
      </w:r>
    </w:p>
    <w:tbl>
      <w:tblPr>
        <w:tblW w:w="96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5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  <w:gridCol w:w="780"/>
        <w:gridCol w:w="664"/>
      </w:tblGrid>
      <w:tr w:rsidR="00B33666" w:rsidRPr="00B33666" w14:paraId="149E906A" w14:textId="77777777" w:rsidTr="00F11B6D">
        <w:trPr>
          <w:trHeight w:val="345"/>
        </w:trPr>
        <w:tc>
          <w:tcPr>
            <w:tcW w:w="1675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D3F" w14:textId="5EA7C5DE" w:rsidR="000250CF" w:rsidRPr="00B33666" w:rsidRDefault="00F11B6D" w:rsidP="000250C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3366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250CF" w:rsidRPr="00B33666">
              <w:rPr>
                <w:rFonts w:ascii="標楷體" w:eastAsia="標楷體" w:hAnsi="標楷體" w:hint="eastAsia"/>
                <w:szCs w:val="24"/>
              </w:rPr>
              <w:t>保單年度</w:t>
            </w:r>
          </w:p>
          <w:p w14:paraId="4EEA1BFE" w14:textId="446E0027" w:rsidR="00F11B6D" w:rsidRPr="00B33666" w:rsidRDefault="00F11B6D" w:rsidP="00F11B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33666">
              <w:rPr>
                <w:rFonts w:ascii="標楷體" w:eastAsia="標楷體" w:hAnsi="標楷體" w:hint="eastAsia"/>
                <w:szCs w:val="24"/>
              </w:rPr>
              <w:t>填報年報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640CEEC" w14:textId="77777777" w:rsidR="000250CF" w:rsidRPr="00B33666" w:rsidRDefault="000250CF" w:rsidP="000250CF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F4ED992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EFDABD4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34B5AC2C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389AEAC1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2A2CAEA1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F341907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CB0E068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89DDED6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7A5E2F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07BEB86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11~14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D071ADD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</w:p>
        </w:tc>
      </w:tr>
      <w:tr w:rsidR="00865895" w:rsidRPr="00B33666" w14:paraId="3B5F5E32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2216FD5D" w14:textId="6DB7F309" w:rsidR="00865895" w:rsidRPr="00B33666" w:rsidRDefault="00865895" w:rsidP="0086589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7029DDE" w14:textId="4EDC30AC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6F399E" w14:textId="7F89226E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80258C9" w14:textId="15278D4D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14F090" w14:textId="0CE1D9CF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75D7A1C" w14:textId="385F9D57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8226E0B" w14:textId="472D0EDB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BE48F17" w14:textId="586F6760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5218D4" w14:textId="0663CA10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8F750E" w14:textId="124748C2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8A4D1E" w14:textId="6050C913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BD1FC3" w14:textId="03F2ADF6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784797" w14:textId="2C0849B4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65895" w:rsidRPr="00B33666" w14:paraId="199C6A69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54AD850C" w14:textId="09AA3C95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FD5F1E1" w14:textId="342D03DA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82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DAD1A61" w14:textId="288E1D5A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4D9ECAF" w14:textId="41D6438E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759A959" w14:textId="648545FE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C2A8E1" w14:textId="5A2D732F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7D588A5" w14:textId="102DE6C8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5E7F1AB" w14:textId="03A6915A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E2EEAC9" w14:textId="59E5512D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8F20DAA" w14:textId="2C8FFD9C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9031B49" w14:textId="61B158D1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3A81E7" w14:textId="56997C29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A967893" w14:textId="19B9F2F7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78</w:t>
            </w:r>
          </w:p>
        </w:tc>
      </w:tr>
      <w:tr w:rsidR="00865895" w:rsidRPr="00B33666" w14:paraId="14B31E45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20AAEACE" w14:textId="697257D5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7FE9E33" w14:textId="3F32BC9B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0801A9" w14:textId="187A4CE5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34A940" w14:textId="26E4A4B7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4DFBEE" w14:textId="2C8FCAD0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1C6A0B9" w14:textId="2364483C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C1082B8" w14:textId="5933E1E3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0739872" w14:textId="366DB53B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DAC48D2" w14:textId="29CE6443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728058" w14:textId="6DE93148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B2AAEC" w14:textId="26149A48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5422B7" w14:textId="7F6F9132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7C46714" w14:textId="76223195" w:rsidR="00865895" w:rsidRPr="00B33666" w:rsidRDefault="00865895" w:rsidP="0086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</w:tbl>
    <w:p w14:paraId="3E1B124A" w14:textId="11223051" w:rsidR="00B27569" w:rsidRDefault="00787E02" w:rsidP="0049599E">
      <w:pPr>
        <w:overflowPunct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B33666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B33666">
        <w:rPr>
          <w:rFonts w:ascii="Times New Roman" w:eastAsia="標楷體" w:hAnsi="Times New Roman" w:cs="Times New Roman"/>
          <w:szCs w:val="24"/>
        </w:rPr>
        <w:t>：</w:t>
      </w:r>
      <w:r w:rsidR="00BF1AEA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49599E" w:rsidRPr="00B33666">
        <w:rPr>
          <w:rFonts w:ascii="Times New Roman" w:eastAsia="標楷體" w:hAnsi="Times New Roman" w:cs="Times New Roman"/>
          <w:szCs w:val="24"/>
        </w:rPr>
        <w:t>長年期健康保險損失率</w:t>
      </w:r>
      <w:r w:rsidR="0049599E" w:rsidRPr="00B33666">
        <w:rPr>
          <w:rFonts w:ascii="Times New Roman" w:eastAsia="標楷體" w:hAnsi="Times New Roman" w:cs="Times New Roman"/>
          <w:szCs w:val="24"/>
        </w:rPr>
        <w:t>=</w:t>
      </w:r>
      <w:r w:rsidR="004156A9" w:rsidRPr="00B33666">
        <w:rPr>
          <w:rFonts w:ascii="Times New Roman" w:eastAsia="標楷體" w:hAnsi="Times New Roman" w:cs="Times New Roman"/>
          <w:szCs w:val="24"/>
        </w:rPr>
        <w:t>保險理賠給付</w:t>
      </w:r>
      <w:r w:rsidR="0049599E" w:rsidRPr="00B33666">
        <w:rPr>
          <w:rFonts w:ascii="Times New Roman" w:eastAsia="標楷體" w:hAnsi="Times New Roman" w:cs="Times New Roman"/>
          <w:szCs w:val="24"/>
        </w:rPr>
        <w:t>/</w:t>
      </w:r>
      <w:r w:rsidR="00957B38" w:rsidRPr="00B33666">
        <w:rPr>
          <w:rFonts w:ascii="Times New Roman" w:eastAsia="標楷體" w:hAnsi="Times New Roman" w:cs="Times New Roman"/>
          <w:szCs w:val="24"/>
        </w:rPr>
        <w:t>危險</w:t>
      </w:r>
      <w:r w:rsidR="004D1638" w:rsidRPr="00B33666">
        <w:rPr>
          <w:rFonts w:ascii="Times New Roman" w:eastAsia="標楷體" w:hAnsi="Times New Roman" w:cs="Times New Roman"/>
          <w:szCs w:val="24"/>
        </w:rPr>
        <w:t>純</w:t>
      </w:r>
      <w:r w:rsidR="00590693" w:rsidRPr="00B33666">
        <w:rPr>
          <w:rFonts w:ascii="Times New Roman" w:eastAsia="標楷體" w:hAnsi="Times New Roman" w:cs="Times New Roman"/>
          <w:szCs w:val="24"/>
        </w:rPr>
        <w:t>保費</w:t>
      </w:r>
    </w:p>
    <w:p w14:paraId="278D6146" w14:textId="0B2298D0" w:rsidR="00BF1AEA" w:rsidRPr="00F352A4" w:rsidRDefault="00BF1AEA" w:rsidP="0049599E">
      <w:pPr>
        <w:overflowPunct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352A4">
        <w:rPr>
          <w:rFonts w:ascii="Times New Roman" w:eastAsia="標楷體" w:hAnsi="Times New Roman" w:cs="Times New Roman" w:hint="eastAsia"/>
          <w:szCs w:val="24"/>
        </w:rPr>
        <w:t xml:space="preserve">  2. </w:t>
      </w:r>
      <w:r w:rsidRPr="00F352A4">
        <w:rPr>
          <w:rFonts w:ascii="Times New Roman" w:eastAsia="標楷體" w:hAnsi="Times New Roman" w:cs="Times New Roman" w:hint="eastAsia"/>
          <w:szCs w:val="24"/>
        </w:rPr>
        <w:t>資料來源</w:t>
      </w:r>
      <w:r w:rsidRPr="00F352A4">
        <w:rPr>
          <w:rFonts w:ascii="Times New Roman" w:eastAsia="標楷體" w:hAnsi="Times New Roman" w:cs="Times New Roman" w:hint="eastAsia"/>
          <w:szCs w:val="24"/>
        </w:rPr>
        <w:t>:</w:t>
      </w:r>
      <w:r w:rsidR="006F6660" w:rsidRPr="00F352A4">
        <w:rPr>
          <w:rFonts w:ascii="Times New Roman" w:eastAsia="標楷體" w:hAnsi="Times New Roman" w:cs="Times New Roman" w:hint="eastAsia"/>
          <w:szCs w:val="24"/>
        </w:rPr>
        <w:t>保險業年度</w:t>
      </w:r>
      <w:r w:rsidRPr="00F352A4">
        <w:rPr>
          <w:rFonts w:ascii="Times New Roman" w:eastAsia="標楷體" w:hAnsi="Times New Roman" w:cs="Times New Roman" w:hint="eastAsia"/>
          <w:szCs w:val="24"/>
        </w:rPr>
        <w:t>檢查報表</w:t>
      </w:r>
      <w:r w:rsidRPr="00F352A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6E8718E8" w14:textId="30B748F6" w:rsidR="00513A40" w:rsidRPr="00B33666" w:rsidRDefault="00513A40" w:rsidP="006027D4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Pr="00B33666">
        <w:rPr>
          <w:rFonts w:ascii="Times New Roman" w:eastAsia="標楷體" w:hAnsi="Times New Roman" w:cs="Times New Roman"/>
          <w:sz w:val="28"/>
          <w:szCs w:val="28"/>
        </w:rPr>
        <w:t>1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壽險業最近</w:t>
      </w:r>
      <w:r w:rsidR="006E62C7" w:rsidRPr="00B3366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年之長年期健康保險之損失率</w:t>
      </w:r>
    </w:p>
    <w:p w14:paraId="0276CCC7" w14:textId="53AA7A1C" w:rsidR="00AE2434" w:rsidRPr="00B33666" w:rsidRDefault="00632066" w:rsidP="00513A40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1B5C70" wp14:editId="50914122">
            <wp:extent cx="6120130" cy="3418205"/>
            <wp:effectExtent l="0" t="0" r="13970" b="10795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22BF15" w14:textId="6761F9F9" w:rsidR="00A25083" w:rsidRPr="00B33666" w:rsidRDefault="008223AF" w:rsidP="006F30CA">
      <w:pPr>
        <w:overflowPunct w:val="0"/>
        <w:snapToGrid w:val="0"/>
        <w:spacing w:line="5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觀察我國壽險業</w:t>
      </w:r>
      <w:r w:rsidRPr="00B33666">
        <w:rPr>
          <w:rFonts w:ascii="Times New Roman" w:eastAsia="標楷體" w:hAnsi="Times New Roman" w:cs="Times New Roman"/>
          <w:sz w:val="28"/>
        </w:rPr>
        <w:t>1</w:t>
      </w:r>
      <w:r w:rsidR="0046683F">
        <w:rPr>
          <w:rFonts w:ascii="Times New Roman" w:eastAsia="標楷體" w:hAnsi="Times New Roman" w:cs="Times New Roman" w:hint="eastAsia"/>
          <w:sz w:val="28"/>
        </w:rPr>
        <w:t>10</w:t>
      </w:r>
      <w:r w:rsidR="00386CA7" w:rsidRPr="00B33666">
        <w:rPr>
          <w:rFonts w:ascii="Times New Roman" w:eastAsia="標楷體" w:hAnsi="Times New Roman" w:cs="Times New Roman"/>
          <w:sz w:val="28"/>
        </w:rPr>
        <w:t>至</w:t>
      </w:r>
      <w:r w:rsidR="00CD16DC" w:rsidRPr="00B33666">
        <w:rPr>
          <w:rFonts w:ascii="Times New Roman" w:eastAsia="標楷體" w:hAnsi="Times New Roman" w:cs="Times New Roman"/>
          <w:sz w:val="28"/>
        </w:rPr>
        <w:t>1</w:t>
      </w:r>
      <w:r w:rsidR="00F002E0" w:rsidRPr="00B33666">
        <w:rPr>
          <w:rFonts w:ascii="Times New Roman" w:eastAsia="標楷體" w:hAnsi="Times New Roman" w:cs="Times New Roman" w:hint="eastAsia"/>
          <w:sz w:val="28"/>
        </w:rPr>
        <w:t>1</w:t>
      </w:r>
      <w:r w:rsidR="0046683F">
        <w:rPr>
          <w:rFonts w:ascii="Times New Roman" w:eastAsia="標楷體" w:hAnsi="Times New Roman" w:cs="Times New Roman" w:hint="eastAsia"/>
          <w:sz w:val="28"/>
        </w:rPr>
        <w:t>2</w:t>
      </w:r>
      <w:r w:rsidRPr="00B33666">
        <w:rPr>
          <w:rFonts w:ascii="Times New Roman" w:eastAsia="標楷體" w:hAnsi="Times New Roman" w:cs="Times New Roman"/>
          <w:sz w:val="28"/>
        </w:rPr>
        <w:t>年長年期健康保險損失率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(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詳圖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1</w:t>
      </w:r>
      <w:r w:rsidR="009009A1" w:rsidRPr="00B33666">
        <w:rPr>
          <w:rFonts w:ascii="Times New Roman" w:eastAsia="標楷體" w:hAnsi="Times New Roman" w:cs="Times New Roman"/>
          <w:sz w:val="28"/>
        </w:rPr>
        <w:t>)</w:t>
      </w:r>
      <w:r w:rsidRPr="00B33666">
        <w:rPr>
          <w:rFonts w:ascii="Times New Roman" w:eastAsia="標楷體" w:hAnsi="Times New Roman" w:cs="Times New Roman"/>
          <w:sz w:val="28"/>
        </w:rPr>
        <w:t>，發現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隨著保單年度經過，損失率呈現逐漸上升</w:t>
      </w:r>
      <w:r w:rsidR="00036B9D" w:rsidRPr="00B33666">
        <w:rPr>
          <w:rFonts w:ascii="Times New Roman" w:eastAsia="標楷體" w:hAnsi="Times New Roman" w:cs="Times New Roman" w:hint="eastAsia"/>
          <w:sz w:val="28"/>
        </w:rPr>
        <w:t>的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趨勢。</w:t>
      </w:r>
      <w:r w:rsidR="00961076">
        <w:rPr>
          <w:rFonts w:ascii="Times New Roman" w:eastAsia="標楷體" w:hAnsi="Times New Roman" w:cs="Times New Roman" w:hint="eastAsia"/>
          <w:sz w:val="28"/>
        </w:rPr>
        <w:t>以</w:t>
      </w:r>
      <w:r w:rsidR="005E5414" w:rsidRPr="005C60C6">
        <w:rPr>
          <w:rFonts w:ascii="Times New Roman" w:eastAsia="標楷體" w:hAnsi="Times New Roman" w:cs="Times New Roman" w:hint="eastAsia"/>
          <w:sz w:val="28"/>
        </w:rPr>
        <w:t>11</w:t>
      </w:r>
      <w:r w:rsidR="00C77C32">
        <w:rPr>
          <w:rFonts w:ascii="Times New Roman" w:eastAsia="標楷體" w:hAnsi="Times New Roman" w:cs="Times New Roman" w:hint="eastAsia"/>
          <w:sz w:val="28"/>
        </w:rPr>
        <w:t>2</w:t>
      </w:r>
      <w:r w:rsidR="005E5414" w:rsidRPr="005C60C6">
        <w:rPr>
          <w:rFonts w:ascii="Times New Roman" w:eastAsia="標楷體" w:hAnsi="Times New Roman" w:cs="Times New Roman" w:hint="eastAsia"/>
          <w:sz w:val="28"/>
        </w:rPr>
        <w:t>年</w:t>
      </w:r>
      <w:r w:rsidR="00961076">
        <w:rPr>
          <w:rFonts w:ascii="Times New Roman" w:eastAsia="標楷體" w:hAnsi="Times New Roman" w:cs="Times New Roman" w:hint="eastAsia"/>
          <w:sz w:val="28"/>
        </w:rPr>
        <w:t>度而言，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第</w:t>
      </w:r>
      <w:r w:rsidR="004C1049" w:rsidRPr="00B33666">
        <w:rPr>
          <w:rFonts w:ascii="Times New Roman" w:eastAsia="標楷體" w:hAnsi="Times New Roman" w:cs="Times New Roman"/>
          <w:sz w:val="28"/>
        </w:rPr>
        <w:t>1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保單年度</w:t>
      </w:r>
      <w:r w:rsidR="004C1049" w:rsidRPr="00F352A4">
        <w:rPr>
          <w:rFonts w:ascii="Times New Roman" w:eastAsia="標楷體" w:hAnsi="Times New Roman" w:cs="Times New Roman" w:hint="eastAsia"/>
          <w:sz w:val="28"/>
        </w:rPr>
        <w:t>損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失率</w:t>
      </w:r>
      <w:r w:rsidR="00EF6F6A" w:rsidRPr="005C60C6">
        <w:rPr>
          <w:rFonts w:ascii="Times New Roman" w:eastAsia="標楷體" w:hAnsi="Times New Roman" w:cs="Times New Roman" w:hint="eastAsia"/>
          <w:sz w:val="28"/>
        </w:rPr>
        <w:t>受新冠肺炎疫情</w:t>
      </w:r>
      <w:r w:rsidR="00EF6F6A">
        <w:rPr>
          <w:rFonts w:ascii="Times New Roman" w:eastAsia="標楷體" w:hAnsi="Times New Roman" w:cs="Times New Roman" w:hint="eastAsia"/>
          <w:sz w:val="28"/>
        </w:rPr>
        <w:t>趨緩</w:t>
      </w:r>
      <w:r w:rsidR="00D04323">
        <w:rPr>
          <w:rFonts w:ascii="Times New Roman" w:eastAsia="標楷體" w:hAnsi="Times New Roman" w:cs="Times New Roman" w:hint="eastAsia"/>
          <w:sz w:val="28"/>
        </w:rPr>
        <w:t>而</w:t>
      </w:r>
      <w:r w:rsidR="00C93D33">
        <w:rPr>
          <w:rFonts w:ascii="Times New Roman" w:eastAsia="標楷體" w:hAnsi="Times New Roman" w:cs="Times New Roman" w:hint="eastAsia"/>
          <w:sz w:val="28"/>
        </w:rPr>
        <w:t>較</w:t>
      </w:r>
      <w:r w:rsidR="00C93D33">
        <w:rPr>
          <w:rFonts w:ascii="Times New Roman" w:eastAsia="標楷體" w:hAnsi="Times New Roman" w:cs="Times New Roman" w:hint="eastAsia"/>
          <w:sz w:val="28"/>
        </w:rPr>
        <w:t>111</w:t>
      </w:r>
      <w:r w:rsidR="00C93D33">
        <w:rPr>
          <w:rFonts w:ascii="Times New Roman" w:eastAsia="標楷體" w:hAnsi="Times New Roman" w:cs="Times New Roman" w:hint="eastAsia"/>
          <w:sz w:val="28"/>
        </w:rPr>
        <w:t>年度</w:t>
      </w:r>
      <w:r w:rsidR="00C77C32">
        <w:rPr>
          <w:rFonts w:ascii="Times New Roman" w:eastAsia="標楷體" w:hAnsi="Times New Roman" w:cs="Times New Roman" w:hint="eastAsia"/>
          <w:sz w:val="28"/>
        </w:rPr>
        <w:t>大幅下降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，</w:t>
      </w:r>
      <w:r w:rsidR="00BF3183">
        <w:rPr>
          <w:rFonts w:ascii="Times New Roman" w:eastAsia="標楷體" w:hAnsi="Times New Roman" w:cs="Times New Roman" w:hint="eastAsia"/>
          <w:sz w:val="28"/>
        </w:rPr>
        <w:t>隨後</w:t>
      </w:r>
      <w:r w:rsidR="00880A4A" w:rsidRPr="00B33666">
        <w:rPr>
          <w:rFonts w:ascii="Times New Roman" w:eastAsia="標楷體" w:hAnsi="Times New Roman" w:cs="Times New Roman" w:hint="eastAsia"/>
          <w:sz w:val="28"/>
        </w:rPr>
        <w:t>第</w:t>
      </w:r>
      <w:r w:rsidR="00DA1876">
        <w:rPr>
          <w:rFonts w:ascii="Times New Roman" w:eastAsia="標楷體" w:hAnsi="Times New Roman" w:cs="Times New Roman" w:hint="eastAsia"/>
          <w:sz w:val="28"/>
        </w:rPr>
        <w:t>3</w:t>
      </w:r>
      <w:r w:rsidR="002632DA">
        <w:rPr>
          <w:rFonts w:ascii="Times New Roman" w:eastAsia="標楷體" w:hAnsi="Times New Roman" w:cs="Times New Roman" w:hint="eastAsia"/>
          <w:sz w:val="28"/>
        </w:rPr>
        <w:t>～</w:t>
      </w:r>
      <w:r w:rsidR="00C77C32">
        <w:rPr>
          <w:rFonts w:ascii="Times New Roman" w:eastAsia="標楷體" w:hAnsi="Times New Roman" w:cs="Times New Roman" w:hint="eastAsia"/>
          <w:sz w:val="28"/>
        </w:rPr>
        <w:t>6</w:t>
      </w:r>
      <w:r w:rsidR="00880A4A" w:rsidRPr="00B33666">
        <w:rPr>
          <w:rFonts w:ascii="Times New Roman" w:eastAsia="標楷體" w:hAnsi="Times New Roman" w:cs="Times New Roman" w:hint="eastAsia"/>
          <w:sz w:val="28"/>
        </w:rPr>
        <w:t>保單年度損失率</w:t>
      </w:r>
      <w:r w:rsidR="00A61ECA">
        <w:rPr>
          <w:rFonts w:ascii="Times New Roman" w:eastAsia="標楷體" w:hAnsi="Times New Roman" w:cs="Times New Roman" w:hint="eastAsia"/>
          <w:sz w:val="28"/>
        </w:rPr>
        <w:t>上升至約</w:t>
      </w:r>
      <w:r w:rsidR="00DA1876">
        <w:rPr>
          <w:rFonts w:ascii="Times New Roman" w:eastAsia="標楷體" w:hAnsi="Times New Roman" w:cs="Times New Roman" w:hint="eastAsia"/>
          <w:sz w:val="28"/>
        </w:rPr>
        <w:t>65</w:t>
      </w:r>
      <w:r w:rsidR="00880A4A" w:rsidRPr="00B33666">
        <w:rPr>
          <w:rFonts w:ascii="Times New Roman" w:eastAsia="標楷體" w:hAnsi="Times New Roman" w:cs="Times New Roman" w:hint="eastAsia"/>
          <w:sz w:val="28"/>
        </w:rPr>
        <w:t>%</w:t>
      </w:r>
      <w:r w:rsidR="00880A4A" w:rsidRPr="00B33666">
        <w:rPr>
          <w:rFonts w:ascii="新細明體" w:eastAsia="新細明體" w:hAnsi="新細明體" w:cs="Times New Roman" w:hint="eastAsia"/>
          <w:sz w:val="28"/>
        </w:rPr>
        <w:t>，</w:t>
      </w:r>
      <w:r w:rsidR="003F09A5">
        <w:rPr>
          <w:rFonts w:ascii="標楷體" w:eastAsia="標楷體" w:hAnsi="標楷體" w:cs="Times New Roman" w:hint="eastAsia"/>
          <w:sz w:val="28"/>
        </w:rPr>
        <w:t>接著</w:t>
      </w:r>
      <w:r w:rsidR="006F30CA">
        <w:rPr>
          <w:rFonts w:ascii="Times New Roman" w:eastAsia="標楷體" w:hAnsi="Times New Roman" w:cs="Times New Roman" w:hint="eastAsia"/>
          <w:sz w:val="28"/>
        </w:rPr>
        <w:t>第</w:t>
      </w:r>
      <w:r w:rsidR="006F30CA">
        <w:rPr>
          <w:rFonts w:ascii="Times New Roman" w:eastAsia="標楷體" w:hAnsi="Times New Roman" w:cs="Times New Roman" w:hint="eastAsia"/>
          <w:sz w:val="28"/>
        </w:rPr>
        <w:t>9</w:t>
      </w:r>
      <w:r w:rsidR="006F30CA">
        <w:rPr>
          <w:rFonts w:ascii="Times New Roman" w:eastAsia="標楷體" w:hAnsi="Times New Roman" w:cs="Times New Roman" w:hint="eastAsia"/>
          <w:sz w:val="28"/>
        </w:rPr>
        <w:t>～</w:t>
      </w:r>
      <w:r w:rsidR="006F30CA">
        <w:rPr>
          <w:rFonts w:ascii="Times New Roman" w:eastAsia="標楷體" w:hAnsi="Times New Roman" w:cs="Times New Roman" w:hint="eastAsia"/>
          <w:sz w:val="28"/>
        </w:rPr>
        <w:t>14</w:t>
      </w:r>
      <w:r w:rsidR="006F30CA">
        <w:rPr>
          <w:rFonts w:ascii="Times New Roman" w:eastAsia="標楷體" w:hAnsi="Times New Roman" w:cs="Times New Roman" w:hint="eastAsia"/>
          <w:sz w:val="28"/>
        </w:rPr>
        <w:t>保單年度</w:t>
      </w:r>
      <w:r w:rsidR="003F09A5" w:rsidRPr="00B33666">
        <w:rPr>
          <w:rFonts w:ascii="Times New Roman" w:eastAsia="標楷體" w:hAnsi="Times New Roman" w:cs="Times New Roman" w:hint="eastAsia"/>
          <w:sz w:val="28"/>
        </w:rPr>
        <w:t>損失率</w:t>
      </w:r>
      <w:r w:rsidR="003F09A5">
        <w:rPr>
          <w:rFonts w:ascii="Times New Roman" w:eastAsia="標楷體" w:hAnsi="Times New Roman" w:cs="Times New Roman" w:hint="eastAsia"/>
          <w:sz w:val="28"/>
        </w:rPr>
        <w:t>下降</w:t>
      </w:r>
      <w:r w:rsidR="003F09A5" w:rsidRPr="00B33666">
        <w:rPr>
          <w:rFonts w:ascii="Times New Roman" w:eastAsia="標楷體" w:hAnsi="Times New Roman" w:cs="Times New Roman" w:hint="eastAsia"/>
          <w:sz w:val="28"/>
        </w:rPr>
        <w:t>至</w:t>
      </w:r>
      <w:r w:rsidR="006F30CA">
        <w:rPr>
          <w:rFonts w:ascii="Times New Roman" w:eastAsia="標楷體" w:hAnsi="Times New Roman" w:cs="Times New Roman" w:hint="eastAsia"/>
          <w:sz w:val="28"/>
        </w:rPr>
        <w:t>約</w:t>
      </w:r>
      <w:r w:rsidR="006F30CA">
        <w:rPr>
          <w:rFonts w:ascii="Times New Roman" w:eastAsia="標楷體" w:hAnsi="Times New Roman" w:cs="Times New Roman" w:hint="eastAsia"/>
          <w:sz w:val="28"/>
        </w:rPr>
        <w:t>55</w:t>
      </w:r>
      <w:r w:rsidR="00C77C32">
        <w:rPr>
          <w:rFonts w:ascii="Times New Roman" w:eastAsia="標楷體" w:hAnsi="Times New Roman" w:cs="Times New Roman" w:hint="eastAsia"/>
          <w:sz w:val="28"/>
        </w:rPr>
        <w:t>%</w:t>
      </w:r>
      <w:r w:rsidR="00987583" w:rsidRPr="00B33666">
        <w:rPr>
          <w:rFonts w:ascii="新細明體" w:eastAsia="新細明體" w:hAnsi="新細明體" w:cs="Times New Roman" w:hint="eastAsia"/>
          <w:sz w:val="28"/>
        </w:rPr>
        <w:t>，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第</w:t>
      </w:r>
      <w:r w:rsidR="004C1049" w:rsidRPr="00B33666">
        <w:rPr>
          <w:rFonts w:ascii="Times New Roman" w:eastAsia="標楷體" w:hAnsi="Times New Roman" w:cs="Times New Roman"/>
          <w:sz w:val="28"/>
        </w:rPr>
        <w:t>15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保單年度</w:t>
      </w:r>
      <w:r w:rsidR="00916C28" w:rsidRPr="00B33666">
        <w:rPr>
          <w:rFonts w:ascii="Times New Roman" w:eastAsia="標楷體" w:hAnsi="Times New Roman" w:cs="Times New Roman" w:hint="eastAsia"/>
          <w:sz w:val="28"/>
        </w:rPr>
        <w:t>後則攀</w:t>
      </w:r>
      <w:r w:rsidR="00D643A0" w:rsidRPr="00B33666">
        <w:rPr>
          <w:rFonts w:ascii="Times New Roman" w:eastAsia="標楷體" w:hAnsi="Times New Roman" w:cs="Times New Roman" w:hint="eastAsia"/>
          <w:sz w:val="28"/>
        </w:rPr>
        <w:t>升</w:t>
      </w:r>
      <w:r w:rsidR="00916C28" w:rsidRPr="00B33666">
        <w:rPr>
          <w:rFonts w:ascii="Times New Roman" w:eastAsia="標楷體" w:hAnsi="Times New Roman" w:cs="Times New Roman" w:hint="eastAsia"/>
          <w:sz w:val="28"/>
        </w:rPr>
        <w:t>至</w:t>
      </w:r>
      <w:r w:rsidR="00C77C32">
        <w:rPr>
          <w:rFonts w:ascii="Times New Roman" w:eastAsia="標楷體" w:hAnsi="Times New Roman" w:cs="Times New Roman" w:hint="eastAsia"/>
          <w:sz w:val="28"/>
        </w:rPr>
        <w:t>81</w:t>
      </w:r>
      <w:r w:rsidR="004C1049" w:rsidRPr="00B33666">
        <w:rPr>
          <w:rFonts w:ascii="Times New Roman" w:eastAsia="標楷體" w:hAnsi="Times New Roman" w:cs="Times New Roman"/>
          <w:sz w:val="28"/>
        </w:rPr>
        <w:t>%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。</w:t>
      </w:r>
      <w:r w:rsidR="004C256E" w:rsidRPr="004C1049">
        <w:rPr>
          <w:rFonts w:ascii="Times New Roman" w:eastAsia="標楷體" w:hAnsi="Times New Roman" w:cs="Times New Roman" w:hint="eastAsia"/>
          <w:color w:val="000000" w:themeColor="text1"/>
          <w:sz w:val="28"/>
        </w:rPr>
        <w:t>整體經驗顯示壽險業長年期健康保險</w:t>
      </w:r>
      <w:r w:rsidR="004C256E">
        <w:rPr>
          <w:rFonts w:ascii="Times New Roman" w:eastAsia="標楷體" w:hAnsi="Times New Roman" w:cs="Times New Roman" w:hint="eastAsia"/>
          <w:color w:val="000000" w:themeColor="text1"/>
          <w:sz w:val="28"/>
        </w:rPr>
        <w:t>之</w:t>
      </w:r>
      <w:r w:rsidR="004C256E" w:rsidRPr="004C1049">
        <w:rPr>
          <w:rFonts w:ascii="Times New Roman" w:eastAsia="標楷體" w:hAnsi="Times New Roman" w:cs="Times New Roman" w:hint="eastAsia"/>
          <w:color w:val="000000" w:themeColor="text1"/>
          <w:sz w:val="28"/>
        </w:rPr>
        <w:t>理賠支出亦</w:t>
      </w:r>
      <w:r w:rsidR="004C256E">
        <w:rPr>
          <w:rFonts w:ascii="Times New Roman" w:eastAsia="標楷體" w:hAnsi="Times New Roman" w:cs="Times New Roman" w:hint="eastAsia"/>
          <w:color w:val="000000" w:themeColor="text1"/>
          <w:sz w:val="28"/>
        </w:rPr>
        <w:t>隨著保單年度而</w:t>
      </w:r>
      <w:r w:rsidR="004C256E" w:rsidRPr="004C1049">
        <w:rPr>
          <w:rFonts w:ascii="Times New Roman" w:eastAsia="標楷體" w:hAnsi="Times New Roman" w:cs="Times New Roman" w:hint="eastAsia"/>
          <w:color w:val="000000" w:themeColor="text1"/>
          <w:sz w:val="28"/>
        </w:rPr>
        <w:t>增加，究其原因說明如次：</w:t>
      </w:r>
    </w:p>
    <w:p w14:paraId="7AE902C1" w14:textId="1C3147E5" w:rsidR="009009A1" w:rsidRPr="00B33666" w:rsidRDefault="009009A1" w:rsidP="003B4536">
      <w:pPr>
        <w:overflowPunct w:val="0"/>
        <w:snapToGrid w:val="0"/>
        <w:spacing w:beforeLines="50" w:before="180" w:line="5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</w:p>
    <w:p w14:paraId="2CACEC66" w14:textId="7E7A85FD" w:rsidR="00B442EC" w:rsidRPr="00B33666" w:rsidRDefault="00A964DB" w:rsidP="00B27569">
      <w:pPr>
        <w:pStyle w:val="a3"/>
        <w:numPr>
          <w:ilvl w:val="0"/>
          <w:numId w:val="1"/>
        </w:numPr>
        <w:overflowPunct w:val="0"/>
        <w:spacing w:beforeLines="50" w:before="180"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lastRenderedPageBreak/>
        <w:t>高齡化</w:t>
      </w:r>
      <w:r w:rsidR="00D65C2E" w:rsidRPr="00B33666">
        <w:rPr>
          <w:rFonts w:ascii="Times New Roman" w:eastAsia="標楷體" w:hAnsi="Times New Roman" w:cs="Times New Roman"/>
          <w:sz w:val="28"/>
          <w:szCs w:val="28"/>
        </w:rPr>
        <w:t>日</w:t>
      </w:r>
      <w:r w:rsidR="00717392" w:rsidRPr="00B33666">
        <w:rPr>
          <w:rFonts w:ascii="Times New Roman" w:eastAsia="標楷體" w:hAnsi="Times New Roman" w:cs="Times New Roman"/>
          <w:sz w:val="28"/>
          <w:szCs w:val="28"/>
        </w:rPr>
        <w:t>益</w:t>
      </w:r>
      <w:r w:rsidR="00D65C2E" w:rsidRPr="00B33666">
        <w:rPr>
          <w:rFonts w:ascii="Times New Roman" w:eastAsia="標楷體" w:hAnsi="Times New Roman" w:cs="Times New Roman"/>
          <w:sz w:val="28"/>
          <w:szCs w:val="28"/>
        </w:rPr>
        <w:t>嚴重</w:t>
      </w:r>
    </w:p>
    <w:p w14:paraId="00F5DA41" w14:textId="5B4E4691" w:rsidR="00D95B94" w:rsidRPr="00B33666" w:rsidRDefault="003D5DC7" w:rsidP="006740CA">
      <w:pPr>
        <w:overflowPunct w:val="0"/>
        <w:snapToGrid w:val="0"/>
        <w:spacing w:beforeLines="50" w:before="180" w:line="500" w:lineRule="exact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依據國家發展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委員會</w:t>
      </w:r>
      <w:r w:rsidRPr="00B33666">
        <w:rPr>
          <w:rFonts w:ascii="Times New Roman" w:eastAsia="標楷體" w:hAnsi="Times New Roman" w:cs="Times New Roman"/>
          <w:sz w:val="28"/>
          <w:szCs w:val="28"/>
        </w:rPr>
        <w:t>於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C5484F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年公布之「中華民國</w:t>
      </w:r>
      <w:proofErr w:type="gramStart"/>
      <w:r w:rsidRPr="00B33666">
        <w:rPr>
          <w:rFonts w:ascii="Times New Roman" w:eastAsia="標楷體" w:hAnsi="Times New Roman" w:cs="Times New Roman"/>
          <w:sz w:val="28"/>
          <w:szCs w:val="28"/>
        </w:rPr>
        <w:t>人口推計</w:t>
      </w:r>
      <w:proofErr w:type="gramEnd"/>
      <w:r w:rsidR="006D7A5E" w:rsidRPr="00B33666">
        <w:rPr>
          <w:rFonts w:ascii="Times New Roman" w:eastAsia="標楷體" w:hAnsi="Times New Roman" w:cs="Times New Roman"/>
          <w:sz w:val="28"/>
          <w:szCs w:val="28"/>
        </w:rPr>
        <w:t>(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C5484F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Pr="00B33666">
        <w:rPr>
          <w:rFonts w:ascii="Times New Roman" w:eastAsia="標楷體" w:hAnsi="Times New Roman" w:cs="Times New Roman"/>
          <w:sz w:val="28"/>
          <w:szCs w:val="28"/>
        </w:rPr>
        <w:t>至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C5484F" w:rsidRPr="00B33666">
        <w:rPr>
          <w:rFonts w:ascii="Times New Roman" w:eastAsia="標楷體" w:hAnsi="Times New Roman" w:cs="Times New Roman"/>
          <w:sz w:val="28"/>
          <w:szCs w:val="28"/>
        </w:rPr>
        <w:t>70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</w:t>
      </w:r>
      <w:r w:rsidRPr="00B33666">
        <w:rPr>
          <w:rFonts w:ascii="Times New Roman" w:eastAsia="標楷體" w:hAnsi="Times New Roman" w:cs="Times New Roman"/>
          <w:sz w:val="28"/>
          <w:szCs w:val="28"/>
        </w:rPr>
        <w:t>)</w:t>
      </w:r>
      <w:r w:rsidRPr="00B33666">
        <w:rPr>
          <w:rFonts w:ascii="Times New Roman" w:eastAsia="標楷體" w:hAnsi="Times New Roman" w:cs="Times New Roman"/>
          <w:sz w:val="28"/>
          <w:szCs w:val="28"/>
        </w:rPr>
        <w:t>」報告</w:t>
      </w:r>
      <w:r w:rsidR="006D7A5E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6D7A5E" w:rsidRPr="00B33666">
        <w:rPr>
          <w:rFonts w:ascii="Times New Roman" w:eastAsia="標楷體" w:hAnsi="Times New Roman" w:cs="Times New Roman" w:hint="eastAsia"/>
          <w:sz w:val="28"/>
          <w:szCs w:val="28"/>
        </w:rPr>
        <w:t>預估於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年進入超高齡社會</w:t>
      </w:r>
      <w:r w:rsidRPr="00B3366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33666">
        <w:rPr>
          <w:rFonts w:ascii="Times New Roman" w:eastAsia="標楷體" w:hAnsi="Times New Roman" w:cs="Times New Roman"/>
          <w:sz w:val="28"/>
          <w:szCs w:val="28"/>
        </w:rPr>
        <w:t>（詳圖</w:t>
      </w:r>
      <w:r w:rsidR="009009A1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），亦即未來臺灣每</w:t>
      </w:r>
      <w:r w:rsidRPr="00B33666">
        <w:rPr>
          <w:rFonts w:ascii="Times New Roman" w:eastAsia="標楷體" w:hAnsi="Times New Roman" w:cs="Times New Roman"/>
          <w:sz w:val="28"/>
          <w:szCs w:val="28"/>
        </w:rPr>
        <w:t>5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個人中就有</w:t>
      </w:r>
      <w:r w:rsidRPr="00B33666">
        <w:rPr>
          <w:rFonts w:ascii="Times New Roman" w:eastAsia="標楷體" w:hAnsi="Times New Roman" w:cs="Times New Roman"/>
          <w:sz w:val="28"/>
          <w:szCs w:val="28"/>
        </w:rPr>
        <w:t>1</w:t>
      </w:r>
      <w:r w:rsidRPr="00B33666">
        <w:rPr>
          <w:rFonts w:ascii="Times New Roman" w:eastAsia="標楷體" w:hAnsi="Times New Roman" w:cs="Times New Roman"/>
          <w:sz w:val="28"/>
          <w:szCs w:val="28"/>
        </w:rPr>
        <w:t>位老人。</w:t>
      </w:r>
    </w:p>
    <w:p w14:paraId="7F800AB1" w14:textId="52258486" w:rsidR="00FC0161" w:rsidRPr="00B33666" w:rsidRDefault="00D6783C" w:rsidP="001F3F26">
      <w:pPr>
        <w:overflowPunct w:val="0"/>
        <w:snapToGrid w:val="0"/>
        <w:spacing w:line="500" w:lineRule="exact"/>
        <w:ind w:leftChars="295" w:left="70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noProof/>
        </w:rPr>
        <w:drawing>
          <wp:anchor distT="0" distB="0" distL="114300" distR="114300" simplePos="0" relativeHeight="251668480" behindDoc="0" locked="0" layoutInCell="1" allowOverlap="1" wp14:anchorId="0453E7F9" wp14:editId="0EC9EF6D">
            <wp:simplePos x="0" y="0"/>
            <wp:positionH relativeFrom="column">
              <wp:posOffset>1022985</wp:posOffset>
            </wp:positionH>
            <wp:positionV relativeFrom="paragraph">
              <wp:posOffset>391160</wp:posOffset>
            </wp:positionV>
            <wp:extent cx="4724400" cy="2543175"/>
            <wp:effectExtent l="0" t="0" r="0" b="9525"/>
            <wp:wrapTopAndBottom/>
            <wp:docPr id="11" name="圖片 11" descr="最新2022至2070年人口推估報告出爐圖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最新2022至2070年人口推估報告出爐圖卡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="002610F7" w:rsidRPr="00B33666">
        <w:rPr>
          <w:rFonts w:ascii="Times New Roman" w:eastAsia="標楷體" w:hAnsi="Times New Roman" w:cs="Times New Roman" w:hint="eastAsia"/>
          <w:sz w:val="28"/>
          <w:szCs w:val="28"/>
        </w:rPr>
        <w:t>最新人口推估</w:t>
      </w:r>
    </w:p>
    <w:p w14:paraId="03A6CDBC" w14:textId="086A200D" w:rsidR="00C12FE0" w:rsidRPr="00B33666" w:rsidRDefault="00851C88" w:rsidP="009D3324">
      <w:pPr>
        <w:overflowPunct w:val="0"/>
        <w:snapToGrid w:val="0"/>
        <w:spacing w:beforeLines="50" w:before="180" w:line="360" w:lineRule="auto"/>
        <w:jc w:val="center"/>
        <w:rPr>
          <w:rFonts w:ascii="Book Antiqua" w:eastAsia="標楷體" w:hAnsi="Book Antiqua"/>
        </w:rPr>
      </w:pPr>
      <w:r w:rsidRPr="00B33666">
        <w:rPr>
          <w:rFonts w:eastAsia="標楷體"/>
          <w:bCs/>
          <w:sz w:val="20"/>
        </w:rPr>
        <w:t>資料來源：</w:t>
      </w:r>
      <w:r w:rsidRPr="00B33666">
        <w:rPr>
          <w:rFonts w:eastAsia="標楷體" w:hint="eastAsia"/>
          <w:bCs/>
          <w:sz w:val="20"/>
        </w:rPr>
        <w:t>國家發展委員會</w:t>
      </w:r>
      <w:r w:rsidRPr="00B33666">
        <w:rPr>
          <w:rFonts w:eastAsia="標楷體"/>
          <w:bCs/>
          <w:sz w:val="20"/>
        </w:rPr>
        <w:t>「中華民國人口</w:t>
      </w:r>
      <w:r w:rsidRPr="00B33666">
        <w:rPr>
          <w:rFonts w:eastAsia="標楷體" w:hint="eastAsia"/>
          <w:bCs/>
          <w:sz w:val="20"/>
        </w:rPr>
        <w:t>推估</w:t>
      </w:r>
      <w:r w:rsidRPr="00B33666">
        <w:rPr>
          <w:rFonts w:eastAsia="標楷體" w:hint="eastAsia"/>
          <w:bCs/>
          <w:sz w:val="20"/>
        </w:rPr>
        <w:t>(202</w:t>
      </w:r>
      <w:r w:rsidR="00793685" w:rsidRPr="00B33666">
        <w:rPr>
          <w:rFonts w:eastAsia="標楷體"/>
          <w:bCs/>
          <w:sz w:val="20"/>
        </w:rPr>
        <w:t>2</w:t>
      </w:r>
      <w:r w:rsidRPr="00B33666">
        <w:rPr>
          <w:rFonts w:eastAsia="標楷體" w:hint="eastAsia"/>
          <w:bCs/>
          <w:sz w:val="20"/>
        </w:rPr>
        <w:t>至</w:t>
      </w:r>
      <w:r w:rsidRPr="00B33666">
        <w:rPr>
          <w:rFonts w:eastAsia="標楷體" w:hint="eastAsia"/>
          <w:bCs/>
          <w:sz w:val="20"/>
        </w:rPr>
        <w:t>2070</w:t>
      </w:r>
      <w:r w:rsidRPr="00B33666">
        <w:rPr>
          <w:rFonts w:eastAsia="標楷體" w:hint="eastAsia"/>
          <w:bCs/>
          <w:sz w:val="20"/>
        </w:rPr>
        <w:t>年</w:t>
      </w:r>
      <w:r w:rsidRPr="00B33666">
        <w:rPr>
          <w:rFonts w:eastAsia="標楷體" w:hint="eastAsia"/>
          <w:bCs/>
          <w:sz w:val="20"/>
        </w:rPr>
        <w:t>)</w:t>
      </w:r>
      <w:r w:rsidRPr="00B33666">
        <w:rPr>
          <w:rFonts w:eastAsia="標楷體"/>
          <w:bCs/>
          <w:sz w:val="20"/>
        </w:rPr>
        <w:t>」。</w:t>
      </w:r>
    </w:p>
    <w:p w14:paraId="312F63DD" w14:textId="4D5D90C5" w:rsidR="00F32767" w:rsidRPr="00B33666" w:rsidRDefault="00833CA5" w:rsidP="001F3F26">
      <w:pPr>
        <w:pStyle w:val="a3"/>
        <w:numPr>
          <w:ilvl w:val="0"/>
          <w:numId w:val="1"/>
        </w:numPr>
        <w:overflowPunct w:val="0"/>
        <w:spacing w:beforeLines="50" w:before="180" w:afterLines="50" w:after="180" w:line="500" w:lineRule="exact"/>
        <w:ind w:leftChars="0" w:left="709" w:hanging="70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平均餘命</w:t>
      </w:r>
      <w:r w:rsidR="000B1F87" w:rsidRPr="00B33666">
        <w:rPr>
          <w:rFonts w:ascii="Times New Roman" w:eastAsia="標楷體" w:hAnsi="Times New Roman" w:cs="Times New Roman"/>
          <w:bCs/>
          <w:sz w:val="28"/>
          <w:szCs w:val="28"/>
        </w:rPr>
        <w:t>不斷</w:t>
      </w:r>
      <w:proofErr w:type="gramEnd"/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延長</w:t>
      </w:r>
    </w:p>
    <w:p w14:paraId="542E876E" w14:textId="6D5ADD8F" w:rsidR="00FC0161" w:rsidRPr="00B33666" w:rsidRDefault="00AE0A84" w:rsidP="00062B0B">
      <w:pPr>
        <w:overflowPunct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隨著醫藥技術進步及生活水準提高，</w:t>
      </w:r>
      <w:r w:rsidR="00F32767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國人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平均壽命逐漸延長（詳圖</w:t>
      </w:r>
      <w:r w:rsidR="009009A1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073DE8" w:rsidRPr="00B33666">
        <w:rPr>
          <w:rFonts w:ascii="Times New Roman" w:eastAsia="標楷體" w:hAnsi="Times New Roman" w:cs="Times New Roman"/>
          <w:bCs/>
          <w:sz w:val="28"/>
          <w:szCs w:val="28"/>
        </w:rPr>
        <w:t>），根據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統計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 w:rsidR="006A03DD" w:rsidRPr="00B33666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A26134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年國人</w:t>
      </w:r>
      <w:proofErr w:type="gramStart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平均餘命與</w:t>
      </w:r>
      <w:proofErr w:type="gramEnd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平均</w:t>
      </w:r>
      <w:proofErr w:type="gramStart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健康餘</w:t>
      </w:r>
      <w:proofErr w:type="gramEnd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命的差距達</w:t>
      </w:r>
      <w:r w:rsidR="006A03DD" w:rsidRPr="00B33666">
        <w:rPr>
          <w:rFonts w:ascii="Times New Roman" w:eastAsia="標楷體" w:hAnsi="Times New Roman" w:cs="Times New Roman"/>
          <w:bCs/>
          <w:sz w:val="28"/>
          <w:szCs w:val="28"/>
        </w:rPr>
        <w:t>7.</w:t>
      </w:r>
      <w:r w:rsidR="00A26134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年，凸顯醫療、長期照顧的需求和重要性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2B5F41EC" w14:textId="78618B94" w:rsidR="00EB3E74" w:rsidRPr="00B33666" w:rsidRDefault="005D61E4" w:rsidP="00297C6B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CB86B0" wp14:editId="51FA0F48">
                <wp:simplePos x="0" y="0"/>
                <wp:positionH relativeFrom="column">
                  <wp:posOffset>5156835</wp:posOffset>
                </wp:positionH>
                <wp:positionV relativeFrom="paragraph">
                  <wp:posOffset>729615</wp:posOffset>
                </wp:positionV>
                <wp:extent cx="1504950" cy="438150"/>
                <wp:effectExtent l="95250" t="0" r="0" b="11430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438150"/>
                          <a:chOff x="0" y="0"/>
                          <a:chExt cx="1504950" cy="571500"/>
                        </a:xfrm>
                      </wpg:grpSpPr>
                      <wps:wsp>
                        <wps:cNvPr id="9" name="直線單箭頭接點 9"/>
                        <wps:cNvCnPr/>
                        <wps:spPr>
                          <a:xfrm>
                            <a:off x="0" y="123825"/>
                            <a:ext cx="0" cy="381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triangle"/>
                            <a:tailEnd type="triangle"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47625" y="0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0F2AF7" w14:textId="77777777" w:rsidR="00073DE8" w:rsidRPr="005F7060" w:rsidRDefault="00073DE8" w:rsidP="00073DE8">
                              <w:pPr>
                                <w:rPr>
                                  <w:rFonts w:ascii="標楷體" w:eastAsia="標楷體" w:hAnsi="標楷體"/>
                                  <w:color w:val="F79646" w:themeColor="accent6"/>
                                  <w:sz w:val="36"/>
                                </w:rPr>
                              </w:pPr>
                              <w:r w:rsidRPr="005F7060">
                                <w:rPr>
                                  <w:rFonts w:ascii="標楷體" w:eastAsia="標楷體" w:hAnsi="標楷體" w:hint="eastAsia"/>
                                  <w:color w:val="F79646" w:themeColor="accent6"/>
                                  <w:sz w:val="36"/>
                                </w:rPr>
                                <w:t>不</w:t>
                              </w:r>
                              <w:proofErr w:type="gramStart"/>
                              <w:r w:rsidRPr="005F7060">
                                <w:rPr>
                                  <w:rFonts w:ascii="標楷體" w:eastAsia="標楷體" w:hAnsi="標楷體" w:hint="eastAsia"/>
                                  <w:color w:val="F79646" w:themeColor="accent6"/>
                                  <w:sz w:val="36"/>
                                </w:rPr>
                                <w:t>健康餘命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B86B0" id="群組 6" o:spid="_x0000_s1026" style="position:absolute;left:0;text-align:left;margin-left:406.05pt;margin-top:57.45pt;width:118.5pt;height:34.5pt;z-index:251670528;mso-height-relative:margin" coordsize="1504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27" type="#_x0000_t32" style="position:absolute;top:1238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" strokecolor="#fabf8f [1945]" strokeweight="2.25pt">
                  <v:stroke startarrow="block" endarrow="block"/>
                  <v:shadow on="t" type="perspective" color="black" opacity="13107f" origin="-.5,.5" offset="0,0" matrix=",-23853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8" type="#_x0000_t202" style="position:absolute;left:476;width:14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D0F2AF7" w14:textId="77777777" w:rsidR="00073DE8" w:rsidRPr="005F7060" w:rsidRDefault="00073DE8" w:rsidP="00073DE8">
                        <w:pPr>
                          <w:rPr>
                            <w:rFonts w:ascii="標楷體" w:eastAsia="標楷體" w:hAnsi="標楷體"/>
                            <w:color w:val="F79646" w:themeColor="accent6"/>
                            <w:sz w:val="36"/>
                          </w:rPr>
                        </w:pPr>
                        <w:r w:rsidRPr="005F7060">
                          <w:rPr>
                            <w:rFonts w:ascii="標楷體" w:eastAsia="標楷體" w:hAnsi="標楷體" w:hint="eastAsia"/>
                            <w:color w:val="F79646" w:themeColor="accent6"/>
                            <w:sz w:val="36"/>
                          </w:rPr>
                          <w:t>不</w:t>
                        </w:r>
                        <w:proofErr w:type="gramStart"/>
                        <w:r w:rsidRPr="005F7060">
                          <w:rPr>
                            <w:rFonts w:ascii="標楷體" w:eastAsia="標楷體" w:hAnsi="標楷體" w:hint="eastAsia"/>
                            <w:color w:val="F79646" w:themeColor="accent6"/>
                            <w:sz w:val="36"/>
                          </w:rPr>
                          <w:t>健康餘命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4BCB88CA" wp14:editId="48D36D1E">
            <wp:simplePos x="0" y="0"/>
            <wp:positionH relativeFrom="column">
              <wp:posOffset>222885</wp:posOffset>
            </wp:positionH>
            <wp:positionV relativeFrom="paragraph">
              <wp:posOffset>337185</wp:posOffset>
            </wp:positionV>
            <wp:extent cx="5953125" cy="2352675"/>
            <wp:effectExtent l="0" t="0" r="9525" b="9525"/>
            <wp:wrapTopAndBottom/>
            <wp:docPr id="13" name="圖表 13">
              <a:extLst xmlns:a="http://schemas.openxmlformats.org/drawingml/2006/main">
                <a:ext uri="{FF2B5EF4-FFF2-40B4-BE49-F238E27FC236}">
                  <a16:creationId xmlns:a16="http://schemas.microsoft.com/office/drawing/2014/main" id="{729815E3-05D9-4639-8955-7C6478A2CE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：歷年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proofErr w:type="gramStart"/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平均餘命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proofErr w:type="gramEnd"/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proofErr w:type="gramStart"/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健康餘</w:t>
      </w:r>
      <w:proofErr w:type="gramEnd"/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命</w:t>
      </w:r>
      <w:r w:rsidRPr="005D61E4">
        <w:rPr>
          <w:noProof/>
        </w:rPr>
        <w:t xml:space="preserve"> </w:t>
      </w:r>
    </w:p>
    <w:p w14:paraId="42FAA627" w14:textId="77777777" w:rsidR="00073DE8" w:rsidRPr="00B33666" w:rsidRDefault="00073DE8" w:rsidP="00737877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eastAsia="標楷體"/>
          <w:bCs/>
          <w:sz w:val="20"/>
        </w:rPr>
        <w:lastRenderedPageBreak/>
        <w:t>資料來源：</w:t>
      </w:r>
      <w:r w:rsidRPr="00B33666">
        <w:rPr>
          <w:rFonts w:eastAsia="標楷體"/>
          <w:bCs/>
          <w:sz w:val="20"/>
        </w:rPr>
        <w:t>1.</w:t>
      </w:r>
      <w:r w:rsidRPr="00B33666">
        <w:rPr>
          <w:rFonts w:eastAsia="標楷體" w:hint="eastAsia"/>
          <w:bCs/>
          <w:sz w:val="20"/>
        </w:rPr>
        <w:t xml:space="preserve"> </w:t>
      </w:r>
      <w:proofErr w:type="gramStart"/>
      <w:r w:rsidRPr="00B33666">
        <w:rPr>
          <w:rFonts w:eastAsia="標楷體" w:hint="eastAsia"/>
          <w:bCs/>
          <w:sz w:val="20"/>
        </w:rPr>
        <w:t>平均餘命</w:t>
      </w:r>
      <w:proofErr w:type="gramEnd"/>
      <w:r w:rsidRPr="00B33666">
        <w:rPr>
          <w:rFonts w:eastAsia="標楷體" w:hint="eastAsia"/>
          <w:bCs/>
          <w:sz w:val="20"/>
        </w:rPr>
        <w:t>：內政部。</w:t>
      </w:r>
      <w:r w:rsidRPr="00B33666">
        <w:rPr>
          <w:rFonts w:eastAsia="標楷體"/>
          <w:bCs/>
          <w:sz w:val="20"/>
        </w:rPr>
        <w:t>2.</w:t>
      </w:r>
      <w:r w:rsidRPr="00B33666">
        <w:rPr>
          <w:rFonts w:eastAsia="標楷體" w:hint="eastAsia"/>
          <w:bCs/>
          <w:sz w:val="20"/>
        </w:rPr>
        <w:t>平均</w:t>
      </w:r>
      <w:proofErr w:type="gramStart"/>
      <w:r w:rsidRPr="00B33666">
        <w:rPr>
          <w:rFonts w:eastAsia="標楷體" w:hint="eastAsia"/>
          <w:bCs/>
          <w:sz w:val="20"/>
        </w:rPr>
        <w:t>健康餘命</w:t>
      </w:r>
      <w:proofErr w:type="gramEnd"/>
      <w:r w:rsidRPr="00B33666">
        <w:rPr>
          <w:rFonts w:eastAsia="標楷體" w:hint="eastAsia"/>
          <w:bCs/>
          <w:sz w:val="20"/>
        </w:rPr>
        <w:t>：</w:t>
      </w:r>
      <w:proofErr w:type="gramStart"/>
      <w:r w:rsidRPr="00B33666">
        <w:rPr>
          <w:rFonts w:eastAsia="標楷體" w:hint="eastAsia"/>
          <w:bCs/>
          <w:sz w:val="20"/>
        </w:rPr>
        <w:t>衛福部</w:t>
      </w:r>
      <w:proofErr w:type="gramEnd"/>
      <w:r w:rsidRPr="00B33666">
        <w:rPr>
          <w:rFonts w:eastAsia="標楷體"/>
          <w:bCs/>
          <w:sz w:val="20"/>
        </w:rPr>
        <w:t>。</w:t>
      </w:r>
    </w:p>
    <w:p w14:paraId="27070BF3" w14:textId="28E013BD" w:rsidR="005A3BC9" w:rsidRPr="00B33666" w:rsidRDefault="00A116E4" w:rsidP="005A3BC9">
      <w:pPr>
        <w:pStyle w:val="a3"/>
        <w:numPr>
          <w:ilvl w:val="0"/>
          <w:numId w:val="1"/>
        </w:numPr>
        <w:overflowPunct w:val="0"/>
        <w:spacing w:beforeLines="50" w:before="180"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6E4">
        <w:rPr>
          <w:rFonts w:ascii="Times New Roman" w:eastAsia="標楷體" w:hAnsi="Times New Roman" w:cs="Times New Roman" w:hint="eastAsia"/>
          <w:sz w:val="28"/>
          <w:szCs w:val="28"/>
        </w:rPr>
        <w:t>醫療支出逐年成長</w:t>
      </w:r>
    </w:p>
    <w:p w14:paraId="54624178" w14:textId="18504764" w:rsidR="005A3BC9" w:rsidRPr="00B33666" w:rsidRDefault="00A116E4" w:rsidP="005A3BC9">
      <w:pPr>
        <w:overflowPunct w:val="0"/>
        <w:snapToGrid w:val="0"/>
        <w:spacing w:beforeLines="50" w:before="180" w:line="360" w:lineRule="auto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由於人口結構快速老化加上醫療科技發展，以及對於重疾患者照護的加強，民眾對醫療需求不斷提升，依據行政院衛生福利部統計，國人平均每人每年健保住院醫療費用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_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醫院總額支出呈遞增趨勢（詳圖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）。以年齡層區分，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60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歲以上老年人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202</w:t>
      </w:r>
      <w:r w:rsidR="00401540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年平均每人每年健保住院醫療費用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_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醫院總額支出為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6420A5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.</w:t>
      </w:r>
      <w:r w:rsidR="0093618D">
        <w:rPr>
          <w:rFonts w:ascii="Times New Roman" w:eastAsia="標楷體" w:hAnsi="Times New Roman" w:cs="Times New Roman" w:hint="eastAsia"/>
          <w:bCs/>
          <w:sz w:val="28"/>
          <w:szCs w:val="28"/>
        </w:rPr>
        <w:t>26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萬，較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201</w:t>
      </w:r>
      <w:r w:rsidR="00401540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93618D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.</w:t>
      </w:r>
      <w:r w:rsidR="0093618D">
        <w:rPr>
          <w:rFonts w:ascii="Times New Roman" w:eastAsia="標楷體" w:hAnsi="Times New Roman" w:cs="Times New Roman" w:hint="eastAsia"/>
          <w:bCs/>
          <w:sz w:val="28"/>
          <w:szCs w:val="28"/>
        </w:rPr>
        <w:t>37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萬高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出</w:t>
      </w:r>
      <w:r w:rsidR="0093618D"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1.</w:t>
      </w:r>
      <w:r w:rsidR="000D7186"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89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萬；</w:t>
      </w:r>
      <w:proofErr w:type="gramStart"/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再者，</w:t>
      </w:r>
      <w:proofErr w:type="gramEnd"/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60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歲以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上老年人之健保住院醫療費用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_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醫院總額支出高於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0~59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歲</w:t>
      </w:r>
      <w:r w:rsidR="006420A5">
        <w:rPr>
          <w:rFonts w:ascii="Times New Roman" w:eastAsia="標楷體" w:hAnsi="Times New Roman" w:cs="Times New Roman" w:hint="eastAsia"/>
          <w:bCs/>
          <w:sz w:val="28"/>
          <w:szCs w:val="28"/>
        </w:rPr>
        <w:t>約</w:t>
      </w:r>
      <w:r w:rsidRPr="00B24B08">
        <w:rPr>
          <w:rFonts w:ascii="Times New Roman" w:eastAsia="標楷體" w:hAnsi="Times New Roman" w:cs="Times New Roman" w:hint="eastAsia"/>
          <w:bCs/>
          <w:sz w:val="28"/>
          <w:szCs w:val="28"/>
        </w:rPr>
        <w:t>1.</w:t>
      </w:r>
      <w:r w:rsidR="004B4FF1" w:rsidRPr="00B24B08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倍。</w:t>
      </w:r>
    </w:p>
    <w:p w14:paraId="6B2EF585" w14:textId="3616862E" w:rsidR="005E2E13" w:rsidRDefault="005A3BC9" w:rsidP="005E2E13">
      <w:pPr>
        <w:overflowPunct w:val="0"/>
        <w:snapToGrid w:val="0"/>
        <w:spacing w:beforeLines="50" w:before="180" w:line="360" w:lineRule="auto"/>
        <w:ind w:leftChars="200" w:left="480" w:firstLineChars="183" w:firstLine="51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="00A116E4" w:rsidRPr="00A116E4">
        <w:rPr>
          <w:rFonts w:ascii="Times New Roman" w:eastAsia="標楷體" w:hAnsi="Times New Roman" w:cs="Times New Roman" w:hint="eastAsia"/>
          <w:sz w:val="28"/>
          <w:szCs w:val="28"/>
        </w:rPr>
        <w:t>臺灣地區平均每人每年健保住院醫療費用</w:t>
      </w:r>
      <w:r w:rsidR="00A116E4" w:rsidRPr="00A116E4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A116E4" w:rsidRPr="00A116E4">
        <w:rPr>
          <w:rFonts w:ascii="Times New Roman" w:eastAsia="標楷體" w:hAnsi="Times New Roman" w:cs="Times New Roman" w:hint="eastAsia"/>
          <w:sz w:val="28"/>
          <w:szCs w:val="28"/>
        </w:rPr>
        <w:t>醫院總額支出</w:t>
      </w:r>
    </w:p>
    <w:p w14:paraId="6BA2A784" w14:textId="2DF404C9" w:rsidR="00584504" w:rsidRPr="00584504" w:rsidRDefault="0093618D" w:rsidP="00776B75">
      <w:pPr>
        <w:overflowPunct w:val="0"/>
        <w:snapToGrid w:val="0"/>
        <w:spacing w:beforeLines="50" w:before="180" w:line="360" w:lineRule="auto"/>
        <w:ind w:leftChars="200" w:left="480" w:firstLineChars="183" w:firstLine="439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B268AC" wp14:editId="05686EF6">
            <wp:extent cx="4667250" cy="2700000"/>
            <wp:effectExtent l="0" t="0" r="0" b="5715"/>
            <wp:docPr id="17" name="圖表 17">
              <a:extLst xmlns:a="http://schemas.openxmlformats.org/drawingml/2006/main">
                <a:ext uri="{FF2B5EF4-FFF2-40B4-BE49-F238E27FC236}">
                  <a16:creationId xmlns:a16="http://schemas.microsoft.com/office/drawing/2014/main" id="{895445C1-3BF5-4B79-A568-968BA6822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39FDBF" w14:textId="1485D0EB" w:rsidR="004A3BC9" w:rsidRPr="00B33666" w:rsidRDefault="004A3BC9" w:rsidP="004A3BC9">
      <w:pPr>
        <w:overflowPunct w:val="0"/>
        <w:snapToGrid w:val="0"/>
        <w:spacing w:beforeLines="50" w:before="180" w:line="360" w:lineRule="auto"/>
        <w:ind w:leftChars="200" w:left="480"/>
        <w:jc w:val="center"/>
        <w:rPr>
          <w:rFonts w:eastAsia="標楷體"/>
          <w:bCs/>
          <w:sz w:val="20"/>
        </w:rPr>
      </w:pPr>
      <w:r w:rsidRPr="00B33666">
        <w:rPr>
          <w:rFonts w:eastAsia="標楷體" w:hint="eastAsia"/>
          <w:bCs/>
          <w:sz w:val="20"/>
        </w:rPr>
        <w:t>資料來源：</w:t>
      </w:r>
      <w:r w:rsidR="00A116E4" w:rsidRPr="00A116E4">
        <w:rPr>
          <w:rFonts w:eastAsia="標楷體" w:hint="eastAsia"/>
          <w:bCs/>
          <w:sz w:val="20"/>
        </w:rPr>
        <w:t>健保署全民健康保險統計醫院總額住院醫療費用</w:t>
      </w:r>
      <w:r w:rsidR="00A116E4" w:rsidRPr="00A116E4">
        <w:rPr>
          <w:rFonts w:eastAsia="標楷體" w:hint="eastAsia"/>
          <w:bCs/>
          <w:sz w:val="20"/>
        </w:rPr>
        <w:t>(</w:t>
      </w:r>
      <w:proofErr w:type="gramStart"/>
      <w:r w:rsidR="00A116E4" w:rsidRPr="00A116E4">
        <w:rPr>
          <w:rFonts w:eastAsia="標楷體" w:hint="eastAsia"/>
          <w:bCs/>
          <w:sz w:val="20"/>
        </w:rPr>
        <w:t>採</w:t>
      </w:r>
      <w:proofErr w:type="gramEnd"/>
      <w:r w:rsidR="00A116E4" w:rsidRPr="00A116E4">
        <w:rPr>
          <w:rFonts w:eastAsia="標楷體" w:hint="eastAsia"/>
          <w:bCs/>
          <w:sz w:val="20"/>
        </w:rPr>
        <w:t>申請點數與部分負擔合計為計算基礎</w:t>
      </w:r>
      <w:r w:rsidR="00A116E4" w:rsidRPr="00A116E4">
        <w:rPr>
          <w:rFonts w:eastAsia="標楷體" w:hint="eastAsia"/>
          <w:bCs/>
          <w:sz w:val="20"/>
        </w:rPr>
        <w:t>)</w:t>
      </w:r>
    </w:p>
    <w:p w14:paraId="2F25C94F" w14:textId="46AA1268" w:rsidR="00D87A6A" w:rsidRPr="00B33666" w:rsidRDefault="00D87A6A" w:rsidP="00D86181">
      <w:pPr>
        <w:overflowPunct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【</w:t>
      </w:r>
      <w:r w:rsidR="00326100" w:rsidRPr="00B33666">
        <w:rPr>
          <w:rFonts w:ascii="Times New Roman" w:eastAsia="標楷體" w:hAnsi="Times New Roman" w:cs="Times New Roman"/>
          <w:sz w:val="28"/>
        </w:rPr>
        <w:t>結論</w:t>
      </w:r>
      <w:r w:rsidRPr="00B33666">
        <w:rPr>
          <w:rFonts w:ascii="Times New Roman" w:eastAsia="標楷體" w:hAnsi="Times New Roman" w:cs="Times New Roman"/>
          <w:sz w:val="28"/>
        </w:rPr>
        <w:t>】</w:t>
      </w:r>
    </w:p>
    <w:p w14:paraId="57A8B024" w14:textId="1A42D589" w:rsidR="00B442EC" w:rsidRPr="00B33666" w:rsidRDefault="00490290" w:rsidP="00513A40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雖然損失率係觀察長年期健康保險經營良</w:t>
      </w:r>
      <w:proofErr w:type="gramStart"/>
      <w:r w:rsidRPr="00B33666">
        <w:rPr>
          <w:rFonts w:ascii="Times New Roman" w:eastAsia="標楷體" w:hAnsi="Times New Roman" w:cs="Times New Roman"/>
          <w:sz w:val="28"/>
          <w:szCs w:val="28"/>
        </w:rPr>
        <w:t>窳</w:t>
      </w:r>
      <w:proofErr w:type="gramEnd"/>
      <w:r w:rsidRPr="00B33666">
        <w:rPr>
          <w:rFonts w:ascii="Times New Roman" w:eastAsia="標楷體" w:hAnsi="Times New Roman" w:cs="Times New Roman"/>
          <w:sz w:val="28"/>
          <w:szCs w:val="28"/>
        </w:rPr>
        <w:t>之直接指標，然而此非唯一指標。</w:t>
      </w:r>
      <w:r w:rsidR="00326100" w:rsidRPr="00B33666">
        <w:rPr>
          <w:rFonts w:ascii="Times New Roman" w:eastAsia="標楷體" w:hAnsi="Times New Roman" w:cs="Times New Roman"/>
          <w:sz w:val="28"/>
          <w:szCs w:val="28"/>
        </w:rPr>
        <w:t>考量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我國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高齡化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日益嚴重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與</w:t>
      </w:r>
      <w:proofErr w:type="gramStart"/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平均餘命不斷</w:t>
      </w:r>
      <w:proofErr w:type="gramEnd"/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延長</w:t>
      </w:r>
      <w:r w:rsidR="006B39AC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人口結構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改</w:t>
      </w:r>
      <w:r w:rsidR="00076318" w:rsidRPr="00B33666">
        <w:rPr>
          <w:rFonts w:ascii="Times New Roman" w:eastAsia="標楷體" w:hAnsi="Times New Roman" w:cs="Times New Roman"/>
          <w:sz w:val="28"/>
          <w:szCs w:val="28"/>
        </w:rPr>
        <w:t>變</w:t>
      </w:r>
      <w:r w:rsidR="002F1E48" w:rsidRPr="00B33666">
        <w:rPr>
          <w:rFonts w:ascii="Times New Roman" w:eastAsia="標楷體" w:hAnsi="Times New Roman" w:cs="Times New Roman"/>
          <w:sz w:val="28"/>
          <w:szCs w:val="28"/>
        </w:rPr>
        <w:t>使得</w:t>
      </w:r>
      <w:r w:rsidR="00E363DA" w:rsidRPr="00B33666">
        <w:rPr>
          <w:rFonts w:ascii="Times New Roman" w:eastAsia="標楷體" w:hAnsi="Times New Roman" w:cs="Times New Roman"/>
          <w:sz w:val="28"/>
          <w:szCs w:val="28"/>
        </w:rPr>
        <w:t>高齡人口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數增加，國人面臨所</w:t>
      </w:r>
      <w:r w:rsidR="000F0F99" w:rsidRPr="00B33666">
        <w:rPr>
          <w:rFonts w:ascii="Times New Roman" w:eastAsia="標楷體" w:hAnsi="Times New Roman" w:cs="Times New Roman"/>
          <w:sz w:val="28"/>
          <w:szCs w:val="28"/>
        </w:rPr>
        <w:t>需醫療照護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費用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0F0F99" w:rsidRPr="00B33666">
        <w:rPr>
          <w:rFonts w:ascii="Times New Roman" w:eastAsia="標楷體" w:hAnsi="Times New Roman" w:cs="Times New Roman"/>
          <w:sz w:val="28"/>
          <w:szCs w:val="28"/>
        </w:rPr>
        <w:t>增加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，而提供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長期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醫療保障之商業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長年期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健康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保險</w:t>
      </w:r>
      <w:r w:rsidR="00A74515" w:rsidRPr="00B33666">
        <w:rPr>
          <w:rFonts w:ascii="Times New Roman" w:eastAsia="標楷體" w:hAnsi="Times New Roman" w:cs="Times New Roman"/>
          <w:sz w:val="28"/>
          <w:szCs w:val="28"/>
        </w:rPr>
        <w:t>首當其衝</w:t>
      </w:r>
      <w:r w:rsidR="00A657CC" w:rsidRPr="00B33666">
        <w:rPr>
          <w:rFonts w:ascii="Times New Roman" w:eastAsia="標楷體" w:hAnsi="Times New Roman" w:cs="Times New Roman"/>
          <w:sz w:val="28"/>
          <w:szCs w:val="28"/>
        </w:rPr>
        <w:t>，在面臨</w:t>
      </w:r>
      <w:r w:rsidR="00611599" w:rsidRPr="00B33666">
        <w:rPr>
          <w:rFonts w:ascii="Times New Roman" w:eastAsia="標楷體" w:hAnsi="Times New Roman" w:cs="Times New Roman"/>
          <w:sz w:val="28"/>
          <w:szCs w:val="28"/>
        </w:rPr>
        <w:t>保戶</w:t>
      </w:r>
      <w:r w:rsidR="0046225D" w:rsidRPr="00B33666">
        <w:rPr>
          <w:rFonts w:ascii="Times New Roman" w:eastAsia="標楷體" w:hAnsi="Times New Roman" w:cs="Times New Roman"/>
          <w:sz w:val="28"/>
          <w:szCs w:val="28"/>
        </w:rPr>
        <w:t>實際</w:t>
      </w:r>
      <w:r w:rsidR="005335B5" w:rsidRPr="00B33666">
        <w:rPr>
          <w:rFonts w:ascii="Times New Roman" w:eastAsia="標楷體" w:hAnsi="Times New Roman" w:cs="Times New Roman"/>
          <w:sz w:val="28"/>
          <w:szCs w:val="28"/>
        </w:rPr>
        <w:t>存活年數</w:t>
      </w:r>
      <w:r w:rsidR="00DF1DED" w:rsidRPr="00B33666">
        <w:rPr>
          <w:rFonts w:ascii="Times New Roman" w:eastAsia="標楷體" w:hAnsi="Times New Roman" w:cs="Times New Roman"/>
          <w:sz w:val="28"/>
          <w:szCs w:val="28"/>
        </w:rPr>
        <w:t>增加</w:t>
      </w:r>
      <w:r w:rsidR="003F359C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DF1DED" w:rsidRPr="00B33666">
        <w:rPr>
          <w:rFonts w:ascii="Times New Roman" w:eastAsia="標楷體" w:hAnsi="Times New Roman" w:cs="Times New Roman"/>
          <w:sz w:val="28"/>
          <w:szCs w:val="28"/>
        </w:rPr>
        <w:t>可能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對於</w:t>
      </w:r>
      <w:r w:rsidR="006D058E" w:rsidRPr="00B33666">
        <w:rPr>
          <w:rFonts w:ascii="Times New Roman" w:eastAsia="標楷體" w:hAnsi="Times New Roman" w:cs="Times New Roman"/>
          <w:sz w:val="28"/>
          <w:szCs w:val="28"/>
        </w:rPr>
        <w:t>保險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理賠</w:t>
      </w:r>
      <w:r w:rsidR="000D7720" w:rsidRPr="00B33666">
        <w:rPr>
          <w:rFonts w:ascii="Times New Roman" w:eastAsia="標楷體" w:hAnsi="Times New Roman" w:cs="Times New Roman"/>
          <w:sz w:val="28"/>
          <w:szCs w:val="28"/>
        </w:rPr>
        <w:t>之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支出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造成影響</w:t>
      </w:r>
      <w:r w:rsidR="00F15152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應定期觀察</w:t>
      </w:r>
      <w:r w:rsidR="00EA48EC" w:rsidRPr="00B33666">
        <w:rPr>
          <w:rFonts w:ascii="Times New Roman" w:eastAsia="標楷體" w:hAnsi="Times New Roman" w:cs="Times New Roman"/>
          <w:sz w:val="28"/>
          <w:szCs w:val="28"/>
        </w:rPr>
        <w:t>損失率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之變化</w:t>
      </w:r>
      <w:r w:rsidR="00A66D67" w:rsidRPr="00B33666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B442EC" w:rsidRPr="00B33666" w:rsidSect="00B27569">
      <w:footerReference w:type="default" r:id="rId12"/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734A" w14:textId="77777777" w:rsidR="005F010A" w:rsidRDefault="005F010A" w:rsidP="00351693">
      <w:r>
        <w:separator/>
      </w:r>
    </w:p>
  </w:endnote>
  <w:endnote w:type="continuationSeparator" w:id="0">
    <w:p w14:paraId="27E29F66" w14:textId="77777777" w:rsidR="005F010A" w:rsidRDefault="005F010A" w:rsidP="0035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769480"/>
      <w:docPartObj>
        <w:docPartGallery w:val="Page Numbers (Bottom of Page)"/>
        <w:docPartUnique/>
      </w:docPartObj>
    </w:sdtPr>
    <w:sdtEndPr/>
    <w:sdtContent>
      <w:p w14:paraId="41B7B177" w14:textId="77777777" w:rsidR="0004714E" w:rsidRDefault="0022475A">
        <w:pPr>
          <w:pStyle w:val="a8"/>
          <w:jc w:val="center"/>
        </w:pPr>
        <w:r>
          <w:fldChar w:fldCharType="begin"/>
        </w:r>
        <w:r w:rsidR="0004714E">
          <w:instrText>PAGE   \* MERGEFORMAT</w:instrText>
        </w:r>
        <w:r>
          <w:fldChar w:fldCharType="separate"/>
        </w:r>
        <w:r w:rsidR="00631458" w:rsidRPr="00631458">
          <w:rPr>
            <w:noProof/>
            <w:lang w:val="zh-TW"/>
          </w:rPr>
          <w:t>5</w:t>
        </w:r>
        <w:r>
          <w:fldChar w:fldCharType="end"/>
        </w:r>
      </w:p>
    </w:sdtContent>
  </w:sdt>
  <w:p w14:paraId="3F20085C" w14:textId="77777777" w:rsidR="0004714E" w:rsidRDefault="00047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C4A4" w14:textId="77777777" w:rsidR="005F010A" w:rsidRDefault="005F010A" w:rsidP="00351693">
      <w:r>
        <w:separator/>
      </w:r>
    </w:p>
  </w:footnote>
  <w:footnote w:type="continuationSeparator" w:id="0">
    <w:p w14:paraId="3CAC6F67" w14:textId="77777777" w:rsidR="005F010A" w:rsidRDefault="005F010A" w:rsidP="00351693">
      <w:r>
        <w:continuationSeparator/>
      </w:r>
    </w:p>
  </w:footnote>
  <w:footnote w:id="1">
    <w:p w14:paraId="12D46654" w14:textId="77777777" w:rsidR="003D5DC7" w:rsidRPr="000875A9" w:rsidRDefault="003D5DC7" w:rsidP="003D5DC7">
      <w:pPr>
        <w:pStyle w:val="aa"/>
        <w:rPr>
          <w:rFonts w:ascii="Times New Roman" w:eastAsia="標楷體" w:hAnsi="Times New Roman"/>
        </w:rPr>
      </w:pPr>
      <w:r w:rsidRPr="000875A9">
        <w:rPr>
          <w:rStyle w:val="ac"/>
          <w:rFonts w:ascii="Times New Roman" w:eastAsia="標楷體" w:hAnsi="Times New Roman"/>
        </w:rPr>
        <w:footnoteRef/>
      </w:r>
      <w:r w:rsidRPr="000875A9">
        <w:rPr>
          <w:rFonts w:ascii="Times New Roman" w:eastAsia="標楷體" w:hAnsi="Times New Roman"/>
        </w:rPr>
        <w:t xml:space="preserve"> </w:t>
      </w:r>
      <w:r w:rsidRPr="000875A9">
        <w:rPr>
          <w:rFonts w:ascii="Times New Roman" w:eastAsia="標楷體" w:hAnsi="標楷體"/>
        </w:rPr>
        <w:t>超高齡（</w:t>
      </w:r>
      <w:r w:rsidRPr="000875A9">
        <w:rPr>
          <w:rFonts w:ascii="Times New Roman" w:eastAsia="標楷體" w:hAnsi="Times New Roman"/>
        </w:rPr>
        <w:t>super-aged</w:t>
      </w:r>
      <w:r w:rsidRPr="000875A9">
        <w:rPr>
          <w:rFonts w:ascii="Times New Roman" w:eastAsia="標楷體" w:hAnsi="標楷體"/>
        </w:rPr>
        <w:t>）社會係指</w:t>
      </w:r>
      <w:r w:rsidRPr="000875A9">
        <w:rPr>
          <w:rFonts w:ascii="Times New Roman" w:eastAsia="標楷體" w:hAnsi="Times New Roman"/>
        </w:rPr>
        <w:t>65</w:t>
      </w:r>
      <w:r w:rsidRPr="000875A9">
        <w:rPr>
          <w:rFonts w:ascii="Times New Roman" w:eastAsia="標楷體" w:hAnsi="標楷體"/>
        </w:rPr>
        <w:t>歲以上人口占總人口比率達</w:t>
      </w:r>
      <w:r w:rsidRPr="000875A9">
        <w:rPr>
          <w:rFonts w:ascii="Times New Roman" w:eastAsia="標楷體" w:hAnsi="Times New Roman"/>
        </w:rPr>
        <w:t>20%</w:t>
      </w:r>
      <w:r w:rsidRPr="000875A9">
        <w:rPr>
          <w:rFonts w:ascii="Times New Roman" w:eastAsia="標楷體" w:hAnsi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537A"/>
    <w:multiLevelType w:val="hybridMultilevel"/>
    <w:tmpl w:val="48C87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EC"/>
    <w:rsid w:val="00003467"/>
    <w:rsid w:val="00004340"/>
    <w:rsid w:val="00004653"/>
    <w:rsid w:val="000068FC"/>
    <w:rsid w:val="00006D3C"/>
    <w:rsid w:val="000114FF"/>
    <w:rsid w:val="000118E1"/>
    <w:rsid w:val="0001320C"/>
    <w:rsid w:val="00013A62"/>
    <w:rsid w:val="0001537C"/>
    <w:rsid w:val="0002022C"/>
    <w:rsid w:val="00021AD4"/>
    <w:rsid w:val="000220C2"/>
    <w:rsid w:val="00022F1F"/>
    <w:rsid w:val="000249CB"/>
    <w:rsid w:val="000250CF"/>
    <w:rsid w:val="00025D52"/>
    <w:rsid w:val="00030E07"/>
    <w:rsid w:val="00032A00"/>
    <w:rsid w:val="00033D5D"/>
    <w:rsid w:val="000367A8"/>
    <w:rsid w:val="00036B9D"/>
    <w:rsid w:val="00037509"/>
    <w:rsid w:val="000409E5"/>
    <w:rsid w:val="00046AEB"/>
    <w:rsid w:val="0004714E"/>
    <w:rsid w:val="000510FE"/>
    <w:rsid w:val="00054FC4"/>
    <w:rsid w:val="0005519A"/>
    <w:rsid w:val="000575DB"/>
    <w:rsid w:val="00062B0B"/>
    <w:rsid w:val="00065A85"/>
    <w:rsid w:val="00067E80"/>
    <w:rsid w:val="00067EB6"/>
    <w:rsid w:val="00073DE8"/>
    <w:rsid w:val="00076318"/>
    <w:rsid w:val="00080B92"/>
    <w:rsid w:val="00081FE5"/>
    <w:rsid w:val="0008357A"/>
    <w:rsid w:val="00084885"/>
    <w:rsid w:val="000877B1"/>
    <w:rsid w:val="00092E01"/>
    <w:rsid w:val="00096707"/>
    <w:rsid w:val="00097259"/>
    <w:rsid w:val="000A0D05"/>
    <w:rsid w:val="000A2EF3"/>
    <w:rsid w:val="000A34AF"/>
    <w:rsid w:val="000A475F"/>
    <w:rsid w:val="000A6C20"/>
    <w:rsid w:val="000B1F87"/>
    <w:rsid w:val="000B6BE9"/>
    <w:rsid w:val="000B6C14"/>
    <w:rsid w:val="000C4996"/>
    <w:rsid w:val="000C702E"/>
    <w:rsid w:val="000C7128"/>
    <w:rsid w:val="000D001D"/>
    <w:rsid w:val="000D13AF"/>
    <w:rsid w:val="000D283F"/>
    <w:rsid w:val="000D3650"/>
    <w:rsid w:val="000D3A14"/>
    <w:rsid w:val="000D5596"/>
    <w:rsid w:val="000D7186"/>
    <w:rsid w:val="000D7720"/>
    <w:rsid w:val="000E2566"/>
    <w:rsid w:val="000E396D"/>
    <w:rsid w:val="000E4151"/>
    <w:rsid w:val="000E6528"/>
    <w:rsid w:val="000E662D"/>
    <w:rsid w:val="000E7853"/>
    <w:rsid w:val="000F0592"/>
    <w:rsid w:val="000F0F99"/>
    <w:rsid w:val="000F58AC"/>
    <w:rsid w:val="00101453"/>
    <w:rsid w:val="001032B9"/>
    <w:rsid w:val="00103D11"/>
    <w:rsid w:val="00105A1B"/>
    <w:rsid w:val="00111D31"/>
    <w:rsid w:val="00111EF4"/>
    <w:rsid w:val="001141CF"/>
    <w:rsid w:val="00115D75"/>
    <w:rsid w:val="001164F3"/>
    <w:rsid w:val="00117860"/>
    <w:rsid w:val="00121248"/>
    <w:rsid w:val="0012134F"/>
    <w:rsid w:val="0012284F"/>
    <w:rsid w:val="00123095"/>
    <w:rsid w:val="001243EE"/>
    <w:rsid w:val="00127FE9"/>
    <w:rsid w:val="00131E46"/>
    <w:rsid w:val="001325EF"/>
    <w:rsid w:val="00133427"/>
    <w:rsid w:val="001340A8"/>
    <w:rsid w:val="0014607F"/>
    <w:rsid w:val="00147DF8"/>
    <w:rsid w:val="0015120B"/>
    <w:rsid w:val="00151BB0"/>
    <w:rsid w:val="00151C66"/>
    <w:rsid w:val="00152B39"/>
    <w:rsid w:val="00153249"/>
    <w:rsid w:val="00156D11"/>
    <w:rsid w:val="00157247"/>
    <w:rsid w:val="0015759D"/>
    <w:rsid w:val="00162FF0"/>
    <w:rsid w:val="00163157"/>
    <w:rsid w:val="0016567B"/>
    <w:rsid w:val="00165782"/>
    <w:rsid w:val="0016766A"/>
    <w:rsid w:val="001720D1"/>
    <w:rsid w:val="00172DE6"/>
    <w:rsid w:val="001743F8"/>
    <w:rsid w:val="001749B1"/>
    <w:rsid w:val="001751A7"/>
    <w:rsid w:val="0017522C"/>
    <w:rsid w:val="00183032"/>
    <w:rsid w:val="0018352B"/>
    <w:rsid w:val="001860B0"/>
    <w:rsid w:val="00186117"/>
    <w:rsid w:val="00186161"/>
    <w:rsid w:val="00190A3F"/>
    <w:rsid w:val="00191834"/>
    <w:rsid w:val="00192A55"/>
    <w:rsid w:val="00192EC4"/>
    <w:rsid w:val="001939D7"/>
    <w:rsid w:val="001A4BD6"/>
    <w:rsid w:val="001B1169"/>
    <w:rsid w:val="001B3E7A"/>
    <w:rsid w:val="001B4536"/>
    <w:rsid w:val="001B5170"/>
    <w:rsid w:val="001B5C3C"/>
    <w:rsid w:val="001C1764"/>
    <w:rsid w:val="001C1C3E"/>
    <w:rsid w:val="001C55C6"/>
    <w:rsid w:val="001C5970"/>
    <w:rsid w:val="001C7AF4"/>
    <w:rsid w:val="001D1063"/>
    <w:rsid w:val="001D192C"/>
    <w:rsid w:val="001D5883"/>
    <w:rsid w:val="001D5A84"/>
    <w:rsid w:val="001D5DEC"/>
    <w:rsid w:val="001D657D"/>
    <w:rsid w:val="001D7172"/>
    <w:rsid w:val="001D76C0"/>
    <w:rsid w:val="001E06F1"/>
    <w:rsid w:val="001E3D1A"/>
    <w:rsid w:val="001F0CB7"/>
    <w:rsid w:val="001F3F26"/>
    <w:rsid w:val="001F4096"/>
    <w:rsid w:val="001F6203"/>
    <w:rsid w:val="002009CB"/>
    <w:rsid w:val="00206E15"/>
    <w:rsid w:val="00212DFD"/>
    <w:rsid w:val="0021650C"/>
    <w:rsid w:val="0022475A"/>
    <w:rsid w:val="00226670"/>
    <w:rsid w:val="00234135"/>
    <w:rsid w:val="002403C7"/>
    <w:rsid w:val="002430B8"/>
    <w:rsid w:val="00244BD8"/>
    <w:rsid w:val="00245AB7"/>
    <w:rsid w:val="00250002"/>
    <w:rsid w:val="0025416A"/>
    <w:rsid w:val="002610F7"/>
    <w:rsid w:val="00261BA7"/>
    <w:rsid w:val="00262890"/>
    <w:rsid w:val="002632DA"/>
    <w:rsid w:val="00264514"/>
    <w:rsid w:val="00264F35"/>
    <w:rsid w:val="00271939"/>
    <w:rsid w:val="002728B7"/>
    <w:rsid w:val="00274115"/>
    <w:rsid w:val="00274958"/>
    <w:rsid w:val="00274C89"/>
    <w:rsid w:val="002760C1"/>
    <w:rsid w:val="002854E7"/>
    <w:rsid w:val="00286831"/>
    <w:rsid w:val="00287DAE"/>
    <w:rsid w:val="00291C78"/>
    <w:rsid w:val="002925ED"/>
    <w:rsid w:val="00295010"/>
    <w:rsid w:val="002951C8"/>
    <w:rsid w:val="002974FD"/>
    <w:rsid w:val="00297C6B"/>
    <w:rsid w:val="002A1B4B"/>
    <w:rsid w:val="002A4398"/>
    <w:rsid w:val="002A47F6"/>
    <w:rsid w:val="002B46FA"/>
    <w:rsid w:val="002B54DF"/>
    <w:rsid w:val="002B61F9"/>
    <w:rsid w:val="002B6921"/>
    <w:rsid w:val="002C34F4"/>
    <w:rsid w:val="002C41C9"/>
    <w:rsid w:val="002C6512"/>
    <w:rsid w:val="002D17DE"/>
    <w:rsid w:val="002D2E94"/>
    <w:rsid w:val="002D3A2C"/>
    <w:rsid w:val="002D5F6A"/>
    <w:rsid w:val="002E1CE0"/>
    <w:rsid w:val="002E3836"/>
    <w:rsid w:val="002E55A0"/>
    <w:rsid w:val="002E75CC"/>
    <w:rsid w:val="002F1E48"/>
    <w:rsid w:val="002F3862"/>
    <w:rsid w:val="002F4808"/>
    <w:rsid w:val="002F4B03"/>
    <w:rsid w:val="002F6922"/>
    <w:rsid w:val="00303134"/>
    <w:rsid w:val="003058F8"/>
    <w:rsid w:val="00306737"/>
    <w:rsid w:val="00311EE1"/>
    <w:rsid w:val="003165FF"/>
    <w:rsid w:val="003242B5"/>
    <w:rsid w:val="003253FB"/>
    <w:rsid w:val="00326100"/>
    <w:rsid w:val="00326DFE"/>
    <w:rsid w:val="00327AE7"/>
    <w:rsid w:val="00332F43"/>
    <w:rsid w:val="00341EEE"/>
    <w:rsid w:val="00343834"/>
    <w:rsid w:val="003469C5"/>
    <w:rsid w:val="00350CDB"/>
    <w:rsid w:val="00350F1C"/>
    <w:rsid w:val="00351693"/>
    <w:rsid w:val="00352D78"/>
    <w:rsid w:val="00353308"/>
    <w:rsid w:val="003543DD"/>
    <w:rsid w:val="0035719B"/>
    <w:rsid w:val="00360321"/>
    <w:rsid w:val="00360E8D"/>
    <w:rsid w:val="00361DA5"/>
    <w:rsid w:val="00362ECB"/>
    <w:rsid w:val="00363C82"/>
    <w:rsid w:val="003657D6"/>
    <w:rsid w:val="00365A30"/>
    <w:rsid w:val="00372E97"/>
    <w:rsid w:val="00372F0A"/>
    <w:rsid w:val="00372F43"/>
    <w:rsid w:val="00374B0C"/>
    <w:rsid w:val="00374BED"/>
    <w:rsid w:val="00384F45"/>
    <w:rsid w:val="00386CA7"/>
    <w:rsid w:val="00391927"/>
    <w:rsid w:val="00392579"/>
    <w:rsid w:val="00392ED9"/>
    <w:rsid w:val="00393359"/>
    <w:rsid w:val="00393D92"/>
    <w:rsid w:val="0039475D"/>
    <w:rsid w:val="00394E64"/>
    <w:rsid w:val="00397577"/>
    <w:rsid w:val="003A52DC"/>
    <w:rsid w:val="003A7242"/>
    <w:rsid w:val="003A7D47"/>
    <w:rsid w:val="003B122F"/>
    <w:rsid w:val="003B4369"/>
    <w:rsid w:val="003B4536"/>
    <w:rsid w:val="003B5B9B"/>
    <w:rsid w:val="003B5D0F"/>
    <w:rsid w:val="003B7066"/>
    <w:rsid w:val="003C4D6D"/>
    <w:rsid w:val="003C6548"/>
    <w:rsid w:val="003C6C99"/>
    <w:rsid w:val="003C7908"/>
    <w:rsid w:val="003D2D6F"/>
    <w:rsid w:val="003D5DC7"/>
    <w:rsid w:val="003D64FF"/>
    <w:rsid w:val="003D6998"/>
    <w:rsid w:val="003E25A3"/>
    <w:rsid w:val="003E2D93"/>
    <w:rsid w:val="003E5F50"/>
    <w:rsid w:val="003E6E3C"/>
    <w:rsid w:val="003E748C"/>
    <w:rsid w:val="003F09A5"/>
    <w:rsid w:val="003F1763"/>
    <w:rsid w:val="003F213D"/>
    <w:rsid w:val="003F359C"/>
    <w:rsid w:val="00401540"/>
    <w:rsid w:val="00403B72"/>
    <w:rsid w:val="00405DBC"/>
    <w:rsid w:val="004156A9"/>
    <w:rsid w:val="00420436"/>
    <w:rsid w:val="00420A48"/>
    <w:rsid w:val="00427596"/>
    <w:rsid w:val="0043035D"/>
    <w:rsid w:val="00434C8C"/>
    <w:rsid w:val="00442260"/>
    <w:rsid w:val="00444F35"/>
    <w:rsid w:val="00446DF9"/>
    <w:rsid w:val="00450ADE"/>
    <w:rsid w:val="00451F97"/>
    <w:rsid w:val="00452276"/>
    <w:rsid w:val="00453F39"/>
    <w:rsid w:val="00456CFB"/>
    <w:rsid w:val="00461C01"/>
    <w:rsid w:val="00461FCE"/>
    <w:rsid w:val="0046225D"/>
    <w:rsid w:val="004655C8"/>
    <w:rsid w:val="0046589B"/>
    <w:rsid w:val="004658C1"/>
    <w:rsid w:val="0046683F"/>
    <w:rsid w:val="00466D65"/>
    <w:rsid w:val="00470724"/>
    <w:rsid w:val="00471BB4"/>
    <w:rsid w:val="00471C27"/>
    <w:rsid w:val="004723EF"/>
    <w:rsid w:val="00472DDF"/>
    <w:rsid w:val="00475303"/>
    <w:rsid w:val="00476E02"/>
    <w:rsid w:val="0048563B"/>
    <w:rsid w:val="00485748"/>
    <w:rsid w:val="004863AA"/>
    <w:rsid w:val="00490290"/>
    <w:rsid w:val="004944CF"/>
    <w:rsid w:val="004949C3"/>
    <w:rsid w:val="0049599E"/>
    <w:rsid w:val="004A2C11"/>
    <w:rsid w:val="004A33D7"/>
    <w:rsid w:val="004A3BC9"/>
    <w:rsid w:val="004B00EB"/>
    <w:rsid w:val="004B22D0"/>
    <w:rsid w:val="004B4FF1"/>
    <w:rsid w:val="004B5E8C"/>
    <w:rsid w:val="004B7E95"/>
    <w:rsid w:val="004C1049"/>
    <w:rsid w:val="004C1DA0"/>
    <w:rsid w:val="004C256E"/>
    <w:rsid w:val="004C465C"/>
    <w:rsid w:val="004C4F04"/>
    <w:rsid w:val="004C6A4F"/>
    <w:rsid w:val="004C6E44"/>
    <w:rsid w:val="004D0276"/>
    <w:rsid w:val="004D1638"/>
    <w:rsid w:val="004D5218"/>
    <w:rsid w:val="004D7472"/>
    <w:rsid w:val="004E35F7"/>
    <w:rsid w:val="004E374A"/>
    <w:rsid w:val="004E39F0"/>
    <w:rsid w:val="004E4227"/>
    <w:rsid w:val="004E4E73"/>
    <w:rsid w:val="004E54CE"/>
    <w:rsid w:val="004F3AF5"/>
    <w:rsid w:val="004F7387"/>
    <w:rsid w:val="004F74A0"/>
    <w:rsid w:val="00511344"/>
    <w:rsid w:val="00512EA6"/>
    <w:rsid w:val="00513A40"/>
    <w:rsid w:val="00513EBF"/>
    <w:rsid w:val="00515A0C"/>
    <w:rsid w:val="00520E47"/>
    <w:rsid w:val="0052774C"/>
    <w:rsid w:val="00527FDB"/>
    <w:rsid w:val="0053262C"/>
    <w:rsid w:val="005335B5"/>
    <w:rsid w:val="00535062"/>
    <w:rsid w:val="00536E76"/>
    <w:rsid w:val="00537415"/>
    <w:rsid w:val="00540EC0"/>
    <w:rsid w:val="00543073"/>
    <w:rsid w:val="005545AE"/>
    <w:rsid w:val="00556310"/>
    <w:rsid w:val="00561795"/>
    <w:rsid w:val="00571B04"/>
    <w:rsid w:val="00573813"/>
    <w:rsid w:val="0057513F"/>
    <w:rsid w:val="005753E9"/>
    <w:rsid w:val="00576976"/>
    <w:rsid w:val="00581C7E"/>
    <w:rsid w:val="00583DE9"/>
    <w:rsid w:val="00584504"/>
    <w:rsid w:val="00586B9C"/>
    <w:rsid w:val="00590693"/>
    <w:rsid w:val="0059277C"/>
    <w:rsid w:val="00597DF3"/>
    <w:rsid w:val="005A12E2"/>
    <w:rsid w:val="005A1D08"/>
    <w:rsid w:val="005A3BC9"/>
    <w:rsid w:val="005A79C5"/>
    <w:rsid w:val="005B067B"/>
    <w:rsid w:val="005B0857"/>
    <w:rsid w:val="005B21F3"/>
    <w:rsid w:val="005B50BA"/>
    <w:rsid w:val="005B626C"/>
    <w:rsid w:val="005B7262"/>
    <w:rsid w:val="005B79B6"/>
    <w:rsid w:val="005C0157"/>
    <w:rsid w:val="005C3EB0"/>
    <w:rsid w:val="005C54C8"/>
    <w:rsid w:val="005C6F62"/>
    <w:rsid w:val="005D61E4"/>
    <w:rsid w:val="005D7908"/>
    <w:rsid w:val="005E12AB"/>
    <w:rsid w:val="005E1C23"/>
    <w:rsid w:val="005E2E13"/>
    <w:rsid w:val="005E48A8"/>
    <w:rsid w:val="005E50B0"/>
    <w:rsid w:val="005E5414"/>
    <w:rsid w:val="005E7C71"/>
    <w:rsid w:val="005E7E01"/>
    <w:rsid w:val="005F010A"/>
    <w:rsid w:val="005F0FA5"/>
    <w:rsid w:val="005F2E5B"/>
    <w:rsid w:val="005F3A1E"/>
    <w:rsid w:val="005F4CE2"/>
    <w:rsid w:val="005F5C83"/>
    <w:rsid w:val="005F7060"/>
    <w:rsid w:val="005F7E8D"/>
    <w:rsid w:val="00601A8B"/>
    <w:rsid w:val="00602591"/>
    <w:rsid w:val="006027D4"/>
    <w:rsid w:val="00602D64"/>
    <w:rsid w:val="00604D5E"/>
    <w:rsid w:val="006053E1"/>
    <w:rsid w:val="00605C54"/>
    <w:rsid w:val="00611599"/>
    <w:rsid w:val="0061214A"/>
    <w:rsid w:val="00613E4D"/>
    <w:rsid w:val="0061774A"/>
    <w:rsid w:val="00617DAD"/>
    <w:rsid w:val="006202BA"/>
    <w:rsid w:val="006205B6"/>
    <w:rsid w:val="006220DE"/>
    <w:rsid w:val="0063141C"/>
    <w:rsid w:val="00631458"/>
    <w:rsid w:val="00632066"/>
    <w:rsid w:val="006321F1"/>
    <w:rsid w:val="0063376E"/>
    <w:rsid w:val="006420A5"/>
    <w:rsid w:val="00643382"/>
    <w:rsid w:val="00644331"/>
    <w:rsid w:val="0065077B"/>
    <w:rsid w:val="006512D8"/>
    <w:rsid w:val="00651E00"/>
    <w:rsid w:val="00651E4B"/>
    <w:rsid w:val="006524D0"/>
    <w:rsid w:val="006529E5"/>
    <w:rsid w:val="006541B8"/>
    <w:rsid w:val="00654C03"/>
    <w:rsid w:val="00655D61"/>
    <w:rsid w:val="00657060"/>
    <w:rsid w:val="0066075F"/>
    <w:rsid w:val="006631F5"/>
    <w:rsid w:val="00666F54"/>
    <w:rsid w:val="00670150"/>
    <w:rsid w:val="006740CA"/>
    <w:rsid w:val="00677E22"/>
    <w:rsid w:val="00680123"/>
    <w:rsid w:val="0068443D"/>
    <w:rsid w:val="00686241"/>
    <w:rsid w:val="00686A1F"/>
    <w:rsid w:val="00686AA6"/>
    <w:rsid w:val="00686F8E"/>
    <w:rsid w:val="0068739E"/>
    <w:rsid w:val="006905E3"/>
    <w:rsid w:val="00691A32"/>
    <w:rsid w:val="006926BC"/>
    <w:rsid w:val="00693A1A"/>
    <w:rsid w:val="00693EE7"/>
    <w:rsid w:val="006967B9"/>
    <w:rsid w:val="00697D2D"/>
    <w:rsid w:val="00697F97"/>
    <w:rsid w:val="006A03DD"/>
    <w:rsid w:val="006A1720"/>
    <w:rsid w:val="006A2487"/>
    <w:rsid w:val="006B3595"/>
    <w:rsid w:val="006B39AC"/>
    <w:rsid w:val="006B6839"/>
    <w:rsid w:val="006B6BF2"/>
    <w:rsid w:val="006B7735"/>
    <w:rsid w:val="006C5B75"/>
    <w:rsid w:val="006C6DD0"/>
    <w:rsid w:val="006C7741"/>
    <w:rsid w:val="006C7E36"/>
    <w:rsid w:val="006D058E"/>
    <w:rsid w:val="006D0DEF"/>
    <w:rsid w:val="006D3583"/>
    <w:rsid w:val="006D3E34"/>
    <w:rsid w:val="006D67AD"/>
    <w:rsid w:val="006D67B2"/>
    <w:rsid w:val="006D7A5E"/>
    <w:rsid w:val="006E2EEF"/>
    <w:rsid w:val="006E344E"/>
    <w:rsid w:val="006E62C7"/>
    <w:rsid w:val="006F0F2B"/>
    <w:rsid w:val="006F2807"/>
    <w:rsid w:val="006F30CA"/>
    <w:rsid w:val="006F46B7"/>
    <w:rsid w:val="006F6660"/>
    <w:rsid w:val="007110C5"/>
    <w:rsid w:val="00712AFA"/>
    <w:rsid w:val="007138C0"/>
    <w:rsid w:val="00717392"/>
    <w:rsid w:val="007225C6"/>
    <w:rsid w:val="00722AFF"/>
    <w:rsid w:val="007237BA"/>
    <w:rsid w:val="00724142"/>
    <w:rsid w:val="007252C0"/>
    <w:rsid w:val="0073562C"/>
    <w:rsid w:val="007368B2"/>
    <w:rsid w:val="00737877"/>
    <w:rsid w:val="00740C1C"/>
    <w:rsid w:val="0074423A"/>
    <w:rsid w:val="00744FC1"/>
    <w:rsid w:val="007470D2"/>
    <w:rsid w:val="00750F6D"/>
    <w:rsid w:val="00751814"/>
    <w:rsid w:val="00751D44"/>
    <w:rsid w:val="00755791"/>
    <w:rsid w:val="00756217"/>
    <w:rsid w:val="00756761"/>
    <w:rsid w:val="00756B10"/>
    <w:rsid w:val="0076423B"/>
    <w:rsid w:val="0076481F"/>
    <w:rsid w:val="00766137"/>
    <w:rsid w:val="007678AF"/>
    <w:rsid w:val="00771DEE"/>
    <w:rsid w:val="00771DF5"/>
    <w:rsid w:val="00772AFB"/>
    <w:rsid w:val="00776AB5"/>
    <w:rsid w:val="00776B75"/>
    <w:rsid w:val="00780729"/>
    <w:rsid w:val="0078074C"/>
    <w:rsid w:val="00782B76"/>
    <w:rsid w:val="00782DE0"/>
    <w:rsid w:val="0078330A"/>
    <w:rsid w:val="00783EAF"/>
    <w:rsid w:val="007857AA"/>
    <w:rsid w:val="00786360"/>
    <w:rsid w:val="00786B56"/>
    <w:rsid w:val="00787E02"/>
    <w:rsid w:val="00791812"/>
    <w:rsid w:val="00791D34"/>
    <w:rsid w:val="007920CF"/>
    <w:rsid w:val="00793685"/>
    <w:rsid w:val="0079421E"/>
    <w:rsid w:val="00795A9F"/>
    <w:rsid w:val="00796014"/>
    <w:rsid w:val="00796EF6"/>
    <w:rsid w:val="007A253D"/>
    <w:rsid w:val="007A3125"/>
    <w:rsid w:val="007A5A4E"/>
    <w:rsid w:val="007B0C98"/>
    <w:rsid w:val="007B1DEE"/>
    <w:rsid w:val="007B6485"/>
    <w:rsid w:val="007C25E0"/>
    <w:rsid w:val="007C3273"/>
    <w:rsid w:val="007C3D82"/>
    <w:rsid w:val="007C4E1C"/>
    <w:rsid w:val="007C6EC5"/>
    <w:rsid w:val="007C6FFB"/>
    <w:rsid w:val="007D5539"/>
    <w:rsid w:val="007E0070"/>
    <w:rsid w:val="007E1EA1"/>
    <w:rsid w:val="007E3B48"/>
    <w:rsid w:val="007F43EF"/>
    <w:rsid w:val="007F664C"/>
    <w:rsid w:val="007F7E7C"/>
    <w:rsid w:val="00800886"/>
    <w:rsid w:val="008009C6"/>
    <w:rsid w:val="00803F23"/>
    <w:rsid w:val="00810CF4"/>
    <w:rsid w:val="00812481"/>
    <w:rsid w:val="008138E5"/>
    <w:rsid w:val="00815398"/>
    <w:rsid w:val="00816C8A"/>
    <w:rsid w:val="00822046"/>
    <w:rsid w:val="008223AF"/>
    <w:rsid w:val="0082453E"/>
    <w:rsid w:val="00825D2D"/>
    <w:rsid w:val="00825E92"/>
    <w:rsid w:val="00826981"/>
    <w:rsid w:val="00830A2B"/>
    <w:rsid w:val="008320EB"/>
    <w:rsid w:val="00833CA5"/>
    <w:rsid w:val="00837011"/>
    <w:rsid w:val="008374C4"/>
    <w:rsid w:val="008375C1"/>
    <w:rsid w:val="00842660"/>
    <w:rsid w:val="008463B6"/>
    <w:rsid w:val="008466A5"/>
    <w:rsid w:val="00851786"/>
    <w:rsid w:val="00851C88"/>
    <w:rsid w:val="00853E38"/>
    <w:rsid w:val="008545BF"/>
    <w:rsid w:val="00855BAB"/>
    <w:rsid w:val="008602DE"/>
    <w:rsid w:val="00861D54"/>
    <w:rsid w:val="00865895"/>
    <w:rsid w:val="00865FB6"/>
    <w:rsid w:val="0086665C"/>
    <w:rsid w:val="00866BE2"/>
    <w:rsid w:val="00866D46"/>
    <w:rsid w:val="00866F27"/>
    <w:rsid w:val="00871818"/>
    <w:rsid w:val="00880A4A"/>
    <w:rsid w:val="0088270E"/>
    <w:rsid w:val="0089326D"/>
    <w:rsid w:val="008957C2"/>
    <w:rsid w:val="008A010F"/>
    <w:rsid w:val="008A136A"/>
    <w:rsid w:val="008A188D"/>
    <w:rsid w:val="008A5A07"/>
    <w:rsid w:val="008A705C"/>
    <w:rsid w:val="008B0036"/>
    <w:rsid w:val="008B354F"/>
    <w:rsid w:val="008B43F0"/>
    <w:rsid w:val="008B5490"/>
    <w:rsid w:val="008B7492"/>
    <w:rsid w:val="008B762C"/>
    <w:rsid w:val="008D014E"/>
    <w:rsid w:val="008D36E2"/>
    <w:rsid w:val="008E02C4"/>
    <w:rsid w:val="008E2548"/>
    <w:rsid w:val="008E2B68"/>
    <w:rsid w:val="008F6360"/>
    <w:rsid w:val="008F69CE"/>
    <w:rsid w:val="009009A1"/>
    <w:rsid w:val="00901B4F"/>
    <w:rsid w:val="00905EB8"/>
    <w:rsid w:val="009073DB"/>
    <w:rsid w:val="00910EC2"/>
    <w:rsid w:val="00911D54"/>
    <w:rsid w:val="00913B82"/>
    <w:rsid w:val="0091619B"/>
    <w:rsid w:val="0091621A"/>
    <w:rsid w:val="00916C28"/>
    <w:rsid w:val="00917E57"/>
    <w:rsid w:val="00920448"/>
    <w:rsid w:val="00925D6E"/>
    <w:rsid w:val="009271E2"/>
    <w:rsid w:val="00935A3C"/>
    <w:rsid w:val="00935D32"/>
    <w:rsid w:val="0093618D"/>
    <w:rsid w:val="009459D7"/>
    <w:rsid w:val="00947A18"/>
    <w:rsid w:val="00950851"/>
    <w:rsid w:val="00950C57"/>
    <w:rsid w:val="0095505F"/>
    <w:rsid w:val="00955541"/>
    <w:rsid w:val="00955983"/>
    <w:rsid w:val="00955F80"/>
    <w:rsid w:val="00957B38"/>
    <w:rsid w:val="00961076"/>
    <w:rsid w:val="00965995"/>
    <w:rsid w:val="009776F4"/>
    <w:rsid w:val="0098510A"/>
    <w:rsid w:val="0098566C"/>
    <w:rsid w:val="00987583"/>
    <w:rsid w:val="00987E25"/>
    <w:rsid w:val="00991767"/>
    <w:rsid w:val="00992093"/>
    <w:rsid w:val="00994EE7"/>
    <w:rsid w:val="00995E81"/>
    <w:rsid w:val="009A1AAD"/>
    <w:rsid w:val="009A4105"/>
    <w:rsid w:val="009A428D"/>
    <w:rsid w:val="009A7F3E"/>
    <w:rsid w:val="009C25A6"/>
    <w:rsid w:val="009C2E0A"/>
    <w:rsid w:val="009C488A"/>
    <w:rsid w:val="009C5133"/>
    <w:rsid w:val="009C7C52"/>
    <w:rsid w:val="009D1A6D"/>
    <w:rsid w:val="009D3324"/>
    <w:rsid w:val="009D56EE"/>
    <w:rsid w:val="009D5CCA"/>
    <w:rsid w:val="009F0838"/>
    <w:rsid w:val="009F1C11"/>
    <w:rsid w:val="009F6F1D"/>
    <w:rsid w:val="00A022E1"/>
    <w:rsid w:val="00A05196"/>
    <w:rsid w:val="00A10F73"/>
    <w:rsid w:val="00A116E4"/>
    <w:rsid w:val="00A2010E"/>
    <w:rsid w:val="00A22487"/>
    <w:rsid w:val="00A234DC"/>
    <w:rsid w:val="00A25083"/>
    <w:rsid w:val="00A25680"/>
    <w:rsid w:val="00A26134"/>
    <w:rsid w:val="00A313BC"/>
    <w:rsid w:val="00A31FC9"/>
    <w:rsid w:val="00A32B0F"/>
    <w:rsid w:val="00A35AB8"/>
    <w:rsid w:val="00A41720"/>
    <w:rsid w:val="00A418EE"/>
    <w:rsid w:val="00A44553"/>
    <w:rsid w:val="00A45C47"/>
    <w:rsid w:val="00A46E2B"/>
    <w:rsid w:val="00A4725E"/>
    <w:rsid w:val="00A51393"/>
    <w:rsid w:val="00A52935"/>
    <w:rsid w:val="00A530A4"/>
    <w:rsid w:val="00A53F79"/>
    <w:rsid w:val="00A54FAB"/>
    <w:rsid w:val="00A54FBD"/>
    <w:rsid w:val="00A56F22"/>
    <w:rsid w:val="00A61ECA"/>
    <w:rsid w:val="00A657CC"/>
    <w:rsid w:val="00A66D67"/>
    <w:rsid w:val="00A66DB8"/>
    <w:rsid w:val="00A6753B"/>
    <w:rsid w:val="00A67FB2"/>
    <w:rsid w:val="00A72521"/>
    <w:rsid w:val="00A7280C"/>
    <w:rsid w:val="00A72BAD"/>
    <w:rsid w:val="00A73B09"/>
    <w:rsid w:val="00A74515"/>
    <w:rsid w:val="00A754DF"/>
    <w:rsid w:val="00A7719C"/>
    <w:rsid w:val="00A77EA4"/>
    <w:rsid w:val="00A80EDD"/>
    <w:rsid w:val="00A81FF3"/>
    <w:rsid w:val="00A829DF"/>
    <w:rsid w:val="00A83A09"/>
    <w:rsid w:val="00A84852"/>
    <w:rsid w:val="00A868D0"/>
    <w:rsid w:val="00A90FF2"/>
    <w:rsid w:val="00A9572B"/>
    <w:rsid w:val="00A964DB"/>
    <w:rsid w:val="00A96ED2"/>
    <w:rsid w:val="00AB0421"/>
    <w:rsid w:val="00AB25B3"/>
    <w:rsid w:val="00AB3283"/>
    <w:rsid w:val="00AB3BEB"/>
    <w:rsid w:val="00AC5359"/>
    <w:rsid w:val="00AD107B"/>
    <w:rsid w:val="00AD1958"/>
    <w:rsid w:val="00AE0A84"/>
    <w:rsid w:val="00AE2434"/>
    <w:rsid w:val="00AE5CCC"/>
    <w:rsid w:val="00AE6815"/>
    <w:rsid w:val="00AE6F68"/>
    <w:rsid w:val="00AF2D84"/>
    <w:rsid w:val="00AF417B"/>
    <w:rsid w:val="00AF4203"/>
    <w:rsid w:val="00AF479C"/>
    <w:rsid w:val="00AF49B9"/>
    <w:rsid w:val="00AF62C8"/>
    <w:rsid w:val="00B020C5"/>
    <w:rsid w:val="00B04BC0"/>
    <w:rsid w:val="00B105EB"/>
    <w:rsid w:val="00B117AA"/>
    <w:rsid w:val="00B140BC"/>
    <w:rsid w:val="00B147AB"/>
    <w:rsid w:val="00B15ACA"/>
    <w:rsid w:val="00B1618E"/>
    <w:rsid w:val="00B16B71"/>
    <w:rsid w:val="00B178FF"/>
    <w:rsid w:val="00B17BF7"/>
    <w:rsid w:val="00B242C1"/>
    <w:rsid w:val="00B24B08"/>
    <w:rsid w:val="00B26B37"/>
    <w:rsid w:val="00B27569"/>
    <w:rsid w:val="00B2763A"/>
    <w:rsid w:val="00B301A1"/>
    <w:rsid w:val="00B30330"/>
    <w:rsid w:val="00B31EF8"/>
    <w:rsid w:val="00B333BD"/>
    <w:rsid w:val="00B33666"/>
    <w:rsid w:val="00B3718E"/>
    <w:rsid w:val="00B37338"/>
    <w:rsid w:val="00B42045"/>
    <w:rsid w:val="00B440C8"/>
    <w:rsid w:val="00B442EC"/>
    <w:rsid w:val="00B4468C"/>
    <w:rsid w:val="00B46FD6"/>
    <w:rsid w:val="00B53278"/>
    <w:rsid w:val="00B536BF"/>
    <w:rsid w:val="00B54CBC"/>
    <w:rsid w:val="00B57909"/>
    <w:rsid w:val="00B57B8F"/>
    <w:rsid w:val="00B65369"/>
    <w:rsid w:val="00B65651"/>
    <w:rsid w:val="00B66D36"/>
    <w:rsid w:val="00B70C7F"/>
    <w:rsid w:val="00B715CD"/>
    <w:rsid w:val="00B74734"/>
    <w:rsid w:val="00B83C22"/>
    <w:rsid w:val="00B83CCC"/>
    <w:rsid w:val="00B863B1"/>
    <w:rsid w:val="00B92586"/>
    <w:rsid w:val="00B929D1"/>
    <w:rsid w:val="00B955B1"/>
    <w:rsid w:val="00B95C45"/>
    <w:rsid w:val="00B95FB1"/>
    <w:rsid w:val="00BA0D32"/>
    <w:rsid w:val="00BA1AC8"/>
    <w:rsid w:val="00BC0A47"/>
    <w:rsid w:val="00BC2A66"/>
    <w:rsid w:val="00BC3466"/>
    <w:rsid w:val="00BC6E23"/>
    <w:rsid w:val="00BE21A6"/>
    <w:rsid w:val="00BE550C"/>
    <w:rsid w:val="00BF005E"/>
    <w:rsid w:val="00BF1AEA"/>
    <w:rsid w:val="00BF28E8"/>
    <w:rsid w:val="00BF3183"/>
    <w:rsid w:val="00BF3654"/>
    <w:rsid w:val="00BF4A73"/>
    <w:rsid w:val="00BF5BA6"/>
    <w:rsid w:val="00BF5D7D"/>
    <w:rsid w:val="00C03472"/>
    <w:rsid w:val="00C0511C"/>
    <w:rsid w:val="00C05997"/>
    <w:rsid w:val="00C06799"/>
    <w:rsid w:val="00C108CC"/>
    <w:rsid w:val="00C12FE0"/>
    <w:rsid w:val="00C13E3C"/>
    <w:rsid w:val="00C155B3"/>
    <w:rsid w:val="00C16B91"/>
    <w:rsid w:val="00C16D99"/>
    <w:rsid w:val="00C223DE"/>
    <w:rsid w:val="00C22C6F"/>
    <w:rsid w:val="00C23D82"/>
    <w:rsid w:val="00C34D9A"/>
    <w:rsid w:val="00C366DE"/>
    <w:rsid w:val="00C424DB"/>
    <w:rsid w:val="00C4305B"/>
    <w:rsid w:val="00C4742F"/>
    <w:rsid w:val="00C50BC4"/>
    <w:rsid w:val="00C50FF1"/>
    <w:rsid w:val="00C5484F"/>
    <w:rsid w:val="00C5545A"/>
    <w:rsid w:val="00C55CCF"/>
    <w:rsid w:val="00C64F9D"/>
    <w:rsid w:val="00C661F1"/>
    <w:rsid w:val="00C7058C"/>
    <w:rsid w:val="00C71ADB"/>
    <w:rsid w:val="00C74D7E"/>
    <w:rsid w:val="00C765A4"/>
    <w:rsid w:val="00C77C32"/>
    <w:rsid w:val="00C82041"/>
    <w:rsid w:val="00C84D8A"/>
    <w:rsid w:val="00C860E1"/>
    <w:rsid w:val="00C93D33"/>
    <w:rsid w:val="00CA0101"/>
    <w:rsid w:val="00CA4A3F"/>
    <w:rsid w:val="00CA54B8"/>
    <w:rsid w:val="00CB22AB"/>
    <w:rsid w:val="00CB2D15"/>
    <w:rsid w:val="00CB3FC0"/>
    <w:rsid w:val="00CB49DE"/>
    <w:rsid w:val="00CC2930"/>
    <w:rsid w:val="00CC3F26"/>
    <w:rsid w:val="00CD0535"/>
    <w:rsid w:val="00CD0E85"/>
    <w:rsid w:val="00CD16DC"/>
    <w:rsid w:val="00CD2BF0"/>
    <w:rsid w:val="00CD32CA"/>
    <w:rsid w:val="00CD5CBC"/>
    <w:rsid w:val="00CD71B7"/>
    <w:rsid w:val="00CE2721"/>
    <w:rsid w:val="00CE50B0"/>
    <w:rsid w:val="00CF1431"/>
    <w:rsid w:val="00CF1D51"/>
    <w:rsid w:val="00CF4F8B"/>
    <w:rsid w:val="00D00B59"/>
    <w:rsid w:val="00D0176C"/>
    <w:rsid w:val="00D04323"/>
    <w:rsid w:val="00D049B2"/>
    <w:rsid w:val="00D04BF2"/>
    <w:rsid w:val="00D128BC"/>
    <w:rsid w:val="00D141E7"/>
    <w:rsid w:val="00D1594B"/>
    <w:rsid w:val="00D16085"/>
    <w:rsid w:val="00D16163"/>
    <w:rsid w:val="00D22C4D"/>
    <w:rsid w:val="00D3106C"/>
    <w:rsid w:val="00D4091A"/>
    <w:rsid w:val="00D44E45"/>
    <w:rsid w:val="00D461D8"/>
    <w:rsid w:val="00D472FB"/>
    <w:rsid w:val="00D47E88"/>
    <w:rsid w:val="00D5034F"/>
    <w:rsid w:val="00D50450"/>
    <w:rsid w:val="00D50C37"/>
    <w:rsid w:val="00D52701"/>
    <w:rsid w:val="00D544A1"/>
    <w:rsid w:val="00D5656D"/>
    <w:rsid w:val="00D62601"/>
    <w:rsid w:val="00D63897"/>
    <w:rsid w:val="00D63D59"/>
    <w:rsid w:val="00D643A0"/>
    <w:rsid w:val="00D65C2E"/>
    <w:rsid w:val="00D6783C"/>
    <w:rsid w:val="00D70470"/>
    <w:rsid w:val="00D705C3"/>
    <w:rsid w:val="00D73B2B"/>
    <w:rsid w:val="00D7421A"/>
    <w:rsid w:val="00D74471"/>
    <w:rsid w:val="00D74E50"/>
    <w:rsid w:val="00D75307"/>
    <w:rsid w:val="00D75373"/>
    <w:rsid w:val="00D76CCC"/>
    <w:rsid w:val="00D776D6"/>
    <w:rsid w:val="00D83489"/>
    <w:rsid w:val="00D8369E"/>
    <w:rsid w:val="00D83701"/>
    <w:rsid w:val="00D84B7C"/>
    <w:rsid w:val="00D86181"/>
    <w:rsid w:val="00D87A6A"/>
    <w:rsid w:val="00D941BA"/>
    <w:rsid w:val="00D94D0F"/>
    <w:rsid w:val="00D94F46"/>
    <w:rsid w:val="00D95B94"/>
    <w:rsid w:val="00D9647F"/>
    <w:rsid w:val="00DA1876"/>
    <w:rsid w:val="00DA2F58"/>
    <w:rsid w:val="00DA4CF2"/>
    <w:rsid w:val="00DA7D72"/>
    <w:rsid w:val="00DB0502"/>
    <w:rsid w:val="00DB1CCF"/>
    <w:rsid w:val="00DB2499"/>
    <w:rsid w:val="00DB3934"/>
    <w:rsid w:val="00DB5317"/>
    <w:rsid w:val="00DB74F8"/>
    <w:rsid w:val="00DC2CB5"/>
    <w:rsid w:val="00DC3F1A"/>
    <w:rsid w:val="00DD227B"/>
    <w:rsid w:val="00DD27D8"/>
    <w:rsid w:val="00DD2DFF"/>
    <w:rsid w:val="00DD6038"/>
    <w:rsid w:val="00DE09A2"/>
    <w:rsid w:val="00DE0B14"/>
    <w:rsid w:val="00DE18CA"/>
    <w:rsid w:val="00DE1D48"/>
    <w:rsid w:val="00DE2493"/>
    <w:rsid w:val="00DE6125"/>
    <w:rsid w:val="00DF0BE5"/>
    <w:rsid w:val="00DF1DED"/>
    <w:rsid w:val="00DF7275"/>
    <w:rsid w:val="00E053F6"/>
    <w:rsid w:val="00E10501"/>
    <w:rsid w:val="00E14A1E"/>
    <w:rsid w:val="00E15533"/>
    <w:rsid w:val="00E17F98"/>
    <w:rsid w:val="00E21F0F"/>
    <w:rsid w:val="00E226BB"/>
    <w:rsid w:val="00E22EF6"/>
    <w:rsid w:val="00E2313C"/>
    <w:rsid w:val="00E26551"/>
    <w:rsid w:val="00E33E80"/>
    <w:rsid w:val="00E363DA"/>
    <w:rsid w:val="00E41E7C"/>
    <w:rsid w:val="00E44710"/>
    <w:rsid w:val="00E46CE0"/>
    <w:rsid w:val="00E53132"/>
    <w:rsid w:val="00E55E0C"/>
    <w:rsid w:val="00E5709B"/>
    <w:rsid w:val="00E625F9"/>
    <w:rsid w:val="00E63178"/>
    <w:rsid w:val="00E64757"/>
    <w:rsid w:val="00E70162"/>
    <w:rsid w:val="00E70AB7"/>
    <w:rsid w:val="00E71BB0"/>
    <w:rsid w:val="00E769EE"/>
    <w:rsid w:val="00E7787E"/>
    <w:rsid w:val="00E8049F"/>
    <w:rsid w:val="00E8111C"/>
    <w:rsid w:val="00E82179"/>
    <w:rsid w:val="00E836C1"/>
    <w:rsid w:val="00E83C3F"/>
    <w:rsid w:val="00E90E0C"/>
    <w:rsid w:val="00E93E56"/>
    <w:rsid w:val="00EA0CEF"/>
    <w:rsid w:val="00EA3A77"/>
    <w:rsid w:val="00EA48EC"/>
    <w:rsid w:val="00EA4970"/>
    <w:rsid w:val="00EB3E74"/>
    <w:rsid w:val="00EB5C72"/>
    <w:rsid w:val="00EB5CD7"/>
    <w:rsid w:val="00EC0D79"/>
    <w:rsid w:val="00EC25A0"/>
    <w:rsid w:val="00EC27EC"/>
    <w:rsid w:val="00EC4786"/>
    <w:rsid w:val="00EC5247"/>
    <w:rsid w:val="00ED2434"/>
    <w:rsid w:val="00ED2C7B"/>
    <w:rsid w:val="00ED538B"/>
    <w:rsid w:val="00ED753F"/>
    <w:rsid w:val="00EE02D4"/>
    <w:rsid w:val="00EE0913"/>
    <w:rsid w:val="00EE5DE6"/>
    <w:rsid w:val="00EE630B"/>
    <w:rsid w:val="00EF0212"/>
    <w:rsid w:val="00EF34A0"/>
    <w:rsid w:val="00EF48F8"/>
    <w:rsid w:val="00EF573E"/>
    <w:rsid w:val="00EF60EF"/>
    <w:rsid w:val="00EF6F6A"/>
    <w:rsid w:val="00F002E0"/>
    <w:rsid w:val="00F03338"/>
    <w:rsid w:val="00F056EA"/>
    <w:rsid w:val="00F07A90"/>
    <w:rsid w:val="00F11B6D"/>
    <w:rsid w:val="00F14A30"/>
    <w:rsid w:val="00F15152"/>
    <w:rsid w:val="00F2278F"/>
    <w:rsid w:val="00F22869"/>
    <w:rsid w:val="00F244F2"/>
    <w:rsid w:val="00F259F6"/>
    <w:rsid w:val="00F25FDD"/>
    <w:rsid w:val="00F27CB1"/>
    <w:rsid w:val="00F320BC"/>
    <w:rsid w:val="00F32767"/>
    <w:rsid w:val="00F34E9F"/>
    <w:rsid w:val="00F352A4"/>
    <w:rsid w:val="00F420EA"/>
    <w:rsid w:val="00F459D9"/>
    <w:rsid w:val="00F52D56"/>
    <w:rsid w:val="00F553A7"/>
    <w:rsid w:val="00F56FAF"/>
    <w:rsid w:val="00F57BA8"/>
    <w:rsid w:val="00F61769"/>
    <w:rsid w:val="00F7169E"/>
    <w:rsid w:val="00F73E32"/>
    <w:rsid w:val="00F7422A"/>
    <w:rsid w:val="00F75054"/>
    <w:rsid w:val="00F84032"/>
    <w:rsid w:val="00F964E9"/>
    <w:rsid w:val="00FA08EC"/>
    <w:rsid w:val="00FA244D"/>
    <w:rsid w:val="00FA2A39"/>
    <w:rsid w:val="00FB0203"/>
    <w:rsid w:val="00FB3083"/>
    <w:rsid w:val="00FB59C2"/>
    <w:rsid w:val="00FB5F1A"/>
    <w:rsid w:val="00FC0161"/>
    <w:rsid w:val="00FC1F33"/>
    <w:rsid w:val="00FC28AA"/>
    <w:rsid w:val="00FC3408"/>
    <w:rsid w:val="00FC64E4"/>
    <w:rsid w:val="00FD2056"/>
    <w:rsid w:val="00FD459E"/>
    <w:rsid w:val="00FE2919"/>
    <w:rsid w:val="00FE3588"/>
    <w:rsid w:val="00FE75C3"/>
    <w:rsid w:val="00FF001B"/>
    <w:rsid w:val="00FF0ACE"/>
    <w:rsid w:val="00FF1D32"/>
    <w:rsid w:val="00FF1F0D"/>
    <w:rsid w:val="00FF278A"/>
    <w:rsid w:val="00FF3143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B3587"/>
  <w15:docId w15:val="{EFEE1A9C-B472-4264-B2B5-2208173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2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42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693"/>
    <w:rPr>
      <w:sz w:val="20"/>
      <w:szCs w:val="20"/>
    </w:rPr>
  </w:style>
  <w:style w:type="paragraph" w:styleId="aa">
    <w:name w:val="footnote text"/>
    <w:basedOn w:val="a"/>
    <w:link w:val="ab"/>
    <w:semiHidden/>
    <w:unhideWhenUsed/>
    <w:rsid w:val="00EE091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EE0913"/>
    <w:rPr>
      <w:sz w:val="20"/>
      <w:szCs w:val="20"/>
    </w:rPr>
  </w:style>
  <w:style w:type="character" w:styleId="ac">
    <w:name w:val="footnote reference"/>
    <w:basedOn w:val="a0"/>
    <w:semiHidden/>
    <w:unhideWhenUsed/>
    <w:rsid w:val="00EE0913"/>
    <w:rPr>
      <w:vertAlign w:val="superscript"/>
    </w:rPr>
  </w:style>
  <w:style w:type="character" w:styleId="ad">
    <w:name w:val="Hyperlink"/>
    <w:basedOn w:val="a0"/>
    <w:uiPriority w:val="99"/>
    <w:unhideWhenUsed/>
    <w:rsid w:val="00151C6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1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2&#24180;\&#20998;&#20844;&#21496;&#21029;_26-4&#38263;&#24180;&#26399;&#20581;&#24247;&#38570;&#24409;&#25972;&#32080;&#26524;(112&#24180;)_05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2&#24180;\&#21443;&#32771;&#36039;&#26009;\&#20303;&#38498;&#37291;&#30274;&#36027;&#29992;_&#37291;&#38498;&#32317;&#38989;---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2&#24180;\&#21443;&#32771;&#36039;&#26009;\&#20303;&#38498;&#37291;&#30274;&#36027;&#29992;_&#37291;&#38498;&#32317;&#38989;---NE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保單年度</a:t>
            </a:r>
          </a:p>
        </c:rich>
      </c:tx>
      <c:layout>
        <c:manualLayout>
          <c:xMode val="edge"/>
          <c:yMode val="edge"/>
          <c:x val="0.77879228055613203"/>
          <c:y val="0.90102758611610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3480536763890431E-2"/>
          <c:y val="0.20857540564685351"/>
          <c:w val="0.8188668810764852"/>
          <c:h val="0.61057860511499384"/>
        </c:manualLayout>
      </c:layout>
      <c:lineChart>
        <c:grouping val="standard"/>
        <c:varyColors val="0"/>
        <c:ser>
          <c:idx val="0"/>
          <c:order val="0"/>
          <c:tx>
            <c:strRef>
              <c:f>圖!$B$10</c:f>
              <c:strCache>
                <c:ptCount val="1"/>
                <c:pt idx="0">
                  <c:v>110填報年度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圖!$C$10:$N$10</c:f>
              <c:numCache>
                <c:formatCode>0%</c:formatCode>
                <c:ptCount val="12"/>
                <c:pt idx="0">
                  <c:v>0.39512105622382399</c:v>
                </c:pt>
                <c:pt idx="1">
                  <c:v>0.49347638763393253</c:v>
                </c:pt>
                <c:pt idx="2">
                  <c:v>0.5492522315549051</c:v>
                </c:pt>
                <c:pt idx="3">
                  <c:v>0.55741396263795395</c:v>
                </c:pt>
                <c:pt idx="4">
                  <c:v>0.57733603642933695</c:v>
                </c:pt>
                <c:pt idx="5">
                  <c:v>0.56392116884738586</c:v>
                </c:pt>
                <c:pt idx="6">
                  <c:v>0.49488368485227385</c:v>
                </c:pt>
                <c:pt idx="7">
                  <c:v>0.48485382749087763</c:v>
                </c:pt>
                <c:pt idx="8">
                  <c:v>0.49664835961495668</c:v>
                </c:pt>
                <c:pt idx="9">
                  <c:v>0.46706658371684812</c:v>
                </c:pt>
                <c:pt idx="10">
                  <c:v>0.49736916755152366</c:v>
                </c:pt>
                <c:pt idx="11">
                  <c:v>0.75641682516038389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C6-42EF-9A89-44A285865869}"/>
            </c:ext>
          </c:extLst>
        </c:ser>
        <c:ser>
          <c:idx val="1"/>
          <c:order val="1"/>
          <c:tx>
            <c:strRef>
              <c:f>圖!$B$11</c:f>
              <c:strCache>
                <c:ptCount val="1"/>
                <c:pt idx="0">
                  <c:v>111填報年度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圖!$C$11:$N$11</c:f>
              <c:numCache>
                <c:formatCode>0%</c:formatCode>
                <c:ptCount val="12"/>
                <c:pt idx="0">
                  <c:v>0.81579104032689986</c:v>
                </c:pt>
                <c:pt idx="1">
                  <c:v>0.54336534724747754</c:v>
                </c:pt>
                <c:pt idx="2">
                  <c:v>0.57936606004183488</c:v>
                </c:pt>
                <c:pt idx="3">
                  <c:v>0.60143645316065619</c:v>
                </c:pt>
                <c:pt idx="4">
                  <c:v>0.58119135514593645</c:v>
                </c:pt>
                <c:pt idx="5">
                  <c:v>0.63914865715961622</c:v>
                </c:pt>
                <c:pt idx="6">
                  <c:v>0.58445359202745495</c:v>
                </c:pt>
                <c:pt idx="7">
                  <c:v>0.52467104177146906</c:v>
                </c:pt>
                <c:pt idx="8">
                  <c:v>0.51625951015853533</c:v>
                </c:pt>
                <c:pt idx="9">
                  <c:v>0.50434129734203992</c:v>
                </c:pt>
                <c:pt idx="10">
                  <c:v>0.49233533897404286</c:v>
                </c:pt>
                <c:pt idx="11">
                  <c:v>0.77849279213080491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C6-42EF-9A89-44A285865869}"/>
            </c:ext>
          </c:extLst>
        </c:ser>
        <c:ser>
          <c:idx val="2"/>
          <c:order val="2"/>
          <c:tx>
            <c:strRef>
              <c:f>圖!$B$12</c:f>
              <c:strCache>
                <c:ptCount val="1"/>
                <c:pt idx="0">
                  <c:v>112填報年度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圖!$C$12:$N$12</c:f>
              <c:numCache>
                <c:formatCode>0%</c:formatCode>
                <c:ptCount val="12"/>
                <c:pt idx="0">
                  <c:v>0.50040463393698953</c:v>
                </c:pt>
                <c:pt idx="1">
                  <c:v>0.52599125831348814</c:v>
                </c:pt>
                <c:pt idx="2">
                  <c:v>0.63039779852262534</c:v>
                </c:pt>
                <c:pt idx="3">
                  <c:v>0.62794094125873645</c:v>
                </c:pt>
                <c:pt idx="4">
                  <c:v>0.64897622608086536</c:v>
                </c:pt>
                <c:pt idx="5">
                  <c:v>0.66456336305242558</c:v>
                </c:pt>
                <c:pt idx="6">
                  <c:v>0.60439713537052075</c:v>
                </c:pt>
                <c:pt idx="7">
                  <c:v>0.60901995030857448</c:v>
                </c:pt>
                <c:pt idx="8">
                  <c:v>0.56323943073858329</c:v>
                </c:pt>
                <c:pt idx="9">
                  <c:v>0.53086415423922584</c:v>
                </c:pt>
                <c:pt idx="10">
                  <c:v>0.54025142517228397</c:v>
                </c:pt>
                <c:pt idx="11">
                  <c:v>0.8069042224411036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C6-42EF-9A89-44A2858658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164111"/>
        <c:axId val="322165359"/>
      </c:lineChart>
      <c:catAx>
        <c:axId val="32216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322165359"/>
        <c:crosses val="autoZero"/>
        <c:auto val="1"/>
        <c:lblAlgn val="ctr"/>
        <c:lblOffset val="100"/>
        <c:noMultiLvlLbl val="0"/>
      </c:catAx>
      <c:valAx>
        <c:axId val="322165359"/>
        <c:scaling>
          <c:orientation val="minMax"/>
          <c:max val="1"/>
          <c:min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32216411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988761385112716"/>
          <c:y val="4.7474705503500712E-2"/>
          <c:w val="0.59825320257836179"/>
          <c:h val="0.10819811771549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65000"/>
          <a:lumOff val="3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健康餘命!$B$2</c:f>
              <c:strCache>
                <c:ptCount val="1"/>
                <c:pt idx="0">
                  <c:v>平均餘命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健康餘命!$D$1:$P$1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健康餘命!$D$2:$P$2</c:f>
              <c:numCache>
                <c:formatCode>0.0</c:formatCode>
                <c:ptCount val="13"/>
                <c:pt idx="0">
                  <c:v>79.2</c:v>
                </c:pt>
                <c:pt idx="1">
                  <c:v>79.2</c:v>
                </c:pt>
                <c:pt idx="2">
                  <c:v>79.5</c:v>
                </c:pt>
                <c:pt idx="3">
                  <c:v>80</c:v>
                </c:pt>
                <c:pt idx="4">
                  <c:v>79.8</c:v>
                </c:pt>
                <c:pt idx="5">
                  <c:v>80.2</c:v>
                </c:pt>
                <c:pt idx="6">
                  <c:v>80</c:v>
                </c:pt>
                <c:pt idx="7">
                  <c:v>80.400000000000006</c:v>
                </c:pt>
                <c:pt idx="8">
                  <c:v>80.7</c:v>
                </c:pt>
                <c:pt idx="9">
                  <c:v>80.900000000000006</c:v>
                </c:pt>
                <c:pt idx="10">
                  <c:v>81.3</c:v>
                </c:pt>
                <c:pt idx="11">
                  <c:v>80.86</c:v>
                </c:pt>
                <c:pt idx="12">
                  <c:v>79.84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13-4CCD-865D-6823685AC073}"/>
            </c:ext>
          </c:extLst>
        </c:ser>
        <c:ser>
          <c:idx val="1"/>
          <c:order val="1"/>
          <c:tx>
            <c:strRef>
              <c:f>健康餘命!$B$3</c:f>
              <c:strCache>
                <c:ptCount val="1"/>
                <c:pt idx="0">
                  <c:v>平均健康餘命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健康餘命!$D$1:$P$1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健康餘命!$D$3:$P$3</c:f>
              <c:numCache>
                <c:formatCode>0.0</c:formatCode>
                <c:ptCount val="13"/>
                <c:pt idx="0">
                  <c:v>71</c:v>
                </c:pt>
                <c:pt idx="1">
                  <c:v>70.8</c:v>
                </c:pt>
                <c:pt idx="2">
                  <c:v>71.599999999999994</c:v>
                </c:pt>
                <c:pt idx="3">
                  <c:v>71.8</c:v>
                </c:pt>
                <c:pt idx="4">
                  <c:v>71.599999999999994</c:v>
                </c:pt>
                <c:pt idx="5">
                  <c:v>71.98</c:v>
                </c:pt>
                <c:pt idx="6">
                  <c:v>71.8</c:v>
                </c:pt>
                <c:pt idx="7">
                  <c:v>72.099999999999994</c:v>
                </c:pt>
                <c:pt idx="8">
                  <c:v>72.3</c:v>
                </c:pt>
                <c:pt idx="9">
                  <c:v>72.400000000000006</c:v>
                </c:pt>
                <c:pt idx="10">
                  <c:v>73.28</c:v>
                </c:pt>
                <c:pt idx="11">
                  <c:v>73.3</c:v>
                </c:pt>
                <c:pt idx="12">
                  <c:v>72.430000000000007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13-4CCD-865D-6823685AC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2242431"/>
        <c:axId val="804062543"/>
      </c:lineChart>
      <c:catAx>
        <c:axId val="105224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804062543"/>
        <c:crosses val="autoZero"/>
        <c:auto val="1"/>
        <c:lblAlgn val="ctr"/>
        <c:lblOffset val="100"/>
        <c:noMultiLvlLbl val="0"/>
      </c:catAx>
      <c:valAx>
        <c:axId val="804062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1052242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zh-TW" altLang="en-US" sz="800"/>
              <a:t>單位：元／人</a:t>
            </a:r>
          </a:p>
        </c:rich>
      </c:tx>
      <c:layout>
        <c:manualLayout>
          <c:xMode val="edge"/>
          <c:yMode val="edge"/>
          <c:x val="2.0408163265306124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健保點數!$M$5</c:f>
              <c:strCache>
                <c:ptCount val="1"/>
                <c:pt idx="0">
                  <c:v>所有年齡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96-4274-B3A4-4529B3EE612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96-4274-B3A4-4529B3EE612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96-4274-B3A4-4529B3EE61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健保點數!$M$8:$M$12</c:f>
              <c:numCache>
                <c:formatCode>_-* #,##0_-;\-* #,##0_-;_-* "-"??_-;_-@_-</c:formatCode>
                <c:ptCount val="5"/>
                <c:pt idx="0">
                  <c:v>112873.86583717004</c:v>
                </c:pt>
                <c:pt idx="1">
                  <c:v>114371.61613003694</c:v>
                </c:pt>
                <c:pt idx="2">
                  <c:v>124210.50621789758</c:v>
                </c:pt>
                <c:pt idx="3">
                  <c:v>130188.5548526529</c:v>
                </c:pt>
                <c:pt idx="4">
                  <c:v>132462.09159933758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96-4274-B3A4-4529B3EE612B}"/>
            </c:ext>
          </c:extLst>
        </c:ser>
        <c:ser>
          <c:idx val="1"/>
          <c:order val="1"/>
          <c:tx>
            <c:strRef>
              <c:f>健保點數!$N$5</c:f>
              <c:strCache>
                <c:ptCount val="1"/>
                <c:pt idx="0">
                  <c:v>0～59歲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96-4274-B3A4-4529B3EE612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96-4274-B3A4-4529B3EE612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96-4274-B3A4-4529B3EE61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健保點數!$N$8:$N$12</c:f>
              <c:numCache>
                <c:formatCode>_-* #,##0_-;\-* #,##0_-;_-* "-"??_-;_-@_-</c:formatCode>
                <c:ptCount val="5"/>
                <c:pt idx="0">
                  <c:v>88934.978170600734</c:v>
                </c:pt>
                <c:pt idx="1">
                  <c:v>90069.232584445257</c:v>
                </c:pt>
                <c:pt idx="2">
                  <c:v>98900.049385300372</c:v>
                </c:pt>
                <c:pt idx="3">
                  <c:v>102608.89823076727</c:v>
                </c:pt>
                <c:pt idx="4">
                  <c:v>102319.63024663452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96-4274-B3A4-4529B3EE612B}"/>
            </c:ext>
          </c:extLst>
        </c:ser>
        <c:ser>
          <c:idx val="2"/>
          <c:order val="2"/>
          <c:tx>
            <c:strRef>
              <c:f>健保點數!$O$5</c:f>
              <c:strCache>
                <c:ptCount val="1"/>
                <c:pt idx="0">
                  <c:v>60歲以上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96-4274-B3A4-4529B3EE612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96-4274-B3A4-4529B3EE612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96-4274-B3A4-4529B3EE61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健保點數!$O$8:$O$12</c:f>
              <c:numCache>
                <c:formatCode>_-* #,##0_-;\-* #,##0_-;_-* "-"??_-;_-@_-</c:formatCode>
                <c:ptCount val="5"/>
                <c:pt idx="0">
                  <c:v>143660.27429069535</c:v>
                </c:pt>
                <c:pt idx="1">
                  <c:v>144902.60398341136</c:v>
                </c:pt>
                <c:pt idx="2">
                  <c:v>154145.756977415</c:v>
                </c:pt>
                <c:pt idx="3">
                  <c:v>161898.98160500478</c:v>
                </c:pt>
                <c:pt idx="4">
                  <c:v>162646.76031245221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96-4274-B3A4-4529B3EE61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582896"/>
        <c:axId val="781582064"/>
      </c:lineChart>
      <c:catAx>
        <c:axId val="78158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81582064"/>
        <c:crosses val="autoZero"/>
        <c:auto val="1"/>
        <c:lblAlgn val="ctr"/>
        <c:lblOffset val="100"/>
        <c:noMultiLvlLbl val="0"/>
      </c:catAx>
      <c:valAx>
        <c:axId val="781582064"/>
        <c:scaling>
          <c:orientation val="minMax"/>
          <c:max val="180000"/>
          <c:min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8158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C420-A393-4024-83DF-0C6DEBB9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260</Words>
  <Characters>1484</Characters>
  <Application>Microsoft Office Word</Application>
  <DocSecurity>0</DocSecurity>
  <Lines>12</Lines>
  <Paragraphs>3</Paragraphs>
  <ScaleCrop>false</ScaleCrop>
  <Company>LENOVO CUSTOMER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MIKELIEN</dc:creator>
  <cp:lastModifiedBy>陳宗揚</cp:lastModifiedBy>
  <cp:revision>6</cp:revision>
  <cp:lastPrinted>2023-06-28T06:16:00Z</cp:lastPrinted>
  <dcterms:created xsi:type="dcterms:W3CDTF">2024-06-13T06:01:00Z</dcterms:created>
  <dcterms:modified xsi:type="dcterms:W3CDTF">2024-06-13T08:09:00Z</dcterms:modified>
</cp:coreProperties>
</file>