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C21B2" w14:textId="77777777" w:rsidR="00065C53" w:rsidRPr="00E224E9" w:rsidRDefault="00065C53" w:rsidP="007304CC">
      <w:pPr>
        <w:pStyle w:val="HTML"/>
        <w:spacing w:line="440" w:lineRule="exact"/>
        <w:jc w:val="both"/>
        <w:rPr>
          <w:rFonts w:ascii="標楷體" w:eastAsia="標楷體" w:hAnsi="標楷體"/>
          <w:b/>
          <w:color w:val="000000" w:themeColor="text1"/>
          <w:sz w:val="40"/>
          <w:szCs w:val="40"/>
        </w:rPr>
      </w:pPr>
      <w:r w:rsidRPr="00E224E9">
        <w:rPr>
          <w:rFonts w:ascii="標楷體" w:eastAsia="標楷體" w:hAnsi="標楷體" w:hint="eastAsia"/>
          <w:b/>
          <w:color w:val="000000" w:themeColor="text1"/>
          <w:sz w:val="40"/>
          <w:szCs w:val="40"/>
        </w:rPr>
        <w:t>人身保險業資本適足性報告相關填報表格填報手冊</w:t>
      </w:r>
    </w:p>
    <w:p w14:paraId="3CA569CE" w14:textId="77777777" w:rsidR="00065C53" w:rsidRPr="00E224E9" w:rsidRDefault="00065C53">
      <w:pPr>
        <w:spacing w:line="440" w:lineRule="exact"/>
        <w:jc w:val="center"/>
        <w:rPr>
          <w:rFonts w:ascii="標楷體" w:hAnsi="標楷體"/>
          <w:b/>
          <w:color w:val="000000" w:themeColor="text1"/>
          <w:sz w:val="40"/>
          <w:szCs w:val="40"/>
        </w:rPr>
      </w:pPr>
      <w:bookmarkStart w:id="0" w:name="_Toc33866912"/>
      <w:bookmarkStart w:id="1" w:name="_Toc43609236"/>
    </w:p>
    <w:p w14:paraId="30D8C9E5" w14:textId="77777777" w:rsidR="00065C53" w:rsidRPr="00E224E9" w:rsidRDefault="00065C53">
      <w:pPr>
        <w:spacing w:line="440" w:lineRule="exact"/>
        <w:jc w:val="center"/>
        <w:rPr>
          <w:rFonts w:ascii="標楷體" w:hAnsi="標楷體"/>
          <w:b/>
          <w:color w:val="000000" w:themeColor="text1"/>
          <w:sz w:val="40"/>
          <w:szCs w:val="40"/>
        </w:rPr>
      </w:pPr>
      <w:r w:rsidRPr="00E224E9">
        <w:rPr>
          <w:rFonts w:ascii="標楷體" w:hAnsi="標楷體" w:hint="eastAsia"/>
          <w:b/>
          <w:color w:val="000000" w:themeColor="text1"/>
          <w:sz w:val="40"/>
          <w:szCs w:val="40"/>
        </w:rPr>
        <w:t>目錄</w:t>
      </w:r>
      <w:bookmarkEnd w:id="0"/>
      <w:bookmarkEnd w:id="1"/>
    </w:p>
    <w:p w14:paraId="07C629AA" w14:textId="77777777" w:rsidR="00065C53" w:rsidRPr="00E224E9" w:rsidRDefault="00065C53">
      <w:pPr>
        <w:spacing w:line="440" w:lineRule="exact"/>
        <w:jc w:val="both"/>
        <w:rPr>
          <w:rFonts w:ascii="Book Antiqua" w:hAnsi="Book Antiqua"/>
          <w:b/>
          <w:color w:val="000000" w:themeColor="text1"/>
          <w:sz w:val="40"/>
          <w:szCs w:val="40"/>
        </w:rPr>
      </w:pPr>
    </w:p>
    <w:p w14:paraId="6E8F9BCC" w14:textId="48CFE824" w:rsidR="0031277E" w:rsidRDefault="00065C53">
      <w:pPr>
        <w:pStyle w:val="10"/>
        <w:rPr>
          <w:rFonts w:asciiTheme="minorHAnsi" w:eastAsiaTheme="minorEastAsia" w:hAnsiTheme="minorHAnsi" w:cstheme="minorBidi"/>
          <w:b w:val="0"/>
          <w:bCs w:val="0"/>
          <w:caps w:val="0"/>
          <w:color w:val="auto"/>
          <w:sz w:val="24"/>
          <w14:ligatures w14:val="standardContextual"/>
        </w:rPr>
      </w:pPr>
      <w:r w:rsidRPr="00E224E9">
        <w:rPr>
          <w:szCs w:val="26"/>
        </w:rPr>
        <w:fldChar w:fldCharType="begin"/>
      </w:r>
      <w:r w:rsidRPr="00E224E9">
        <w:rPr>
          <w:szCs w:val="26"/>
        </w:rPr>
        <w:instrText xml:space="preserve"> TOC \o "1-1" \h \z \u </w:instrText>
      </w:r>
      <w:r w:rsidRPr="00E224E9">
        <w:rPr>
          <w:szCs w:val="26"/>
        </w:rPr>
        <w:fldChar w:fldCharType="separate"/>
      </w:r>
      <w:hyperlink w:anchor="_Toc200468511" w:history="1">
        <w:r w:rsidR="0031277E" w:rsidRPr="00FB73F1">
          <w:rPr>
            <w:rStyle w:val="af"/>
            <w:rFonts w:hint="eastAsia"/>
          </w:rPr>
          <w:t>表</w:t>
        </w:r>
        <w:r w:rsidR="0031277E" w:rsidRPr="00FB73F1">
          <w:rPr>
            <w:rStyle w:val="af"/>
          </w:rPr>
          <w:t>0</w:t>
        </w:r>
        <w:r w:rsidR="00914019">
          <w:rPr>
            <w:rStyle w:val="af"/>
            <w:rFonts w:hint="eastAsia"/>
          </w:rPr>
          <w:t>0</w:t>
        </w:r>
        <w:r w:rsidR="0031277E" w:rsidRPr="00FB73F1">
          <w:rPr>
            <w:rStyle w:val="af"/>
          </w:rPr>
          <w:t>3</w:t>
        </w:r>
        <w:r w:rsidR="0031277E" w:rsidRPr="00FB73F1">
          <w:rPr>
            <w:rStyle w:val="af"/>
            <w:rFonts w:hint="eastAsia"/>
          </w:rPr>
          <w:t>：資產負債表</w:t>
        </w:r>
        <w:r w:rsidR="0031277E">
          <w:rPr>
            <w:webHidden/>
          </w:rPr>
          <w:tab/>
        </w:r>
        <w:r w:rsidR="0031277E">
          <w:rPr>
            <w:webHidden/>
          </w:rPr>
          <w:fldChar w:fldCharType="begin"/>
        </w:r>
        <w:r w:rsidR="0031277E">
          <w:rPr>
            <w:webHidden/>
          </w:rPr>
          <w:instrText xml:space="preserve"> PAGEREF _Toc200468511 \h </w:instrText>
        </w:r>
        <w:r w:rsidR="0031277E">
          <w:rPr>
            <w:webHidden/>
          </w:rPr>
        </w:r>
        <w:r w:rsidR="0031277E">
          <w:rPr>
            <w:webHidden/>
          </w:rPr>
          <w:fldChar w:fldCharType="separate"/>
        </w:r>
        <w:r w:rsidR="004D5D28">
          <w:rPr>
            <w:webHidden/>
          </w:rPr>
          <w:t>1</w:t>
        </w:r>
        <w:r w:rsidR="0031277E">
          <w:rPr>
            <w:webHidden/>
          </w:rPr>
          <w:fldChar w:fldCharType="end"/>
        </w:r>
      </w:hyperlink>
    </w:p>
    <w:p w14:paraId="1658D6C0" w14:textId="652B33AF"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2" w:history="1">
        <w:r w:rsidRPr="00FB73F1">
          <w:rPr>
            <w:rStyle w:val="af"/>
            <w:rFonts w:hint="eastAsia"/>
          </w:rPr>
          <w:t>表</w:t>
        </w:r>
        <w:r w:rsidRPr="00FB73F1">
          <w:rPr>
            <w:rStyle w:val="af"/>
          </w:rPr>
          <w:t>04</w:t>
        </w:r>
        <w:r w:rsidRPr="00FB73F1">
          <w:rPr>
            <w:rStyle w:val="af"/>
            <w:rFonts w:hint="eastAsia"/>
          </w:rPr>
          <w:t>：綜合損益表</w:t>
        </w:r>
        <w:r>
          <w:rPr>
            <w:webHidden/>
          </w:rPr>
          <w:tab/>
        </w:r>
        <w:r>
          <w:rPr>
            <w:webHidden/>
          </w:rPr>
          <w:fldChar w:fldCharType="begin"/>
        </w:r>
        <w:r>
          <w:rPr>
            <w:webHidden/>
          </w:rPr>
          <w:instrText xml:space="preserve"> PAGEREF _Toc200468512 \h </w:instrText>
        </w:r>
        <w:r>
          <w:rPr>
            <w:webHidden/>
          </w:rPr>
        </w:r>
        <w:r>
          <w:rPr>
            <w:webHidden/>
          </w:rPr>
          <w:fldChar w:fldCharType="separate"/>
        </w:r>
        <w:r w:rsidR="004D5D28">
          <w:rPr>
            <w:webHidden/>
          </w:rPr>
          <w:t>21</w:t>
        </w:r>
        <w:r>
          <w:rPr>
            <w:webHidden/>
          </w:rPr>
          <w:fldChar w:fldCharType="end"/>
        </w:r>
      </w:hyperlink>
    </w:p>
    <w:p w14:paraId="69333E1E" w14:textId="3A38EE8C"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3" w:history="1">
        <w:r w:rsidRPr="00FB73F1">
          <w:rPr>
            <w:rStyle w:val="af"/>
            <w:rFonts w:hint="eastAsia"/>
          </w:rPr>
          <w:t>表</w:t>
        </w:r>
        <w:r w:rsidRPr="00FB73F1">
          <w:rPr>
            <w:rStyle w:val="af"/>
          </w:rPr>
          <w:t>05-1</w:t>
        </w:r>
        <w:r w:rsidRPr="00FB73F1">
          <w:rPr>
            <w:rStyle w:val="af"/>
            <w:rFonts w:hint="eastAsia"/>
          </w:rPr>
          <w:t>：資金運用表</w:t>
        </w:r>
        <w:r>
          <w:rPr>
            <w:webHidden/>
          </w:rPr>
          <w:tab/>
        </w:r>
        <w:r>
          <w:rPr>
            <w:webHidden/>
          </w:rPr>
          <w:fldChar w:fldCharType="begin"/>
        </w:r>
        <w:r>
          <w:rPr>
            <w:webHidden/>
          </w:rPr>
          <w:instrText xml:space="preserve"> PAGEREF _Toc200468513 \h </w:instrText>
        </w:r>
        <w:r>
          <w:rPr>
            <w:webHidden/>
          </w:rPr>
        </w:r>
        <w:r>
          <w:rPr>
            <w:webHidden/>
          </w:rPr>
          <w:fldChar w:fldCharType="separate"/>
        </w:r>
        <w:r w:rsidR="004D5D28">
          <w:rPr>
            <w:webHidden/>
          </w:rPr>
          <w:t>25</w:t>
        </w:r>
        <w:r>
          <w:rPr>
            <w:webHidden/>
          </w:rPr>
          <w:fldChar w:fldCharType="end"/>
        </w:r>
      </w:hyperlink>
    </w:p>
    <w:p w14:paraId="6DE2F1D7" w14:textId="2F275131"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4" w:history="1">
        <w:r w:rsidRPr="00FB73F1">
          <w:rPr>
            <w:rStyle w:val="af"/>
            <w:rFonts w:hint="eastAsia"/>
          </w:rPr>
          <w:t>表</w:t>
        </w:r>
        <w:r w:rsidRPr="00FB73F1">
          <w:rPr>
            <w:rStyle w:val="af"/>
          </w:rPr>
          <w:t>05-2</w:t>
        </w:r>
        <w:r w:rsidRPr="00FB73F1">
          <w:rPr>
            <w:rStyle w:val="af"/>
            <w:rFonts w:hint="eastAsia"/>
          </w:rPr>
          <w:t>：資產負債表與資金運用表之調節表</w:t>
        </w:r>
        <w:r>
          <w:rPr>
            <w:webHidden/>
          </w:rPr>
          <w:tab/>
        </w:r>
        <w:r>
          <w:rPr>
            <w:webHidden/>
          </w:rPr>
          <w:fldChar w:fldCharType="begin"/>
        </w:r>
        <w:r>
          <w:rPr>
            <w:webHidden/>
          </w:rPr>
          <w:instrText xml:space="preserve"> PAGEREF _Toc200468514 \h </w:instrText>
        </w:r>
        <w:r>
          <w:rPr>
            <w:webHidden/>
          </w:rPr>
        </w:r>
        <w:r>
          <w:rPr>
            <w:webHidden/>
          </w:rPr>
          <w:fldChar w:fldCharType="separate"/>
        </w:r>
        <w:r w:rsidR="004D5D28">
          <w:rPr>
            <w:webHidden/>
          </w:rPr>
          <w:t>35</w:t>
        </w:r>
        <w:r>
          <w:rPr>
            <w:webHidden/>
          </w:rPr>
          <w:fldChar w:fldCharType="end"/>
        </w:r>
      </w:hyperlink>
    </w:p>
    <w:p w14:paraId="3664C95B" w14:textId="7E143316"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5" w:history="1">
        <w:r w:rsidRPr="00FB73F1">
          <w:rPr>
            <w:rStyle w:val="af"/>
            <w:rFonts w:hint="eastAsia"/>
          </w:rPr>
          <w:t>表</w:t>
        </w:r>
        <w:r w:rsidRPr="00FB73F1">
          <w:rPr>
            <w:rStyle w:val="af"/>
          </w:rPr>
          <w:t>06</w:t>
        </w:r>
        <w:r w:rsidRPr="00FB73F1">
          <w:rPr>
            <w:rStyle w:val="af"/>
            <w:rFonts w:hint="eastAsia"/>
          </w:rPr>
          <w:t>：資金運用收益表</w:t>
        </w:r>
        <w:r>
          <w:rPr>
            <w:webHidden/>
          </w:rPr>
          <w:tab/>
        </w:r>
        <w:r>
          <w:rPr>
            <w:webHidden/>
          </w:rPr>
          <w:fldChar w:fldCharType="begin"/>
        </w:r>
        <w:r>
          <w:rPr>
            <w:webHidden/>
          </w:rPr>
          <w:instrText xml:space="preserve"> PAGEREF _Toc200468515 \h </w:instrText>
        </w:r>
        <w:r>
          <w:rPr>
            <w:webHidden/>
          </w:rPr>
        </w:r>
        <w:r>
          <w:rPr>
            <w:webHidden/>
          </w:rPr>
          <w:fldChar w:fldCharType="separate"/>
        </w:r>
        <w:r w:rsidR="004D5D28">
          <w:rPr>
            <w:webHidden/>
          </w:rPr>
          <w:t>37</w:t>
        </w:r>
        <w:r>
          <w:rPr>
            <w:webHidden/>
          </w:rPr>
          <w:fldChar w:fldCharType="end"/>
        </w:r>
      </w:hyperlink>
    </w:p>
    <w:p w14:paraId="538D7276" w14:textId="374E94D9" w:rsidR="0031277E" w:rsidRPr="004D5D28" w:rsidRDefault="0031277E">
      <w:pPr>
        <w:pStyle w:val="10"/>
        <w:rPr>
          <w:rFonts w:asciiTheme="minorHAnsi" w:eastAsiaTheme="minorEastAsia" w:hAnsiTheme="minorHAnsi" w:cstheme="minorBidi"/>
          <w:b w:val="0"/>
          <w:bCs w:val="0"/>
          <w:caps w:val="0"/>
          <w:color w:val="EE0000"/>
          <w:sz w:val="24"/>
          <w14:ligatures w14:val="standardContextual"/>
        </w:rPr>
      </w:pPr>
      <w:hyperlink w:anchor="_Toc200468516" w:history="1">
        <w:r w:rsidRPr="004D5D28">
          <w:rPr>
            <w:rStyle w:val="af"/>
            <w:rFonts w:hint="eastAsia"/>
            <w:color w:val="EE0000"/>
          </w:rPr>
          <w:t>表</w:t>
        </w:r>
        <w:r w:rsidRPr="004D5D28">
          <w:rPr>
            <w:rStyle w:val="af"/>
            <w:color w:val="EE0000"/>
          </w:rPr>
          <w:t>09-1</w:t>
        </w:r>
        <w:r w:rsidRPr="004D5D28">
          <w:rPr>
            <w:rStyle w:val="af"/>
            <w:rFonts w:hint="eastAsia"/>
            <w:color w:val="EE0000"/>
          </w:rPr>
          <w:t>：金融債券及其他經主管機關核准購買之有價證券餘額明細表</w:t>
        </w:r>
        <w:r w:rsidRPr="004D5D28">
          <w:rPr>
            <w:webHidden/>
            <w:color w:val="EE0000"/>
          </w:rPr>
          <w:tab/>
        </w:r>
        <w:r w:rsidRPr="004D5D28">
          <w:rPr>
            <w:webHidden/>
            <w:color w:val="EE0000"/>
          </w:rPr>
          <w:fldChar w:fldCharType="begin"/>
        </w:r>
        <w:r w:rsidRPr="004D5D28">
          <w:rPr>
            <w:webHidden/>
            <w:color w:val="EE0000"/>
          </w:rPr>
          <w:instrText xml:space="preserve"> PAGEREF _Toc200468516 \h </w:instrText>
        </w:r>
        <w:r w:rsidRPr="004D5D28">
          <w:rPr>
            <w:webHidden/>
            <w:color w:val="EE0000"/>
          </w:rPr>
        </w:r>
        <w:r w:rsidRPr="004D5D28">
          <w:rPr>
            <w:webHidden/>
            <w:color w:val="EE0000"/>
          </w:rPr>
          <w:fldChar w:fldCharType="separate"/>
        </w:r>
        <w:r w:rsidR="004D5D28">
          <w:rPr>
            <w:webHidden/>
            <w:color w:val="EE0000"/>
          </w:rPr>
          <w:t>41</w:t>
        </w:r>
        <w:r w:rsidRPr="004D5D28">
          <w:rPr>
            <w:webHidden/>
            <w:color w:val="EE0000"/>
          </w:rPr>
          <w:fldChar w:fldCharType="end"/>
        </w:r>
      </w:hyperlink>
    </w:p>
    <w:p w14:paraId="746D00DD" w14:textId="48203A66"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7" w:history="1">
        <w:r w:rsidRPr="00FB73F1">
          <w:rPr>
            <w:rStyle w:val="af"/>
            <w:rFonts w:hint="eastAsia"/>
          </w:rPr>
          <w:t>表</w:t>
        </w:r>
        <w:r w:rsidRPr="00FB73F1">
          <w:rPr>
            <w:rStyle w:val="af"/>
          </w:rPr>
          <w:t>09-2</w:t>
        </w:r>
        <w:r w:rsidRPr="00FB73F1">
          <w:rPr>
            <w:rStyle w:val="af"/>
            <w:rFonts w:hint="eastAsia"/>
          </w:rPr>
          <w:t>：金融債券及其他經主管機關核准購買之有價證券餘額明細表</w:t>
        </w:r>
        <w:r w:rsidRPr="00FB73F1">
          <w:rPr>
            <w:rStyle w:val="af"/>
          </w:rPr>
          <w:t>(</w:t>
        </w:r>
        <w:r w:rsidRPr="00FB73F1">
          <w:rPr>
            <w:rStyle w:val="af"/>
            <w:rFonts w:hint="eastAsia"/>
          </w:rPr>
          <w:t>總計</w:t>
        </w:r>
        <w:r w:rsidRPr="00FB73F1">
          <w:rPr>
            <w:rStyle w:val="af"/>
          </w:rPr>
          <w:t>)</w:t>
        </w:r>
        <w:r>
          <w:rPr>
            <w:webHidden/>
          </w:rPr>
          <w:tab/>
        </w:r>
        <w:r>
          <w:rPr>
            <w:webHidden/>
          </w:rPr>
          <w:fldChar w:fldCharType="begin"/>
        </w:r>
        <w:r>
          <w:rPr>
            <w:webHidden/>
          </w:rPr>
          <w:instrText xml:space="preserve"> PAGEREF _Toc200468517 \h </w:instrText>
        </w:r>
        <w:r>
          <w:rPr>
            <w:webHidden/>
          </w:rPr>
        </w:r>
        <w:r>
          <w:rPr>
            <w:webHidden/>
          </w:rPr>
          <w:fldChar w:fldCharType="separate"/>
        </w:r>
        <w:r w:rsidR="004D5D28">
          <w:rPr>
            <w:webHidden/>
          </w:rPr>
          <w:t>44</w:t>
        </w:r>
        <w:r>
          <w:rPr>
            <w:webHidden/>
          </w:rPr>
          <w:fldChar w:fldCharType="end"/>
        </w:r>
      </w:hyperlink>
    </w:p>
    <w:p w14:paraId="14C722FC" w14:textId="376F30E7"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8" w:history="1">
        <w:r w:rsidRPr="00FB73F1">
          <w:rPr>
            <w:rStyle w:val="af"/>
            <w:rFonts w:hint="eastAsia"/>
          </w:rPr>
          <w:t>表</w:t>
        </w:r>
        <w:r w:rsidRPr="00FB73F1">
          <w:rPr>
            <w:rStyle w:val="af"/>
          </w:rPr>
          <w:t>10-1</w:t>
        </w:r>
        <w:r w:rsidRPr="00FB73F1">
          <w:rPr>
            <w:rStyle w:val="af"/>
            <w:rFonts w:hint="eastAsia"/>
          </w:rPr>
          <w:t>：股票餘額明細表</w:t>
        </w:r>
        <w:r>
          <w:rPr>
            <w:webHidden/>
          </w:rPr>
          <w:tab/>
        </w:r>
        <w:r>
          <w:rPr>
            <w:webHidden/>
          </w:rPr>
          <w:fldChar w:fldCharType="begin"/>
        </w:r>
        <w:r>
          <w:rPr>
            <w:webHidden/>
          </w:rPr>
          <w:instrText xml:space="preserve"> PAGEREF _Toc200468518 \h </w:instrText>
        </w:r>
        <w:r>
          <w:rPr>
            <w:webHidden/>
          </w:rPr>
        </w:r>
        <w:r>
          <w:rPr>
            <w:webHidden/>
          </w:rPr>
          <w:fldChar w:fldCharType="separate"/>
        </w:r>
        <w:r w:rsidR="004D5D28">
          <w:rPr>
            <w:webHidden/>
          </w:rPr>
          <w:t>45</w:t>
        </w:r>
        <w:r>
          <w:rPr>
            <w:webHidden/>
          </w:rPr>
          <w:fldChar w:fldCharType="end"/>
        </w:r>
      </w:hyperlink>
    </w:p>
    <w:p w14:paraId="3695EB66" w14:textId="4E83AB92"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9" w:history="1">
        <w:r w:rsidRPr="00FB73F1">
          <w:rPr>
            <w:rStyle w:val="af"/>
            <w:rFonts w:hint="eastAsia"/>
          </w:rPr>
          <w:t>表</w:t>
        </w:r>
        <w:r w:rsidRPr="00FB73F1">
          <w:rPr>
            <w:rStyle w:val="af"/>
          </w:rPr>
          <w:t>10-2</w:t>
        </w:r>
        <w:r w:rsidRPr="00FB73F1">
          <w:rPr>
            <w:rStyle w:val="af"/>
            <w:rFonts w:hint="eastAsia"/>
          </w:rPr>
          <w:t>：股票餘額明細表</w:t>
        </w:r>
        <w:r w:rsidRPr="00FB73F1">
          <w:rPr>
            <w:rStyle w:val="af"/>
          </w:rPr>
          <w:t>(</w:t>
        </w:r>
        <w:r w:rsidRPr="00FB73F1">
          <w:rPr>
            <w:rStyle w:val="af"/>
            <w:rFonts w:hint="eastAsia"/>
          </w:rPr>
          <w:t>總計</w:t>
        </w:r>
        <w:r w:rsidRPr="00FB73F1">
          <w:rPr>
            <w:rStyle w:val="af"/>
          </w:rPr>
          <w:t>)</w:t>
        </w:r>
        <w:r>
          <w:rPr>
            <w:webHidden/>
          </w:rPr>
          <w:tab/>
        </w:r>
        <w:r>
          <w:rPr>
            <w:webHidden/>
          </w:rPr>
          <w:fldChar w:fldCharType="begin"/>
        </w:r>
        <w:r>
          <w:rPr>
            <w:webHidden/>
          </w:rPr>
          <w:instrText xml:space="preserve"> PAGEREF _Toc200468519 \h </w:instrText>
        </w:r>
        <w:r>
          <w:rPr>
            <w:webHidden/>
          </w:rPr>
        </w:r>
        <w:r>
          <w:rPr>
            <w:webHidden/>
          </w:rPr>
          <w:fldChar w:fldCharType="separate"/>
        </w:r>
        <w:r w:rsidR="004D5D28">
          <w:rPr>
            <w:webHidden/>
          </w:rPr>
          <w:t>49</w:t>
        </w:r>
        <w:r>
          <w:rPr>
            <w:webHidden/>
          </w:rPr>
          <w:fldChar w:fldCharType="end"/>
        </w:r>
      </w:hyperlink>
    </w:p>
    <w:p w14:paraId="30747755" w14:textId="19C2EE4E"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0" w:history="1">
        <w:r w:rsidRPr="00FB73F1">
          <w:rPr>
            <w:rStyle w:val="af"/>
            <w:rFonts w:hint="eastAsia"/>
          </w:rPr>
          <w:t>表</w:t>
        </w:r>
        <w:r w:rsidRPr="00FB73F1">
          <w:rPr>
            <w:rStyle w:val="af"/>
          </w:rPr>
          <w:t>10-3</w:t>
        </w:r>
        <w:r w:rsidRPr="00FB73F1">
          <w:rPr>
            <w:rStyle w:val="af"/>
            <w:rFonts w:hint="eastAsia"/>
          </w:rPr>
          <w:t>：關係人股票投資明細表</w:t>
        </w:r>
        <w:r>
          <w:rPr>
            <w:webHidden/>
          </w:rPr>
          <w:tab/>
        </w:r>
        <w:r>
          <w:rPr>
            <w:webHidden/>
          </w:rPr>
          <w:fldChar w:fldCharType="begin"/>
        </w:r>
        <w:r>
          <w:rPr>
            <w:webHidden/>
          </w:rPr>
          <w:instrText xml:space="preserve"> PAGEREF _Toc200468520 \h </w:instrText>
        </w:r>
        <w:r>
          <w:rPr>
            <w:webHidden/>
          </w:rPr>
        </w:r>
        <w:r>
          <w:rPr>
            <w:webHidden/>
          </w:rPr>
          <w:fldChar w:fldCharType="separate"/>
        </w:r>
        <w:r w:rsidR="004D5D28">
          <w:rPr>
            <w:webHidden/>
          </w:rPr>
          <w:t>50</w:t>
        </w:r>
        <w:r>
          <w:rPr>
            <w:webHidden/>
          </w:rPr>
          <w:fldChar w:fldCharType="end"/>
        </w:r>
      </w:hyperlink>
    </w:p>
    <w:p w14:paraId="7F12B218" w14:textId="04063168"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1" w:history="1">
        <w:r w:rsidRPr="00FB73F1">
          <w:rPr>
            <w:rStyle w:val="af"/>
            <w:rFonts w:hint="eastAsia"/>
          </w:rPr>
          <w:t>表</w:t>
        </w:r>
        <w:r w:rsidRPr="00FB73F1">
          <w:rPr>
            <w:rStyle w:val="af"/>
          </w:rPr>
          <w:t>10-4</w:t>
        </w:r>
        <w:r w:rsidRPr="00FB73F1">
          <w:rPr>
            <w:rStyle w:val="af"/>
            <w:rFonts w:hint="eastAsia"/>
          </w:rPr>
          <w:t>：非關係人股票投資明細表</w:t>
        </w:r>
        <w:r>
          <w:rPr>
            <w:webHidden/>
          </w:rPr>
          <w:tab/>
        </w:r>
        <w:r>
          <w:rPr>
            <w:webHidden/>
          </w:rPr>
          <w:fldChar w:fldCharType="begin"/>
        </w:r>
        <w:r>
          <w:rPr>
            <w:webHidden/>
          </w:rPr>
          <w:instrText xml:space="preserve"> PAGEREF _Toc200468521 \h </w:instrText>
        </w:r>
        <w:r>
          <w:rPr>
            <w:webHidden/>
          </w:rPr>
        </w:r>
        <w:r>
          <w:rPr>
            <w:webHidden/>
          </w:rPr>
          <w:fldChar w:fldCharType="separate"/>
        </w:r>
        <w:r w:rsidR="004D5D28">
          <w:rPr>
            <w:webHidden/>
          </w:rPr>
          <w:t>52</w:t>
        </w:r>
        <w:r>
          <w:rPr>
            <w:webHidden/>
          </w:rPr>
          <w:fldChar w:fldCharType="end"/>
        </w:r>
      </w:hyperlink>
    </w:p>
    <w:p w14:paraId="0B474818" w14:textId="21EA185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2" w:history="1">
        <w:r w:rsidRPr="00FB73F1">
          <w:rPr>
            <w:rStyle w:val="af"/>
            <w:rFonts w:hint="eastAsia"/>
          </w:rPr>
          <w:t>表</w:t>
        </w:r>
        <w:r w:rsidRPr="00FB73F1">
          <w:rPr>
            <w:rStyle w:val="af"/>
          </w:rPr>
          <w:t>11-1</w:t>
        </w:r>
        <w:r w:rsidRPr="00FB73F1">
          <w:rPr>
            <w:rStyle w:val="af"/>
            <w:rFonts w:hint="eastAsia"/>
          </w:rPr>
          <w:t>：公司債餘額明細表</w:t>
        </w:r>
        <w:r>
          <w:rPr>
            <w:webHidden/>
          </w:rPr>
          <w:tab/>
        </w:r>
        <w:r>
          <w:rPr>
            <w:webHidden/>
          </w:rPr>
          <w:fldChar w:fldCharType="begin"/>
        </w:r>
        <w:r>
          <w:rPr>
            <w:webHidden/>
          </w:rPr>
          <w:instrText xml:space="preserve"> PAGEREF _Toc200468522 \h </w:instrText>
        </w:r>
        <w:r>
          <w:rPr>
            <w:webHidden/>
          </w:rPr>
        </w:r>
        <w:r>
          <w:rPr>
            <w:webHidden/>
          </w:rPr>
          <w:fldChar w:fldCharType="separate"/>
        </w:r>
        <w:r w:rsidR="004D5D28">
          <w:rPr>
            <w:webHidden/>
          </w:rPr>
          <w:t>54</w:t>
        </w:r>
        <w:r>
          <w:rPr>
            <w:webHidden/>
          </w:rPr>
          <w:fldChar w:fldCharType="end"/>
        </w:r>
      </w:hyperlink>
    </w:p>
    <w:p w14:paraId="48A5807C" w14:textId="1B2E9773"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3" w:history="1">
        <w:r w:rsidRPr="00FB73F1">
          <w:rPr>
            <w:rStyle w:val="af"/>
            <w:rFonts w:hint="eastAsia"/>
          </w:rPr>
          <w:t>表</w:t>
        </w:r>
        <w:r w:rsidRPr="00FB73F1">
          <w:rPr>
            <w:rStyle w:val="af"/>
          </w:rPr>
          <w:t>11-2</w:t>
        </w:r>
        <w:r w:rsidRPr="00FB73F1">
          <w:rPr>
            <w:rStyle w:val="af"/>
            <w:rFonts w:hint="eastAsia"/>
          </w:rPr>
          <w:t>：公司債餘額明細表</w:t>
        </w:r>
        <w:r w:rsidRPr="00FB73F1">
          <w:rPr>
            <w:rStyle w:val="af"/>
          </w:rPr>
          <w:t>(</w:t>
        </w:r>
        <w:r w:rsidRPr="00FB73F1">
          <w:rPr>
            <w:rStyle w:val="af"/>
            <w:rFonts w:hint="eastAsia"/>
          </w:rPr>
          <w:t>總計</w:t>
        </w:r>
        <w:r w:rsidRPr="00FB73F1">
          <w:rPr>
            <w:rStyle w:val="af"/>
          </w:rPr>
          <w:t>)</w:t>
        </w:r>
        <w:r>
          <w:rPr>
            <w:webHidden/>
          </w:rPr>
          <w:tab/>
        </w:r>
        <w:r>
          <w:rPr>
            <w:webHidden/>
          </w:rPr>
          <w:fldChar w:fldCharType="begin"/>
        </w:r>
        <w:r>
          <w:rPr>
            <w:webHidden/>
          </w:rPr>
          <w:instrText xml:space="preserve"> PAGEREF _Toc200468523 \h </w:instrText>
        </w:r>
        <w:r>
          <w:rPr>
            <w:webHidden/>
          </w:rPr>
        </w:r>
        <w:r>
          <w:rPr>
            <w:webHidden/>
          </w:rPr>
          <w:fldChar w:fldCharType="separate"/>
        </w:r>
        <w:r w:rsidR="004D5D28">
          <w:rPr>
            <w:webHidden/>
          </w:rPr>
          <w:t>57</w:t>
        </w:r>
        <w:r>
          <w:rPr>
            <w:webHidden/>
          </w:rPr>
          <w:fldChar w:fldCharType="end"/>
        </w:r>
      </w:hyperlink>
    </w:p>
    <w:p w14:paraId="103EDEA1" w14:textId="696D787D"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4" w:history="1">
        <w:r w:rsidRPr="00FB73F1">
          <w:rPr>
            <w:rStyle w:val="af"/>
            <w:rFonts w:hint="eastAsia"/>
          </w:rPr>
          <w:t>表</w:t>
        </w:r>
        <w:r w:rsidRPr="00FB73F1">
          <w:rPr>
            <w:rStyle w:val="af"/>
          </w:rPr>
          <w:t>12-1</w:t>
        </w:r>
        <w:r w:rsidRPr="00FB73F1">
          <w:rPr>
            <w:rStyle w:val="af"/>
            <w:rFonts w:hint="eastAsia"/>
          </w:rPr>
          <w:t>：受益憑證及國外表彰基金餘額明細表</w:t>
        </w:r>
        <w:r>
          <w:rPr>
            <w:webHidden/>
          </w:rPr>
          <w:tab/>
        </w:r>
        <w:r>
          <w:rPr>
            <w:webHidden/>
          </w:rPr>
          <w:fldChar w:fldCharType="begin"/>
        </w:r>
        <w:r>
          <w:rPr>
            <w:webHidden/>
          </w:rPr>
          <w:instrText xml:space="preserve"> PAGEREF _Toc200468524 \h </w:instrText>
        </w:r>
        <w:r>
          <w:rPr>
            <w:webHidden/>
          </w:rPr>
        </w:r>
        <w:r>
          <w:rPr>
            <w:webHidden/>
          </w:rPr>
          <w:fldChar w:fldCharType="separate"/>
        </w:r>
        <w:r w:rsidR="004D5D28">
          <w:rPr>
            <w:webHidden/>
          </w:rPr>
          <w:t>59</w:t>
        </w:r>
        <w:r>
          <w:rPr>
            <w:webHidden/>
          </w:rPr>
          <w:fldChar w:fldCharType="end"/>
        </w:r>
      </w:hyperlink>
    </w:p>
    <w:p w14:paraId="56EF8833" w14:textId="18EC3B2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5" w:history="1">
        <w:r w:rsidRPr="00FB73F1">
          <w:rPr>
            <w:rStyle w:val="af"/>
            <w:rFonts w:hint="eastAsia"/>
          </w:rPr>
          <w:t>表</w:t>
        </w:r>
        <w:r w:rsidRPr="00FB73F1">
          <w:rPr>
            <w:rStyle w:val="af"/>
          </w:rPr>
          <w:t>12-2</w:t>
        </w:r>
        <w:r w:rsidRPr="00FB73F1">
          <w:rPr>
            <w:rStyle w:val="af"/>
            <w:rFonts w:hint="eastAsia"/>
          </w:rPr>
          <w:t>：受益憑證及國外表彰基金餘額明細表</w:t>
        </w:r>
        <w:r w:rsidRPr="00FB73F1">
          <w:rPr>
            <w:rStyle w:val="af"/>
          </w:rPr>
          <w:t>(</w:t>
        </w:r>
        <w:r w:rsidRPr="00FB73F1">
          <w:rPr>
            <w:rStyle w:val="af"/>
            <w:rFonts w:hint="eastAsia"/>
          </w:rPr>
          <w:t>總計</w:t>
        </w:r>
        <w:r w:rsidRPr="00FB73F1">
          <w:rPr>
            <w:rStyle w:val="af"/>
          </w:rPr>
          <w:t>)</w:t>
        </w:r>
        <w:r>
          <w:rPr>
            <w:webHidden/>
          </w:rPr>
          <w:tab/>
        </w:r>
        <w:r>
          <w:rPr>
            <w:webHidden/>
          </w:rPr>
          <w:fldChar w:fldCharType="begin"/>
        </w:r>
        <w:r>
          <w:rPr>
            <w:webHidden/>
          </w:rPr>
          <w:instrText xml:space="preserve"> PAGEREF _Toc200468525 \h </w:instrText>
        </w:r>
        <w:r>
          <w:rPr>
            <w:webHidden/>
          </w:rPr>
        </w:r>
        <w:r>
          <w:rPr>
            <w:webHidden/>
          </w:rPr>
          <w:fldChar w:fldCharType="separate"/>
        </w:r>
        <w:r w:rsidR="004D5D28">
          <w:rPr>
            <w:webHidden/>
          </w:rPr>
          <w:t>62</w:t>
        </w:r>
        <w:r>
          <w:rPr>
            <w:webHidden/>
          </w:rPr>
          <w:fldChar w:fldCharType="end"/>
        </w:r>
      </w:hyperlink>
    </w:p>
    <w:p w14:paraId="3E48F1D5" w14:textId="75D95C48"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6" w:history="1">
        <w:r w:rsidRPr="004D5D28">
          <w:rPr>
            <w:rStyle w:val="af"/>
            <w:rFonts w:hint="eastAsia"/>
            <w:color w:val="EE0000"/>
          </w:rPr>
          <w:t>表</w:t>
        </w:r>
        <w:r w:rsidRPr="004D5D28">
          <w:rPr>
            <w:rStyle w:val="af"/>
            <w:color w:val="EE0000"/>
          </w:rPr>
          <w:t>13-1</w:t>
        </w:r>
        <w:r w:rsidRPr="004D5D28">
          <w:rPr>
            <w:rStyle w:val="af"/>
            <w:rFonts w:hint="eastAsia"/>
            <w:color w:val="EE0000"/>
          </w:rPr>
          <w:t>：不動產餘額明細表</w:t>
        </w:r>
        <w:r w:rsidRPr="004D5D28">
          <w:rPr>
            <w:webHidden/>
            <w:color w:val="EE0000"/>
          </w:rPr>
          <w:tab/>
        </w:r>
        <w:r w:rsidRPr="004D5D28">
          <w:rPr>
            <w:webHidden/>
            <w:color w:val="EE0000"/>
          </w:rPr>
          <w:fldChar w:fldCharType="begin"/>
        </w:r>
        <w:r w:rsidRPr="004D5D28">
          <w:rPr>
            <w:webHidden/>
            <w:color w:val="EE0000"/>
          </w:rPr>
          <w:instrText xml:space="preserve"> PAGEREF _Toc200468526 \h </w:instrText>
        </w:r>
        <w:r w:rsidRPr="004D5D28">
          <w:rPr>
            <w:webHidden/>
            <w:color w:val="EE0000"/>
          </w:rPr>
        </w:r>
        <w:r w:rsidRPr="004D5D28">
          <w:rPr>
            <w:webHidden/>
            <w:color w:val="EE0000"/>
          </w:rPr>
          <w:fldChar w:fldCharType="separate"/>
        </w:r>
        <w:r w:rsidR="004D5D28">
          <w:rPr>
            <w:webHidden/>
            <w:color w:val="EE0000"/>
          </w:rPr>
          <w:t>63</w:t>
        </w:r>
        <w:r w:rsidRPr="004D5D28">
          <w:rPr>
            <w:webHidden/>
            <w:color w:val="EE0000"/>
          </w:rPr>
          <w:fldChar w:fldCharType="end"/>
        </w:r>
      </w:hyperlink>
    </w:p>
    <w:p w14:paraId="0F724209" w14:textId="1BF4A57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7" w:history="1">
        <w:r w:rsidRPr="00FB73F1">
          <w:rPr>
            <w:rStyle w:val="af"/>
            <w:rFonts w:hint="eastAsia"/>
          </w:rPr>
          <w:t>表</w:t>
        </w:r>
        <w:r w:rsidRPr="00FB73F1">
          <w:rPr>
            <w:rStyle w:val="af"/>
          </w:rPr>
          <w:t>13-2</w:t>
        </w:r>
        <w:r w:rsidRPr="00FB73F1">
          <w:rPr>
            <w:rStyle w:val="af"/>
            <w:rFonts w:hint="eastAsia"/>
          </w:rPr>
          <w:t>：不動產餘額明細表</w:t>
        </w:r>
        <w:r w:rsidRPr="00FB73F1">
          <w:rPr>
            <w:rStyle w:val="af"/>
          </w:rPr>
          <w:t>(</w:t>
        </w:r>
        <w:r w:rsidRPr="00FB73F1">
          <w:rPr>
            <w:rStyle w:val="af"/>
            <w:rFonts w:hint="eastAsia"/>
          </w:rPr>
          <w:t>總計</w:t>
        </w:r>
        <w:r w:rsidRPr="00FB73F1">
          <w:rPr>
            <w:rStyle w:val="af"/>
          </w:rPr>
          <w:t>)</w:t>
        </w:r>
        <w:r>
          <w:rPr>
            <w:webHidden/>
          </w:rPr>
          <w:tab/>
        </w:r>
        <w:r>
          <w:rPr>
            <w:webHidden/>
          </w:rPr>
          <w:fldChar w:fldCharType="begin"/>
        </w:r>
        <w:r>
          <w:rPr>
            <w:webHidden/>
          </w:rPr>
          <w:instrText xml:space="preserve"> PAGEREF _Toc200468527 \h </w:instrText>
        </w:r>
        <w:r>
          <w:rPr>
            <w:webHidden/>
          </w:rPr>
        </w:r>
        <w:r>
          <w:rPr>
            <w:webHidden/>
          </w:rPr>
          <w:fldChar w:fldCharType="separate"/>
        </w:r>
        <w:r w:rsidR="004D5D28">
          <w:rPr>
            <w:webHidden/>
          </w:rPr>
          <w:t>67</w:t>
        </w:r>
        <w:r>
          <w:rPr>
            <w:webHidden/>
          </w:rPr>
          <w:fldChar w:fldCharType="end"/>
        </w:r>
      </w:hyperlink>
    </w:p>
    <w:p w14:paraId="2D5C1BF4" w14:textId="1C4A5D42"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8" w:history="1">
        <w:r w:rsidRPr="00FB73F1">
          <w:rPr>
            <w:rStyle w:val="af"/>
            <w:rFonts w:hint="eastAsia"/>
          </w:rPr>
          <w:t>表</w:t>
        </w:r>
        <w:r w:rsidRPr="00FB73F1">
          <w:rPr>
            <w:rStyle w:val="af"/>
          </w:rPr>
          <w:t>13-4</w:t>
        </w:r>
        <w:r w:rsidRPr="00FB73F1">
          <w:rPr>
            <w:rStyle w:val="af"/>
            <w:rFonts w:hint="eastAsia"/>
          </w:rPr>
          <w:t>：國外及大陸地區不動產投資情形明細表</w:t>
        </w:r>
        <w:r>
          <w:rPr>
            <w:webHidden/>
          </w:rPr>
          <w:tab/>
        </w:r>
        <w:r>
          <w:rPr>
            <w:webHidden/>
          </w:rPr>
          <w:fldChar w:fldCharType="begin"/>
        </w:r>
        <w:r>
          <w:rPr>
            <w:webHidden/>
          </w:rPr>
          <w:instrText xml:space="preserve"> PAGEREF _Toc200468528 \h </w:instrText>
        </w:r>
        <w:r>
          <w:rPr>
            <w:webHidden/>
          </w:rPr>
        </w:r>
        <w:r>
          <w:rPr>
            <w:webHidden/>
          </w:rPr>
          <w:fldChar w:fldCharType="separate"/>
        </w:r>
        <w:r w:rsidR="004D5D28">
          <w:rPr>
            <w:webHidden/>
          </w:rPr>
          <w:t>70</w:t>
        </w:r>
        <w:r>
          <w:rPr>
            <w:webHidden/>
          </w:rPr>
          <w:fldChar w:fldCharType="end"/>
        </w:r>
      </w:hyperlink>
    </w:p>
    <w:p w14:paraId="41A91A76" w14:textId="55E712C5"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9" w:history="1">
        <w:r w:rsidRPr="00FB73F1">
          <w:rPr>
            <w:rStyle w:val="af"/>
            <w:rFonts w:hint="eastAsia"/>
          </w:rPr>
          <w:t>表</w:t>
        </w:r>
        <w:r w:rsidRPr="00FB73F1">
          <w:rPr>
            <w:rStyle w:val="af"/>
          </w:rPr>
          <w:t>16-1-1</w:t>
        </w:r>
        <w:r w:rsidRPr="00FB73F1">
          <w:rPr>
            <w:rStyle w:val="af"/>
            <w:rFonts w:hint="eastAsia"/>
          </w:rPr>
          <w:t>：衍生性商品餘額明細表－期貨與遠期契約</w:t>
        </w:r>
        <w:r>
          <w:rPr>
            <w:webHidden/>
          </w:rPr>
          <w:tab/>
        </w:r>
        <w:r>
          <w:rPr>
            <w:webHidden/>
          </w:rPr>
          <w:fldChar w:fldCharType="begin"/>
        </w:r>
        <w:r>
          <w:rPr>
            <w:webHidden/>
          </w:rPr>
          <w:instrText xml:space="preserve"> PAGEREF _Toc200468529 \h </w:instrText>
        </w:r>
        <w:r>
          <w:rPr>
            <w:webHidden/>
          </w:rPr>
        </w:r>
        <w:r>
          <w:rPr>
            <w:webHidden/>
          </w:rPr>
          <w:fldChar w:fldCharType="separate"/>
        </w:r>
        <w:r w:rsidR="004D5D28">
          <w:rPr>
            <w:webHidden/>
          </w:rPr>
          <w:t>71</w:t>
        </w:r>
        <w:r>
          <w:rPr>
            <w:webHidden/>
          </w:rPr>
          <w:fldChar w:fldCharType="end"/>
        </w:r>
      </w:hyperlink>
    </w:p>
    <w:p w14:paraId="0F68EAE6" w14:textId="6E481C6F"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0" w:history="1">
        <w:r w:rsidRPr="00FB73F1">
          <w:rPr>
            <w:rStyle w:val="af"/>
            <w:rFonts w:hint="eastAsia"/>
          </w:rPr>
          <w:t>表</w:t>
        </w:r>
        <w:r w:rsidRPr="00FB73F1">
          <w:rPr>
            <w:rStyle w:val="af"/>
          </w:rPr>
          <w:t>16-1-2</w:t>
        </w:r>
        <w:r w:rsidRPr="00FB73F1">
          <w:rPr>
            <w:rStyle w:val="af"/>
            <w:rFonts w:hint="eastAsia"/>
          </w:rPr>
          <w:t>：衍生性商品餘額明細表－交換</w:t>
        </w:r>
        <w:r>
          <w:rPr>
            <w:webHidden/>
          </w:rPr>
          <w:tab/>
        </w:r>
        <w:r>
          <w:rPr>
            <w:webHidden/>
          </w:rPr>
          <w:fldChar w:fldCharType="begin"/>
        </w:r>
        <w:r>
          <w:rPr>
            <w:webHidden/>
          </w:rPr>
          <w:instrText xml:space="preserve"> PAGEREF _Toc200468530 \h </w:instrText>
        </w:r>
        <w:r>
          <w:rPr>
            <w:webHidden/>
          </w:rPr>
        </w:r>
        <w:r>
          <w:rPr>
            <w:webHidden/>
          </w:rPr>
          <w:fldChar w:fldCharType="separate"/>
        </w:r>
        <w:r w:rsidR="004D5D28">
          <w:rPr>
            <w:webHidden/>
          </w:rPr>
          <w:t>79</w:t>
        </w:r>
        <w:r>
          <w:rPr>
            <w:webHidden/>
          </w:rPr>
          <w:fldChar w:fldCharType="end"/>
        </w:r>
      </w:hyperlink>
    </w:p>
    <w:p w14:paraId="47083EB7" w14:textId="2B5A8C36"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1" w:history="1">
        <w:r w:rsidRPr="00FB73F1">
          <w:rPr>
            <w:rStyle w:val="af"/>
            <w:rFonts w:hint="eastAsia"/>
          </w:rPr>
          <w:t>表</w:t>
        </w:r>
        <w:r w:rsidRPr="00FB73F1">
          <w:rPr>
            <w:rStyle w:val="af"/>
          </w:rPr>
          <w:t>16-1-3</w:t>
        </w:r>
        <w:r w:rsidRPr="00FB73F1">
          <w:rPr>
            <w:rStyle w:val="af"/>
            <w:rFonts w:hint="eastAsia"/>
          </w:rPr>
          <w:t>：衍生性商品餘額明細表－買入選擇權</w:t>
        </w:r>
        <w:r w:rsidRPr="00FB73F1">
          <w:rPr>
            <w:rStyle w:val="af"/>
          </w:rPr>
          <w:t>(</w:t>
        </w:r>
        <w:r w:rsidRPr="00FB73F1">
          <w:rPr>
            <w:rStyle w:val="af"/>
            <w:rFonts w:hint="eastAsia"/>
          </w:rPr>
          <w:t>含認購《售》權證</w:t>
        </w:r>
        <w:r w:rsidRPr="00FB73F1">
          <w:rPr>
            <w:rStyle w:val="af"/>
          </w:rPr>
          <w:t>)</w:t>
        </w:r>
        <w:r>
          <w:rPr>
            <w:webHidden/>
          </w:rPr>
          <w:tab/>
        </w:r>
        <w:r>
          <w:rPr>
            <w:webHidden/>
          </w:rPr>
          <w:fldChar w:fldCharType="begin"/>
        </w:r>
        <w:r>
          <w:rPr>
            <w:webHidden/>
          </w:rPr>
          <w:instrText xml:space="preserve"> PAGEREF _Toc200468531 \h </w:instrText>
        </w:r>
        <w:r>
          <w:rPr>
            <w:webHidden/>
          </w:rPr>
        </w:r>
        <w:r>
          <w:rPr>
            <w:webHidden/>
          </w:rPr>
          <w:fldChar w:fldCharType="separate"/>
        </w:r>
        <w:r w:rsidR="004D5D28">
          <w:rPr>
            <w:webHidden/>
          </w:rPr>
          <w:t>85</w:t>
        </w:r>
        <w:r>
          <w:rPr>
            <w:webHidden/>
          </w:rPr>
          <w:fldChar w:fldCharType="end"/>
        </w:r>
      </w:hyperlink>
    </w:p>
    <w:p w14:paraId="225ABF0F" w14:textId="50EACB54"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2" w:history="1">
        <w:r w:rsidRPr="00FB73F1">
          <w:rPr>
            <w:rStyle w:val="af"/>
            <w:rFonts w:hint="eastAsia"/>
          </w:rPr>
          <w:t>表</w:t>
        </w:r>
        <w:r w:rsidRPr="00FB73F1">
          <w:rPr>
            <w:rStyle w:val="af"/>
          </w:rPr>
          <w:t>16-2-1</w:t>
        </w:r>
        <w:r w:rsidRPr="00FB73F1">
          <w:rPr>
            <w:rStyle w:val="af"/>
            <w:rFonts w:hint="eastAsia"/>
          </w:rPr>
          <w:t>：衍生性商品餘額明細表</w:t>
        </w:r>
        <w:r w:rsidRPr="00FB73F1">
          <w:rPr>
            <w:rStyle w:val="af"/>
          </w:rPr>
          <w:t>(</w:t>
        </w:r>
        <w:r w:rsidRPr="00FB73F1">
          <w:rPr>
            <w:rStyle w:val="af"/>
            <w:rFonts w:hint="eastAsia"/>
          </w:rPr>
          <w:t>總計</w:t>
        </w:r>
        <w:r w:rsidRPr="00FB73F1">
          <w:rPr>
            <w:rStyle w:val="af"/>
          </w:rPr>
          <w:t>)</w:t>
        </w:r>
        <w:r w:rsidRPr="00FB73F1">
          <w:rPr>
            <w:rStyle w:val="af"/>
            <w:rFonts w:hint="eastAsia"/>
          </w:rPr>
          <w:t>－以避險為目的</w:t>
        </w:r>
        <w:r>
          <w:rPr>
            <w:webHidden/>
          </w:rPr>
          <w:tab/>
        </w:r>
        <w:r>
          <w:rPr>
            <w:webHidden/>
          </w:rPr>
          <w:fldChar w:fldCharType="begin"/>
        </w:r>
        <w:r>
          <w:rPr>
            <w:webHidden/>
          </w:rPr>
          <w:instrText xml:space="preserve"> PAGEREF _Toc200468532 \h </w:instrText>
        </w:r>
        <w:r>
          <w:rPr>
            <w:webHidden/>
          </w:rPr>
        </w:r>
        <w:r>
          <w:rPr>
            <w:webHidden/>
          </w:rPr>
          <w:fldChar w:fldCharType="separate"/>
        </w:r>
        <w:r w:rsidR="004D5D28">
          <w:rPr>
            <w:webHidden/>
          </w:rPr>
          <w:t>93</w:t>
        </w:r>
        <w:r>
          <w:rPr>
            <w:webHidden/>
          </w:rPr>
          <w:fldChar w:fldCharType="end"/>
        </w:r>
      </w:hyperlink>
    </w:p>
    <w:p w14:paraId="0E606E5B" w14:textId="238BF297"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3" w:history="1">
        <w:r w:rsidRPr="00FB73F1">
          <w:rPr>
            <w:rStyle w:val="af"/>
            <w:rFonts w:hint="eastAsia"/>
          </w:rPr>
          <w:t>表</w:t>
        </w:r>
        <w:r w:rsidRPr="00FB73F1">
          <w:rPr>
            <w:rStyle w:val="af"/>
          </w:rPr>
          <w:t>19-5</w:t>
        </w:r>
        <w:r w:rsidRPr="00FB73F1">
          <w:rPr>
            <w:rStyle w:val="af"/>
            <w:rFonts w:hint="eastAsia"/>
          </w:rPr>
          <w:t>：再保險資產－再保人別</w:t>
        </w:r>
        <w:r>
          <w:rPr>
            <w:webHidden/>
          </w:rPr>
          <w:tab/>
        </w:r>
        <w:r>
          <w:rPr>
            <w:webHidden/>
          </w:rPr>
          <w:fldChar w:fldCharType="begin"/>
        </w:r>
        <w:r>
          <w:rPr>
            <w:webHidden/>
          </w:rPr>
          <w:instrText xml:space="preserve"> PAGEREF _Toc200468533 \h </w:instrText>
        </w:r>
        <w:r>
          <w:rPr>
            <w:webHidden/>
          </w:rPr>
        </w:r>
        <w:r>
          <w:rPr>
            <w:webHidden/>
          </w:rPr>
          <w:fldChar w:fldCharType="separate"/>
        </w:r>
        <w:r w:rsidR="004D5D28">
          <w:rPr>
            <w:webHidden/>
          </w:rPr>
          <w:t>94</w:t>
        </w:r>
        <w:r>
          <w:rPr>
            <w:webHidden/>
          </w:rPr>
          <w:fldChar w:fldCharType="end"/>
        </w:r>
      </w:hyperlink>
    </w:p>
    <w:p w14:paraId="24764C9C" w14:textId="4EFA361A"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4" w:history="1">
        <w:r w:rsidRPr="00FB73F1">
          <w:rPr>
            <w:rStyle w:val="af"/>
            <w:rFonts w:hint="eastAsia"/>
          </w:rPr>
          <w:t>表</w:t>
        </w:r>
        <w:r w:rsidRPr="00FB73F1">
          <w:rPr>
            <w:rStyle w:val="af"/>
          </w:rPr>
          <w:t>19-6</w:t>
        </w:r>
        <w:r w:rsidRPr="00FB73F1">
          <w:rPr>
            <w:rStyle w:val="af"/>
            <w:rFonts w:hint="eastAsia"/>
          </w:rPr>
          <w:t>：再保險資產－帳齡分析</w:t>
        </w:r>
        <w:r w:rsidRPr="00FB73F1">
          <w:rPr>
            <w:rStyle w:val="af"/>
          </w:rPr>
          <w:t>(</w:t>
        </w:r>
        <w:r w:rsidRPr="00FB73F1">
          <w:rPr>
            <w:rStyle w:val="af"/>
            <w:rFonts w:hint="eastAsia"/>
          </w:rPr>
          <w:t>應攤回再保賠款與給付</w:t>
        </w:r>
        <w:r w:rsidRPr="00FB73F1">
          <w:rPr>
            <w:rStyle w:val="af"/>
          </w:rPr>
          <w:t>)</w:t>
        </w:r>
        <w:r>
          <w:rPr>
            <w:webHidden/>
          </w:rPr>
          <w:tab/>
        </w:r>
        <w:r>
          <w:rPr>
            <w:webHidden/>
          </w:rPr>
          <w:fldChar w:fldCharType="begin"/>
        </w:r>
        <w:r>
          <w:rPr>
            <w:webHidden/>
          </w:rPr>
          <w:instrText xml:space="preserve"> PAGEREF _Toc200468534 \h </w:instrText>
        </w:r>
        <w:r>
          <w:rPr>
            <w:webHidden/>
          </w:rPr>
        </w:r>
        <w:r>
          <w:rPr>
            <w:webHidden/>
          </w:rPr>
          <w:fldChar w:fldCharType="separate"/>
        </w:r>
        <w:r w:rsidR="004D5D28">
          <w:rPr>
            <w:webHidden/>
          </w:rPr>
          <w:t>96</w:t>
        </w:r>
        <w:r>
          <w:rPr>
            <w:webHidden/>
          </w:rPr>
          <w:fldChar w:fldCharType="end"/>
        </w:r>
      </w:hyperlink>
    </w:p>
    <w:p w14:paraId="6965D54F" w14:textId="2385312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5" w:history="1">
        <w:r w:rsidRPr="00FB73F1">
          <w:rPr>
            <w:rStyle w:val="af"/>
            <w:rFonts w:hint="eastAsia"/>
          </w:rPr>
          <w:t>表</w:t>
        </w:r>
        <w:r w:rsidRPr="00FB73F1">
          <w:rPr>
            <w:rStyle w:val="af"/>
          </w:rPr>
          <w:t>19-7</w:t>
        </w:r>
        <w:r w:rsidRPr="00FB73F1">
          <w:rPr>
            <w:rStyle w:val="af"/>
            <w:rFonts w:hint="eastAsia"/>
          </w:rPr>
          <w:t>：再保險資產－帳齡分析</w:t>
        </w:r>
        <w:r w:rsidRPr="00FB73F1">
          <w:rPr>
            <w:rStyle w:val="af"/>
          </w:rPr>
          <w:t>(</w:t>
        </w:r>
        <w:r w:rsidRPr="00FB73F1">
          <w:rPr>
            <w:rStyle w:val="af"/>
            <w:rFonts w:hint="eastAsia"/>
          </w:rPr>
          <w:t>應收再保往來款項</w:t>
        </w:r>
        <w:r w:rsidRPr="00FB73F1">
          <w:rPr>
            <w:rStyle w:val="af"/>
          </w:rPr>
          <w:t>)</w:t>
        </w:r>
        <w:r>
          <w:rPr>
            <w:webHidden/>
          </w:rPr>
          <w:tab/>
        </w:r>
        <w:r>
          <w:rPr>
            <w:webHidden/>
          </w:rPr>
          <w:fldChar w:fldCharType="begin"/>
        </w:r>
        <w:r>
          <w:rPr>
            <w:webHidden/>
          </w:rPr>
          <w:instrText xml:space="preserve"> PAGEREF _Toc200468535 \h </w:instrText>
        </w:r>
        <w:r>
          <w:rPr>
            <w:webHidden/>
          </w:rPr>
        </w:r>
        <w:r>
          <w:rPr>
            <w:webHidden/>
          </w:rPr>
          <w:fldChar w:fldCharType="separate"/>
        </w:r>
        <w:r w:rsidR="004D5D28">
          <w:rPr>
            <w:webHidden/>
          </w:rPr>
          <w:t>97</w:t>
        </w:r>
        <w:r>
          <w:rPr>
            <w:webHidden/>
          </w:rPr>
          <w:fldChar w:fldCharType="end"/>
        </w:r>
      </w:hyperlink>
    </w:p>
    <w:p w14:paraId="02B53356" w14:textId="11289C72"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6" w:history="1">
        <w:r w:rsidRPr="00FB73F1">
          <w:rPr>
            <w:rStyle w:val="af"/>
            <w:rFonts w:hint="eastAsia"/>
          </w:rPr>
          <w:t>表</w:t>
        </w:r>
        <w:r w:rsidRPr="00FB73F1">
          <w:rPr>
            <w:rStyle w:val="af"/>
          </w:rPr>
          <w:t>21-1</w:t>
        </w:r>
        <w:r w:rsidRPr="00FB73F1">
          <w:rPr>
            <w:rStyle w:val="af"/>
            <w:rFonts w:hint="eastAsia"/>
          </w:rPr>
          <w:t>：直接保險業務明細表</w:t>
        </w:r>
        <w:r>
          <w:rPr>
            <w:webHidden/>
          </w:rPr>
          <w:tab/>
        </w:r>
        <w:r>
          <w:rPr>
            <w:webHidden/>
          </w:rPr>
          <w:fldChar w:fldCharType="begin"/>
        </w:r>
        <w:r>
          <w:rPr>
            <w:webHidden/>
          </w:rPr>
          <w:instrText xml:space="preserve"> PAGEREF _Toc200468536 \h </w:instrText>
        </w:r>
        <w:r>
          <w:rPr>
            <w:webHidden/>
          </w:rPr>
        </w:r>
        <w:r>
          <w:rPr>
            <w:webHidden/>
          </w:rPr>
          <w:fldChar w:fldCharType="separate"/>
        </w:r>
        <w:r w:rsidR="004D5D28">
          <w:rPr>
            <w:webHidden/>
          </w:rPr>
          <w:t>98</w:t>
        </w:r>
        <w:r>
          <w:rPr>
            <w:webHidden/>
          </w:rPr>
          <w:fldChar w:fldCharType="end"/>
        </w:r>
      </w:hyperlink>
    </w:p>
    <w:p w14:paraId="7C7F127A" w14:textId="405714A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7" w:history="1">
        <w:r w:rsidRPr="00FB73F1">
          <w:rPr>
            <w:rStyle w:val="af"/>
            <w:rFonts w:hint="eastAsia"/>
          </w:rPr>
          <w:t>表</w:t>
        </w:r>
        <w:r w:rsidRPr="00FB73F1">
          <w:rPr>
            <w:rStyle w:val="af"/>
          </w:rPr>
          <w:t>21-3</w:t>
        </w:r>
        <w:r w:rsidRPr="00FB73F1">
          <w:rPr>
            <w:rStyle w:val="af"/>
            <w:rFonts w:hint="eastAsia"/>
          </w:rPr>
          <w:t>：分入再保險業務明細表</w:t>
        </w:r>
        <w:r>
          <w:rPr>
            <w:webHidden/>
          </w:rPr>
          <w:tab/>
        </w:r>
        <w:r>
          <w:rPr>
            <w:webHidden/>
          </w:rPr>
          <w:fldChar w:fldCharType="begin"/>
        </w:r>
        <w:r>
          <w:rPr>
            <w:webHidden/>
          </w:rPr>
          <w:instrText xml:space="preserve"> PAGEREF _Toc200468537 \h </w:instrText>
        </w:r>
        <w:r>
          <w:rPr>
            <w:webHidden/>
          </w:rPr>
        </w:r>
        <w:r>
          <w:rPr>
            <w:webHidden/>
          </w:rPr>
          <w:fldChar w:fldCharType="separate"/>
        </w:r>
        <w:r w:rsidR="004D5D28">
          <w:rPr>
            <w:webHidden/>
          </w:rPr>
          <w:t>101</w:t>
        </w:r>
        <w:r>
          <w:rPr>
            <w:webHidden/>
          </w:rPr>
          <w:fldChar w:fldCharType="end"/>
        </w:r>
      </w:hyperlink>
    </w:p>
    <w:p w14:paraId="31F4C0EB" w14:textId="120C6D08"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8" w:history="1">
        <w:r w:rsidRPr="00FB73F1">
          <w:rPr>
            <w:rStyle w:val="af"/>
            <w:rFonts w:hint="eastAsia"/>
          </w:rPr>
          <w:t>表</w:t>
        </w:r>
        <w:r w:rsidRPr="00FB73F1">
          <w:rPr>
            <w:rStyle w:val="af"/>
          </w:rPr>
          <w:t>21-8</w:t>
        </w:r>
        <w:r w:rsidRPr="00FB73F1">
          <w:rPr>
            <w:rStyle w:val="af"/>
            <w:rFonts w:hint="eastAsia"/>
          </w:rPr>
          <w:t>：保單紅利明細表之二</w:t>
        </w:r>
        <w:r>
          <w:rPr>
            <w:webHidden/>
          </w:rPr>
          <w:tab/>
        </w:r>
        <w:r>
          <w:rPr>
            <w:webHidden/>
          </w:rPr>
          <w:fldChar w:fldCharType="begin"/>
        </w:r>
        <w:r>
          <w:rPr>
            <w:webHidden/>
          </w:rPr>
          <w:instrText xml:space="preserve"> PAGEREF _Toc200468538 \h </w:instrText>
        </w:r>
        <w:r>
          <w:rPr>
            <w:webHidden/>
          </w:rPr>
        </w:r>
        <w:r>
          <w:rPr>
            <w:webHidden/>
          </w:rPr>
          <w:fldChar w:fldCharType="separate"/>
        </w:r>
        <w:r w:rsidR="004D5D28">
          <w:rPr>
            <w:webHidden/>
          </w:rPr>
          <w:t>104</w:t>
        </w:r>
        <w:r>
          <w:rPr>
            <w:webHidden/>
          </w:rPr>
          <w:fldChar w:fldCharType="end"/>
        </w:r>
      </w:hyperlink>
    </w:p>
    <w:p w14:paraId="1599C5D3" w14:textId="1175CF56"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9" w:history="1">
        <w:r w:rsidRPr="00FB73F1">
          <w:rPr>
            <w:rStyle w:val="af"/>
            <w:rFonts w:hint="eastAsia"/>
          </w:rPr>
          <w:t>表</w:t>
        </w:r>
        <w:r w:rsidRPr="00FB73F1">
          <w:rPr>
            <w:rStyle w:val="af"/>
          </w:rPr>
          <w:t>23</w:t>
        </w:r>
        <w:r w:rsidRPr="00FB73F1">
          <w:rPr>
            <w:rStyle w:val="af"/>
            <w:rFonts w:hint="eastAsia"/>
          </w:rPr>
          <w:t>：有效契約責任準備金明細表</w:t>
        </w:r>
        <w:r>
          <w:rPr>
            <w:webHidden/>
          </w:rPr>
          <w:tab/>
        </w:r>
        <w:r>
          <w:rPr>
            <w:webHidden/>
          </w:rPr>
          <w:fldChar w:fldCharType="begin"/>
        </w:r>
        <w:r>
          <w:rPr>
            <w:webHidden/>
          </w:rPr>
          <w:instrText xml:space="preserve"> PAGEREF _Toc200468539 \h </w:instrText>
        </w:r>
        <w:r>
          <w:rPr>
            <w:webHidden/>
          </w:rPr>
        </w:r>
        <w:r>
          <w:rPr>
            <w:webHidden/>
          </w:rPr>
          <w:fldChar w:fldCharType="separate"/>
        </w:r>
        <w:r w:rsidR="004D5D28">
          <w:rPr>
            <w:webHidden/>
          </w:rPr>
          <w:t>106</w:t>
        </w:r>
        <w:r>
          <w:rPr>
            <w:webHidden/>
          </w:rPr>
          <w:fldChar w:fldCharType="end"/>
        </w:r>
      </w:hyperlink>
    </w:p>
    <w:p w14:paraId="4746E9F2" w14:textId="4BA0B49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0" w:history="1">
        <w:r w:rsidRPr="00FB73F1">
          <w:rPr>
            <w:rStyle w:val="af"/>
            <w:rFonts w:hint="eastAsia"/>
          </w:rPr>
          <w:t>表</w:t>
        </w:r>
        <w:r w:rsidRPr="00FB73F1">
          <w:rPr>
            <w:rStyle w:val="af"/>
          </w:rPr>
          <w:t>24</w:t>
        </w:r>
        <w:r w:rsidRPr="00FB73F1">
          <w:rPr>
            <w:rStyle w:val="af"/>
            <w:rFonts w:hint="eastAsia"/>
          </w:rPr>
          <w:t>：未滿期保費準備金明細表</w:t>
        </w:r>
        <w:r>
          <w:rPr>
            <w:webHidden/>
          </w:rPr>
          <w:tab/>
        </w:r>
        <w:r>
          <w:rPr>
            <w:webHidden/>
          </w:rPr>
          <w:fldChar w:fldCharType="begin"/>
        </w:r>
        <w:r>
          <w:rPr>
            <w:webHidden/>
          </w:rPr>
          <w:instrText xml:space="preserve"> PAGEREF _Toc200468540 \h </w:instrText>
        </w:r>
        <w:r>
          <w:rPr>
            <w:webHidden/>
          </w:rPr>
        </w:r>
        <w:r>
          <w:rPr>
            <w:webHidden/>
          </w:rPr>
          <w:fldChar w:fldCharType="separate"/>
        </w:r>
        <w:r w:rsidR="004D5D28">
          <w:rPr>
            <w:webHidden/>
          </w:rPr>
          <w:t>110</w:t>
        </w:r>
        <w:r>
          <w:rPr>
            <w:webHidden/>
          </w:rPr>
          <w:fldChar w:fldCharType="end"/>
        </w:r>
      </w:hyperlink>
    </w:p>
    <w:p w14:paraId="0689CEE5" w14:textId="681A801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1" w:history="1">
        <w:r w:rsidRPr="00FB73F1">
          <w:rPr>
            <w:rStyle w:val="af"/>
            <w:rFonts w:hint="eastAsia"/>
          </w:rPr>
          <w:t>表</w:t>
        </w:r>
        <w:r w:rsidRPr="00FB73F1">
          <w:rPr>
            <w:rStyle w:val="af"/>
          </w:rPr>
          <w:t>25-1</w:t>
        </w:r>
        <w:r w:rsidRPr="00FB73F1">
          <w:rPr>
            <w:rStyle w:val="af"/>
            <w:rFonts w:hint="eastAsia"/>
          </w:rPr>
          <w:t>：重大事故特別準備金明細表</w:t>
        </w:r>
        <w:r>
          <w:rPr>
            <w:webHidden/>
          </w:rPr>
          <w:tab/>
        </w:r>
        <w:r>
          <w:rPr>
            <w:webHidden/>
          </w:rPr>
          <w:fldChar w:fldCharType="begin"/>
        </w:r>
        <w:r>
          <w:rPr>
            <w:webHidden/>
          </w:rPr>
          <w:instrText xml:space="preserve"> PAGEREF _Toc200468541 \h </w:instrText>
        </w:r>
        <w:r>
          <w:rPr>
            <w:webHidden/>
          </w:rPr>
        </w:r>
        <w:r>
          <w:rPr>
            <w:webHidden/>
          </w:rPr>
          <w:fldChar w:fldCharType="separate"/>
        </w:r>
        <w:r w:rsidR="004D5D28">
          <w:rPr>
            <w:webHidden/>
          </w:rPr>
          <w:t>113</w:t>
        </w:r>
        <w:r>
          <w:rPr>
            <w:webHidden/>
          </w:rPr>
          <w:fldChar w:fldCharType="end"/>
        </w:r>
      </w:hyperlink>
    </w:p>
    <w:p w14:paraId="6FD2E2D5" w14:textId="1B759ED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2" w:history="1">
        <w:r w:rsidRPr="00FB73F1">
          <w:rPr>
            <w:rStyle w:val="af"/>
            <w:rFonts w:hint="eastAsia"/>
          </w:rPr>
          <w:t>表</w:t>
        </w:r>
        <w:r w:rsidRPr="00FB73F1">
          <w:rPr>
            <w:rStyle w:val="af"/>
          </w:rPr>
          <w:t>25-2</w:t>
        </w:r>
        <w:r w:rsidRPr="00FB73F1">
          <w:rPr>
            <w:rStyle w:val="af"/>
            <w:rFonts w:hint="eastAsia"/>
          </w:rPr>
          <w:t>：危險變動特別準備金明細表</w:t>
        </w:r>
        <w:r>
          <w:rPr>
            <w:webHidden/>
          </w:rPr>
          <w:tab/>
        </w:r>
        <w:r>
          <w:rPr>
            <w:webHidden/>
          </w:rPr>
          <w:fldChar w:fldCharType="begin"/>
        </w:r>
        <w:r>
          <w:rPr>
            <w:webHidden/>
          </w:rPr>
          <w:instrText xml:space="preserve"> PAGEREF _Toc200468542 \h </w:instrText>
        </w:r>
        <w:r>
          <w:rPr>
            <w:webHidden/>
          </w:rPr>
        </w:r>
        <w:r>
          <w:rPr>
            <w:webHidden/>
          </w:rPr>
          <w:fldChar w:fldCharType="separate"/>
        </w:r>
        <w:r w:rsidR="004D5D28">
          <w:rPr>
            <w:webHidden/>
          </w:rPr>
          <w:t>116</w:t>
        </w:r>
        <w:r>
          <w:rPr>
            <w:webHidden/>
          </w:rPr>
          <w:fldChar w:fldCharType="end"/>
        </w:r>
      </w:hyperlink>
    </w:p>
    <w:p w14:paraId="0854F5B3" w14:textId="2523D7DC"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3" w:history="1">
        <w:r w:rsidRPr="00FB73F1">
          <w:rPr>
            <w:rStyle w:val="af"/>
            <w:rFonts w:hint="eastAsia"/>
          </w:rPr>
          <w:t>表</w:t>
        </w:r>
        <w:r w:rsidRPr="00FB73F1">
          <w:rPr>
            <w:rStyle w:val="af"/>
          </w:rPr>
          <w:t>25-6</w:t>
        </w:r>
        <w:r w:rsidRPr="00FB73F1">
          <w:rPr>
            <w:rStyle w:val="af"/>
            <w:rFonts w:hint="eastAsia"/>
          </w:rPr>
          <w:t>：外匯價格變動準備金明細表</w:t>
        </w:r>
        <w:r>
          <w:rPr>
            <w:webHidden/>
          </w:rPr>
          <w:tab/>
        </w:r>
        <w:r>
          <w:rPr>
            <w:webHidden/>
          </w:rPr>
          <w:fldChar w:fldCharType="begin"/>
        </w:r>
        <w:r>
          <w:rPr>
            <w:webHidden/>
          </w:rPr>
          <w:instrText xml:space="preserve"> PAGEREF _Toc200468543 \h </w:instrText>
        </w:r>
        <w:r>
          <w:rPr>
            <w:webHidden/>
          </w:rPr>
        </w:r>
        <w:r>
          <w:rPr>
            <w:webHidden/>
          </w:rPr>
          <w:fldChar w:fldCharType="separate"/>
        </w:r>
        <w:r w:rsidR="004D5D28">
          <w:rPr>
            <w:webHidden/>
          </w:rPr>
          <w:t>118</w:t>
        </w:r>
        <w:r>
          <w:rPr>
            <w:webHidden/>
          </w:rPr>
          <w:fldChar w:fldCharType="end"/>
        </w:r>
      </w:hyperlink>
    </w:p>
    <w:p w14:paraId="3E62924B" w14:textId="3D676C0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4" w:history="1">
        <w:r w:rsidRPr="00FB73F1">
          <w:rPr>
            <w:rStyle w:val="af"/>
            <w:rFonts w:hint="eastAsia"/>
          </w:rPr>
          <w:t>表</w:t>
        </w:r>
        <w:r w:rsidRPr="00FB73F1">
          <w:rPr>
            <w:rStyle w:val="af"/>
          </w:rPr>
          <w:t>25-7</w:t>
        </w:r>
        <w:r w:rsidRPr="00FB73F1">
          <w:rPr>
            <w:rStyle w:val="af"/>
            <w:rFonts w:hint="eastAsia"/>
          </w:rPr>
          <w:t>：帳列負債之特別準備明細表</w:t>
        </w:r>
        <w:r>
          <w:rPr>
            <w:webHidden/>
          </w:rPr>
          <w:tab/>
        </w:r>
        <w:r>
          <w:rPr>
            <w:webHidden/>
          </w:rPr>
          <w:fldChar w:fldCharType="begin"/>
        </w:r>
        <w:r>
          <w:rPr>
            <w:webHidden/>
          </w:rPr>
          <w:instrText xml:space="preserve"> PAGEREF _Toc200468544 \h </w:instrText>
        </w:r>
        <w:r>
          <w:rPr>
            <w:webHidden/>
          </w:rPr>
        </w:r>
        <w:r>
          <w:rPr>
            <w:webHidden/>
          </w:rPr>
          <w:fldChar w:fldCharType="separate"/>
        </w:r>
        <w:r w:rsidR="004D5D28">
          <w:rPr>
            <w:webHidden/>
          </w:rPr>
          <w:t>119</w:t>
        </w:r>
        <w:r>
          <w:rPr>
            <w:webHidden/>
          </w:rPr>
          <w:fldChar w:fldCharType="end"/>
        </w:r>
      </w:hyperlink>
    </w:p>
    <w:p w14:paraId="66931EE9" w14:textId="23A547B2"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5" w:history="1">
        <w:r w:rsidRPr="00FB73F1">
          <w:rPr>
            <w:rStyle w:val="af"/>
            <w:rFonts w:hint="eastAsia"/>
          </w:rPr>
          <w:t>表</w:t>
        </w:r>
        <w:r w:rsidRPr="00FB73F1">
          <w:rPr>
            <w:rStyle w:val="af"/>
          </w:rPr>
          <w:t>25-7-1</w:t>
        </w:r>
        <w:r w:rsidRPr="00FB73F1">
          <w:rPr>
            <w:rStyle w:val="af"/>
            <w:rFonts w:hint="eastAsia"/>
          </w:rPr>
          <w:t>：精算簽證適足準備明細表</w:t>
        </w:r>
        <w:r>
          <w:rPr>
            <w:webHidden/>
          </w:rPr>
          <w:tab/>
        </w:r>
        <w:r>
          <w:rPr>
            <w:webHidden/>
          </w:rPr>
          <w:fldChar w:fldCharType="begin"/>
        </w:r>
        <w:r>
          <w:rPr>
            <w:webHidden/>
          </w:rPr>
          <w:instrText xml:space="preserve"> PAGEREF _Toc200468545 \h </w:instrText>
        </w:r>
        <w:r>
          <w:rPr>
            <w:webHidden/>
          </w:rPr>
        </w:r>
        <w:r>
          <w:rPr>
            <w:webHidden/>
          </w:rPr>
          <w:fldChar w:fldCharType="separate"/>
        </w:r>
        <w:r w:rsidR="004D5D28">
          <w:rPr>
            <w:webHidden/>
          </w:rPr>
          <w:t>120</w:t>
        </w:r>
        <w:r>
          <w:rPr>
            <w:webHidden/>
          </w:rPr>
          <w:fldChar w:fldCharType="end"/>
        </w:r>
      </w:hyperlink>
    </w:p>
    <w:p w14:paraId="3515BE6A" w14:textId="283EAC1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6" w:history="1">
        <w:r w:rsidRPr="00FB73F1">
          <w:rPr>
            <w:rStyle w:val="af"/>
            <w:rFonts w:hint="eastAsia"/>
          </w:rPr>
          <w:t>表</w:t>
        </w:r>
        <w:r w:rsidRPr="00FB73F1">
          <w:rPr>
            <w:rStyle w:val="af"/>
          </w:rPr>
          <w:t>25-7-2</w:t>
        </w:r>
        <w:r w:rsidRPr="00FB73F1">
          <w:rPr>
            <w:rStyle w:val="af"/>
            <w:rFonts w:hint="eastAsia"/>
          </w:rPr>
          <w:t>：有效契約負債公平價值準備明細表</w:t>
        </w:r>
        <w:r>
          <w:rPr>
            <w:webHidden/>
          </w:rPr>
          <w:tab/>
        </w:r>
        <w:r>
          <w:rPr>
            <w:webHidden/>
          </w:rPr>
          <w:fldChar w:fldCharType="begin"/>
        </w:r>
        <w:r>
          <w:rPr>
            <w:webHidden/>
          </w:rPr>
          <w:instrText xml:space="preserve"> PAGEREF _Toc200468546 \h </w:instrText>
        </w:r>
        <w:r>
          <w:rPr>
            <w:webHidden/>
          </w:rPr>
        </w:r>
        <w:r>
          <w:rPr>
            <w:webHidden/>
          </w:rPr>
          <w:fldChar w:fldCharType="separate"/>
        </w:r>
        <w:r w:rsidR="004D5D28">
          <w:rPr>
            <w:webHidden/>
          </w:rPr>
          <w:t>121</w:t>
        </w:r>
        <w:r>
          <w:rPr>
            <w:webHidden/>
          </w:rPr>
          <w:fldChar w:fldCharType="end"/>
        </w:r>
      </w:hyperlink>
    </w:p>
    <w:p w14:paraId="1E36C652" w14:textId="61AB52C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7" w:history="1">
        <w:r w:rsidRPr="00FB73F1">
          <w:rPr>
            <w:rStyle w:val="af"/>
            <w:rFonts w:hint="eastAsia"/>
          </w:rPr>
          <w:t>表</w:t>
        </w:r>
        <w:r w:rsidRPr="00FB73F1">
          <w:rPr>
            <w:rStyle w:val="af"/>
          </w:rPr>
          <w:t>30-1</w:t>
        </w:r>
        <w:r w:rsidRPr="00FB73F1">
          <w:rPr>
            <w:rStyle w:val="af"/>
            <w:rFonts w:hint="eastAsia"/>
          </w:rPr>
          <w:t>：資本適足性分析表</w:t>
        </w:r>
        <w:r>
          <w:rPr>
            <w:webHidden/>
          </w:rPr>
          <w:tab/>
        </w:r>
        <w:r>
          <w:rPr>
            <w:webHidden/>
          </w:rPr>
          <w:fldChar w:fldCharType="begin"/>
        </w:r>
        <w:r>
          <w:rPr>
            <w:webHidden/>
          </w:rPr>
          <w:instrText xml:space="preserve"> PAGEREF _Toc200468547 \h </w:instrText>
        </w:r>
        <w:r>
          <w:rPr>
            <w:webHidden/>
          </w:rPr>
        </w:r>
        <w:r>
          <w:rPr>
            <w:webHidden/>
          </w:rPr>
          <w:fldChar w:fldCharType="separate"/>
        </w:r>
        <w:r w:rsidR="004D5D28">
          <w:rPr>
            <w:webHidden/>
          </w:rPr>
          <w:t>123</w:t>
        </w:r>
        <w:r>
          <w:rPr>
            <w:webHidden/>
          </w:rPr>
          <w:fldChar w:fldCharType="end"/>
        </w:r>
      </w:hyperlink>
    </w:p>
    <w:p w14:paraId="3662FB27" w14:textId="123994A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8" w:history="1">
        <w:r w:rsidRPr="00FB73F1">
          <w:rPr>
            <w:rStyle w:val="af"/>
            <w:rFonts w:hint="eastAsia"/>
          </w:rPr>
          <w:t>表</w:t>
        </w:r>
        <w:r w:rsidRPr="00FB73F1">
          <w:rPr>
            <w:rStyle w:val="af"/>
          </w:rPr>
          <w:t>30-2</w:t>
        </w:r>
        <w:r w:rsidRPr="00FB73F1">
          <w:rPr>
            <w:rStyle w:val="af"/>
            <w:rFonts w:hint="eastAsia"/>
          </w:rPr>
          <w:t>：</w:t>
        </w:r>
        <w:r w:rsidRPr="00FB73F1">
          <w:rPr>
            <w:rStyle w:val="af"/>
          </w:rPr>
          <w:t>C0</w:t>
        </w:r>
        <w:r w:rsidRPr="00FB73F1">
          <w:rPr>
            <w:rStyle w:val="af"/>
            <w:rFonts w:hint="eastAsia"/>
          </w:rPr>
          <w:t>：資產風險－關係人風險計算表</w:t>
        </w:r>
        <w:r>
          <w:rPr>
            <w:webHidden/>
          </w:rPr>
          <w:tab/>
        </w:r>
        <w:r>
          <w:rPr>
            <w:webHidden/>
          </w:rPr>
          <w:fldChar w:fldCharType="begin"/>
        </w:r>
        <w:r>
          <w:rPr>
            <w:webHidden/>
          </w:rPr>
          <w:instrText xml:space="preserve"> PAGEREF _Toc200468548 \h </w:instrText>
        </w:r>
        <w:r>
          <w:rPr>
            <w:webHidden/>
          </w:rPr>
        </w:r>
        <w:r>
          <w:rPr>
            <w:webHidden/>
          </w:rPr>
          <w:fldChar w:fldCharType="separate"/>
        </w:r>
        <w:r w:rsidR="004D5D28">
          <w:rPr>
            <w:webHidden/>
          </w:rPr>
          <w:t>126</w:t>
        </w:r>
        <w:r>
          <w:rPr>
            <w:webHidden/>
          </w:rPr>
          <w:fldChar w:fldCharType="end"/>
        </w:r>
      </w:hyperlink>
    </w:p>
    <w:p w14:paraId="0E49C5F6" w14:textId="2B86A10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9" w:history="1">
        <w:r w:rsidRPr="00FB73F1">
          <w:rPr>
            <w:rStyle w:val="af"/>
            <w:rFonts w:hint="eastAsia"/>
          </w:rPr>
          <w:t>表</w:t>
        </w:r>
        <w:r w:rsidRPr="00FB73F1">
          <w:rPr>
            <w:rStyle w:val="af"/>
          </w:rPr>
          <w:t>30-3</w:t>
        </w:r>
        <w:r w:rsidRPr="00FB73F1">
          <w:rPr>
            <w:rStyle w:val="af"/>
            <w:rFonts w:hint="eastAsia"/>
          </w:rPr>
          <w:t>：</w:t>
        </w:r>
        <w:r w:rsidRPr="00FB73F1">
          <w:rPr>
            <w:rStyle w:val="af"/>
          </w:rPr>
          <w:t>C1:</w:t>
        </w:r>
        <w:r w:rsidRPr="00FB73F1">
          <w:rPr>
            <w:rStyle w:val="af"/>
            <w:rFonts w:hint="eastAsia"/>
          </w:rPr>
          <w:t>資產風險─非關係人風險計算表</w:t>
        </w:r>
        <w:r>
          <w:rPr>
            <w:webHidden/>
          </w:rPr>
          <w:tab/>
        </w:r>
        <w:r>
          <w:rPr>
            <w:webHidden/>
          </w:rPr>
          <w:fldChar w:fldCharType="begin"/>
        </w:r>
        <w:r>
          <w:rPr>
            <w:webHidden/>
          </w:rPr>
          <w:instrText xml:space="preserve"> PAGEREF _Toc200468549 \h </w:instrText>
        </w:r>
        <w:r>
          <w:rPr>
            <w:webHidden/>
          </w:rPr>
        </w:r>
        <w:r>
          <w:rPr>
            <w:webHidden/>
          </w:rPr>
          <w:fldChar w:fldCharType="separate"/>
        </w:r>
        <w:r w:rsidR="004D5D28">
          <w:rPr>
            <w:webHidden/>
          </w:rPr>
          <w:t>131</w:t>
        </w:r>
        <w:r>
          <w:rPr>
            <w:webHidden/>
          </w:rPr>
          <w:fldChar w:fldCharType="end"/>
        </w:r>
      </w:hyperlink>
    </w:p>
    <w:p w14:paraId="3F3C2A16" w14:textId="0F11EA16"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0" w:history="1">
        <w:r w:rsidRPr="004D5D28">
          <w:rPr>
            <w:rStyle w:val="af"/>
            <w:rFonts w:hint="eastAsia"/>
            <w:color w:val="EE0000"/>
          </w:rPr>
          <w:t>表</w:t>
        </w:r>
        <w:r w:rsidRPr="004D5D28">
          <w:rPr>
            <w:rStyle w:val="af"/>
            <w:color w:val="EE0000"/>
          </w:rPr>
          <w:t>30-3-1</w:t>
        </w:r>
        <w:r w:rsidRPr="004D5D28">
          <w:rPr>
            <w:rStyle w:val="af"/>
            <w:rFonts w:hint="eastAsia"/>
            <w:color w:val="EE0000"/>
          </w:rPr>
          <w:t>：</w:t>
        </w:r>
        <w:r w:rsidRPr="004D5D28">
          <w:rPr>
            <w:rStyle w:val="af"/>
            <w:color w:val="EE0000"/>
          </w:rPr>
          <w:t>C1a</w:t>
        </w:r>
        <w:r w:rsidRPr="004D5D28">
          <w:rPr>
            <w:rStyle w:val="af"/>
            <w:rFonts w:hint="eastAsia"/>
            <w:color w:val="EE0000"/>
          </w:rPr>
          <w:t>：國內資產風險</w:t>
        </w:r>
        <w:r w:rsidRPr="004D5D28">
          <w:rPr>
            <w:rStyle w:val="af"/>
            <w:color w:val="EE0000"/>
          </w:rPr>
          <w:t>--</w:t>
        </w:r>
        <w:r w:rsidRPr="004D5D28">
          <w:rPr>
            <w:rStyle w:val="af"/>
            <w:rFonts w:hint="eastAsia"/>
            <w:color w:val="EE0000"/>
          </w:rPr>
          <w:t>非關係人信用風險計算表</w:t>
        </w:r>
        <w:r w:rsidRPr="004D5D28">
          <w:rPr>
            <w:webHidden/>
            <w:color w:val="EE0000"/>
          </w:rPr>
          <w:tab/>
        </w:r>
        <w:r w:rsidRPr="004D5D28">
          <w:rPr>
            <w:webHidden/>
            <w:color w:val="EE0000"/>
          </w:rPr>
          <w:fldChar w:fldCharType="begin"/>
        </w:r>
        <w:r w:rsidRPr="004D5D28">
          <w:rPr>
            <w:webHidden/>
            <w:color w:val="EE0000"/>
          </w:rPr>
          <w:instrText xml:space="preserve"> PAGEREF _Toc200468550 \h </w:instrText>
        </w:r>
        <w:r w:rsidRPr="004D5D28">
          <w:rPr>
            <w:webHidden/>
            <w:color w:val="EE0000"/>
          </w:rPr>
        </w:r>
        <w:r w:rsidRPr="004D5D28">
          <w:rPr>
            <w:webHidden/>
            <w:color w:val="EE0000"/>
          </w:rPr>
          <w:fldChar w:fldCharType="separate"/>
        </w:r>
        <w:r w:rsidR="004D5D28">
          <w:rPr>
            <w:webHidden/>
            <w:color w:val="EE0000"/>
          </w:rPr>
          <w:t>145</w:t>
        </w:r>
        <w:r w:rsidRPr="004D5D28">
          <w:rPr>
            <w:webHidden/>
            <w:color w:val="EE0000"/>
          </w:rPr>
          <w:fldChar w:fldCharType="end"/>
        </w:r>
      </w:hyperlink>
    </w:p>
    <w:p w14:paraId="02275EEB" w14:textId="2C19C8B3"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1" w:history="1">
        <w:r w:rsidRPr="00FB73F1">
          <w:rPr>
            <w:rStyle w:val="af"/>
            <w:rFonts w:hint="eastAsia"/>
          </w:rPr>
          <w:t>表</w:t>
        </w:r>
        <w:r w:rsidRPr="00FB73F1">
          <w:rPr>
            <w:rStyle w:val="af"/>
          </w:rPr>
          <w:t>30-3-2</w:t>
        </w:r>
        <w:r w:rsidRPr="00FB73F1">
          <w:rPr>
            <w:rStyle w:val="af"/>
            <w:rFonts w:hint="eastAsia"/>
          </w:rPr>
          <w:t>：</w:t>
        </w:r>
        <w:r w:rsidRPr="00FB73F1">
          <w:rPr>
            <w:rStyle w:val="af"/>
          </w:rPr>
          <w:t>C1b</w:t>
        </w:r>
        <w:r w:rsidRPr="00FB73F1">
          <w:rPr>
            <w:rStyle w:val="af"/>
            <w:rFonts w:hint="eastAsia"/>
          </w:rPr>
          <w:t>：國外資產風險</w:t>
        </w:r>
        <w:r w:rsidRPr="00FB73F1">
          <w:rPr>
            <w:rStyle w:val="af"/>
          </w:rPr>
          <w:t>--</w:t>
        </w:r>
        <w:r w:rsidRPr="00FB73F1">
          <w:rPr>
            <w:rStyle w:val="af"/>
            <w:rFonts w:hint="eastAsia"/>
          </w:rPr>
          <w:t>非關係人信用風險計算表</w:t>
        </w:r>
        <w:r>
          <w:rPr>
            <w:webHidden/>
          </w:rPr>
          <w:tab/>
        </w:r>
        <w:r>
          <w:rPr>
            <w:webHidden/>
          </w:rPr>
          <w:fldChar w:fldCharType="begin"/>
        </w:r>
        <w:r>
          <w:rPr>
            <w:webHidden/>
          </w:rPr>
          <w:instrText xml:space="preserve"> PAGEREF _Toc200468551 \h </w:instrText>
        </w:r>
        <w:r>
          <w:rPr>
            <w:webHidden/>
          </w:rPr>
        </w:r>
        <w:r>
          <w:rPr>
            <w:webHidden/>
          </w:rPr>
          <w:fldChar w:fldCharType="separate"/>
        </w:r>
        <w:r w:rsidR="004D5D28">
          <w:rPr>
            <w:webHidden/>
          </w:rPr>
          <w:t>148</w:t>
        </w:r>
        <w:r>
          <w:rPr>
            <w:webHidden/>
          </w:rPr>
          <w:fldChar w:fldCharType="end"/>
        </w:r>
      </w:hyperlink>
    </w:p>
    <w:p w14:paraId="3B711771" w14:textId="2424F557"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2" w:history="1">
        <w:r w:rsidRPr="00FB73F1">
          <w:rPr>
            <w:rStyle w:val="af"/>
            <w:rFonts w:hint="eastAsia"/>
          </w:rPr>
          <w:t>表</w:t>
        </w:r>
        <w:r w:rsidRPr="00FB73F1">
          <w:rPr>
            <w:rStyle w:val="af"/>
          </w:rPr>
          <w:t>30-3-3</w:t>
        </w:r>
        <w:r w:rsidRPr="00FB73F1">
          <w:rPr>
            <w:rStyle w:val="af"/>
            <w:rFonts w:hint="eastAsia"/>
          </w:rPr>
          <w:t>：傳統型外幣保單外匯風險計算表</w:t>
        </w:r>
        <w:r>
          <w:rPr>
            <w:webHidden/>
          </w:rPr>
          <w:tab/>
        </w:r>
        <w:r>
          <w:rPr>
            <w:webHidden/>
          </w:rPr>
          <w:fldChar w:fldCharType="begin"/>
        </w:r>
        <w:r>
          <w:rPr>
            <w:webHidden/>
          </w:rPr>
          <w:instrText xml:space="preserve"> PAGEREF _Toc200468552 \h </w:instrText>
        </w:r>
        <w:r>
          <w:rPr>
            <w:webHidden/>
          </w:rPr>
        </w:r>
        <w:r>
          <w:rPr>
            <w:webHidden/>
          </w:rPr>
          <w:fldChar w:fldCharType="separate"/>
        </w:r>
        <w:r w:rsidR="004D5D28">
          <w:rPr>
            <w:webHidden/>
          </w:rPr>
          <w:t>150</w:t>
        </w:r>
        <w:r>
          <w:rPr>
            <w:webHidden/>
          </w:rPr>
          <w:fldChar w:fldCharType="end"/>
        </w:r>
      </w:hyperlink>
    </w:p>
    <w:p w14:paraId="7C9D1B1F" w14:textId="24347F4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3" w:history="1">
        <w:r w:rsidRPr="00FB73F1">
          <w:rPr>
            <w:rStyle w:val="af"/>
            <w:rFonts w:hint="eastAsia"/>
          </w:rPr>
          <w:t>表</w:t>
        </w:r>
        <w:r w:rsidRPr="00FB73F1">
          <w:rPr>
            <w:rStyle w:val="af"/>
          </w:rPr>
          <w:t>30-3-4</w:t>
        </w:r>
        <w:r w:rsidRPr="00FB73F1">
          <w:rPr>
            <w:rStyle w:val="af"/>
            <w:rFonts w:hint="eastAsia"/>
          </w:rPr>
          <w:t>：組合式存款風險資本額計算表</w:t>
        </w:r>
        <w:r>
          <w:rPr>
            <w:webHidden/>
          </w:rPr>
          <w:tab/>
        </w:r>
        <w:r>
          <w:rPr>
            <w:webHidden/>
          </w:rPr>
          <w:fldChar w:fldCharType="begin"/>
        </w:r>
        <w:r>
          <w:rPr>
            <w:webHidden/>
          </w:rPr>
          <w:instrText xml:space="preserve"> PAGEREF _Toc200468553 \h </w:instrText>
        </w:r>
        <w:r>
          <w:rPr>
            <w:webHidden/>
          </w:rPr>
        </w:r>
        <w:r>
          <w:rPr>
            <w:webHidden/>
          </w:rPr>
          <w:fldChar w:fldCharType="separate"/>
        </w:r>
        <w:r w:rsidR="004D5D28">
          <w:rPr>
            <w:webHidden/>
          </w:rPr>
          <w:t>151</w:t>
        </w:r>
        <w:r>
          <w:rPr>
            <w:webHidden/>
          </w:rPr>
          <w:fldChar w:fldCharType="end"/>
        </w:r>
      </w:hyperlink>
    </w:p>
    <w:p w14:paraId="322679A3" w14:textId="2273D022"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4" w:history="1">
        <w:r w:rsidRPr="00FB73F1">
          <w:rPr>
            <w:rStyle w:val="af"/>
            <w:rFonts w:hint="eastAsia"/>
          </w:rPr>
          <w:t>表</w:t>
        </w:r>
        <w:r w:rsidRPr="00FB73F1">
          <w:rPr>
            <w:rStyle w:val="af"/>
          </w:rPr>
          <w:t>30-3-5</w:t>
        </w:r>
        <w:r w:rsidRPr="00FB73F1">
          <w:rPr>
            <w:rStyle w:val="af"/>
            <w:rFonts w:hint="eastAsia"/>
          </w:rPr>
          <w:t>：再保險資產風險資本額計算表</w:t>
        </w:r>
        <w:r>
          <w:rPr>
            <w:webHidden/>
          </w:rPr>
          <w:tab/>
        </w:r>
        <w:r>
          <w:rPr>
            <w:webHidden/>
          </w:rPr>
          <w:fldChar w:fldCharType="begin"/>
        </w:r>
        <w:r>
          <w:rPr>
            <w:webHidden/>
          </w:rPr>
          <w:instrText xml:space="preserve"> PAGEREF _Toc200468554 \h </w:instrText>
        </w:r>
        <w:r>
          <w:rPr>
            <w:webHidden/>
          </w:rPr>
        </w:r>
        <w:r>
          <w:rPr>
            <w:webHidden/>
          </w:rPr>
          <w:fldChar w:fldCharType="separate"/>
        </w:r>
        <w:r w:rsidR="004D5D28">
          <w:rPr>
            <w:webHidden/>
          </w:rPr>
          <w:t>152</w:t>
        </w:r>
        <w:r>
          <w:rPr>
            <w:webHidden/>
          </w:rPr>
          <w:fldChar w:fldCharType="end"/>
        </w:r>
      </w:hyperlink>
    </w:p>
    <w:p w14:paraId="091521FC" w14:textId="5DDF4DA2" w:rsidR="0031277E" w:rsidRPr="004D5D28" w:rsidRDefault="0031277E">
      <w:pPr>
        <w:pStyle w:val="10"/>
        <w:rPr>
          <w:rFonts w:asciiTheme="minorHAnsi" w:eastAsiaTheme="minorEastAsia" w:hAnsiTheme="minorHAnsi" w:cstheme="minorBidi"/>
          <w:b w:val="0"/>
          <w:bCs w:val="0"/>
          <w:caps w:val="0"/>
          <w:color w:val="EE0000"/>
          <w:sz w:val="24"/>
          <w14:ligatures w14:val="standardContextual"/>
        </w:rPr>
      </w:pPr>
      <w:hyperlink w:anchor="_Toc200468555" w:history="1">
        <w:r w:rsidRPr="004D5D28">
          <w:rPr>
            <w:rStyle w:val="af"/>
            <w:rFonts w:hint="eastAsia"/>
            <w:color w:val="EE0000"/>
          </w:rPr>
          <w:t>表</w:t>
        </w:r>
        <w:r w:rsidRPr="004D5D28">
          <w:rPr>
            <w:rStyle w:val="af"/>
            <w:color w:val="EE0000"/>
          </w:rPr>
          <w:t>30-3-6</w:t>
        </w:r>
        <w:r w:rsidRPr="004D5D28">
          <w:rPr>
            <w:rStyle w:val="af"/>
            <w:rFonts w:hint="eastAsia"/>
            <w:color w:val="EE0000"/>
          </w:rPr>
          <w:t>：匯率日均價調整數</w:t>
        </w:r>
        <w:r w:rsidRPr="004D5D28">
          <w:rPr>
            <w:webHidden/>
            <w:color w:val="EE0000"/>
          </w:rPr>
          <w:tab/>
        </w:r>
        <w:r w:rsidRPr="004D5D28">
          <w:rPr>
            <w:webHidden/>
            <w:color w:val="EE0000"/>
          </w:rPr>
          <w:fldChar w:fldCharType="begin"/>
        </w:r>
        <w:r w:rsidRPr="004D5D28">
          <w:rPr>
            <w:webHidden/>
            <w:color w:val="EE0000"/>
          </w:rPr>
          <w:instrText xml:space="preserve"> PAGEREF _Toc200468555 \h </w:instrText>
        </w:r>
        <w:r w:rsidRPr="004D5D28">
          <w:rPr>
            <w:webHidden/>
            <w:color w:val="EE0000"/>
          </w:rPr>
        </w:r>
        <w:r w:rsidRPr="004D5D28">
          <w:rPr>
            <w:webHidden/>
            <w:color w:val="EE0000"/>
          </w:rPr>
          <w:fldChar w:fldCharType="separate"/>
        </w:r>
        <w:r w:rsidR="004D5D28">
          <w:rPr>
            <w:webHidden/>
            <w:color w:val="EE0000"/>
          </w:rPr>
          <w:t>154</w:t>
        </w:r>
        <w:r w:rsidRPr="004D5D28">
          <w:rPr>
            <w:webHidden/>
            <w:color w:val="EE0000"/>
          </w:rPr>
          <w:fldChar w:fldCharType="end"/>
        </w:r>
      </w:hyperlink>
    </w:p>
    <w:p w14:paraId="0AC563C4" w14:textId="18B7193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6" w:history="1">
        <w:r w:rsidRPr="00FB73F1">
          <w:rPr>
            <w:rStyle w:val="af"/>
            <w:rFonts w:hint="eastAsia"/>
          </w:rPr>
          <w:t>表</w:t>
        </w:r>
        <w:r w:rsidRPr="00FB73F1">
          <w:rPr>
            <w:rStyle w:val="af"/>
          </w:rPr>
          <w:t>30-4</w:t>
        </w:r>
        <w:r w:rsidRPr="00FB73F1">
          <w:rPr>
            <w:rStyle w:val="af"/>
            <w:rFonts w:hint="eastAsia"/>
          </w:rPr>
          <w:t>：</w:t>
        </w:r>
        <w:r w:rsidRPr="00FB73F1">
          <w:rPr>
            <w:rStyle w:val="af"/>
          </w:rPr>
          <w:t>C2</w:t>
        </w:r>
        <w:r w:rsidRPr="00FB73F1">
          <w:rPr>
            <w:rStyle w:val="af"/>
            <w:rFonts w:hint="eastAsia"/>
          </w:rPr>
          <w:t>：保險風險計算表</w:t>
        </w:r>
        <w:r>
          <w:rPr>
            <w:webHidden/>
          </w:rPr>
          <w:tab/>
        </w:r>
        <w:r>
          <w:rPr>
            <w:webHidden/>
          </w:rPr>
          <w:fldChar w:fldCharType="begin"/>
        </w:r>
        <w:r>
          <w:rPr>
            <w:webHidden/>
          </w:rPr>
          <w:instrText xml:space="preserve"> PAGEREF _Toc200468556 \h </w:instrText>
        </w:r>
        <w:r>
          <w:rPr>
            <w:webHidden/>
          </w:rPr>
        </w:r>
        <w:r>
          <w:rPr>
            <w:webHidden/>
          </w:rPr>
          <w:fldChar w:fldCharType="separate"/>
        </w:r>
        <w:r w:rsidR="004D5D28">
          <w:rPr>
            <w:webHidden/>
          </w:rPr>
          <w:t>155</w:t>
        </w:r>
        <w:r>
          <w:rPr>
            <w:webHidden/>
          </w:rPr>
          <w:fldChar w:fldCharType="end"/>
        </w:r>
      </w:hyperlink>
    </w:p>
    <w:p w14:paraId="519117EA" w14:textId="1CF7527B" w:rsidR="0031277E" w:rsidRPr="00C47CF4" w:rsidRDefault="0031277E">
      <w:pPr>
        <w:pStyle w:val="10"/>
        <w:rPr>
          <w:rFonts w:asciiTheme="minorHAnsi" w:eastAsiaTheme="minorEastAsia" w:hAnsiTheme="minorHAnsi" w:cstheme="minorBidi"/>
          <w:b w:val="0"/>
          <w:bCs w:val="0"/>
          <w:caps w:val="0"/>
          <w:color w:val="EE0000"/>
          <w:sz w:val="24"/>
          <w14:ligatures w14:val="standardContextual"/>
        </w:rPr>
      </w:pPr>
      <w:hyperlink w:anchor="_Toc200468557" w:history="1">
        <w:r w:rsidRPr="00C47CF4">
          <w:rPr>
            <w:rStyle w:val="af"/>
            <w:rFonts w:hint="eastAsia"/>
            <w:color w:val="EE0000"/>
          </w:rPr>
          <w:t>表</w:t>
        </w:r>
        <w:r w:rsidRPr="00C47CF4">
          <w:rPr>
            <w:rStyle w:val="af"/>
            <w:color w:val="EE0000"/>
          </w:rPr>
          <w:t>30-5</w:t>
        </w:r>
        <w:r w:rsidRPr="00C47CF4">
          <w:rPr>
            <w:rStyle w:val="af"/>
            <w:rFonts w:hint="eastAsia"/>
            <w:color w:val="EE0000"/>
          </w:rPr>
          <w:t>：</w:t>
        </w:r>
        <w:r w:rsidRPr="00C47CF4">
          <w:rPr>
            <w:rStyle w:val="af"/>
            <w:color w:val="EE0000"/>
          </w:rPr>
          <w:t>C3</w:t>
        </w:r>
        <w:r w:rsidRPr="00C47CF4">
          <w:rPr>
            <w:rStyle w:val="af"/>
            <w:rFonts w:hint="eastAsia"/>
            <w:color w:val="EE0000"/>
          </w:rPr>
          <w:t>：利率風險計算表</w:t>
        </w:r>
        <w:r w:rsidRPr="00C47CF4">
          <w:rPr>
            <w:webHidden/>
            <w:color w:val="EE0000"/>
          </w:rPr>
          <w:tab/>
        </w:r>
        <w:r w:rsidRPr="00C47CF4">
          <w:rPr>
            <w:webHidden/>
            <w:color w:val="EE0000"/>
          </w:rPr>
          <w:fldChar w:fldCharType="begin"/>
        </w:r>
        <w:r w:rsidRPr="00C47CF4">
          <w:rPr>
            <w:webHidden/>
            <w:color w:val="EE0000"/>
          </w:rPr>
          <w:instrText xml:space="preserve"> PAGEREF _Toc200468557 \h </w:instrText>
        </w:r>
        <w:r w:rsidRPr="00C47CF4">
          <w:rPr>
            <w:webHidden/>
            <w:color w:val="EE0000"/>
          </w:rPr>
        </w:r>
        <w:r w:rsidRPr="00C47CF4">
          <w:rPr>
            <w:webHidden/>
            <w:color w:val="EE0000"/>
          </w:rPr>
          <w:fldChar w:fldCharType="separate"/>
        </w:r>
        <w:r w:rsidR="004D5D28" w:rsidRPr="00C47CF4">
          <w:rPr>
            <w:webHidden/>
            <w:color w:val="EE0000"/>
          </w:rPr>
          <w:t>160</w:t>
        </w:r>
        <w:r w:rsidRPr="00C47CF4">
          <w:rPr>
            <w:webHidden/>
            <w:color w:val="EE0000"/>
          </w:rPr>
          <w:fldChar w:fldCharType="end"/>
        </w:r>
      </w:hyperlink>
    </w:p>
    <w:p w14:paraId="464F5150" w14:textId="1E5A67AF"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8" w:history="1">
        <w:r w:rsidRPr="00FB73F1">
          <w:rPr>
            <w:rStyle w:val="af"/>
            <w:rFonts w:hint="eastAsia"/>
          </w:rPr>
          <w:t>表</w:t>
        </w:r>
        <w:r w:rsidRPr="00FB73F1">
          <w:rPr>
            <w:rStyle w:val="af"/>
          </w:rPr>
          <w:t>30-6</w:t>
        </w:r>
        <w:r w:rsidRPr="00FB73F1">
          <w:rPr>
            <w:rStyle w:val="af"/>
            <w:rFonts w:hint="eastAsia"/>
          </w:rPr>
          <w:t>：</w:t>
        </w:r>
        <w:r w:rsidRPr="00FB73F1">
          <w:rPr>
            <w:rStyle w:val="af"/>
          </w:rPr>
          <w:t>C4</w:t>
        </w:r>
        <w:r w:rsidRPr="00FB73F1">
          <w:rPr>
            <w:rStyle w:val="af"/>
            <w:rFonts w:hint="eastAsia"/>
          </w:rPr>
          <w:t>：其他風險計算表</w:t>
        </w:r>
        <w:r>
          <w:rPr>
            <w:webHidden/>
          </w:rPr>
          <w:tab/>
        </w:r>
        <w:r>
          <w:rPr>
            <w:webHidden/>
          </w:rPr>
          <w:fldChar w:fldCharType="begin"/>
        </w:r>
        <w:r>
          <w:rPr>
            <w:webHidden/>
          </w:rPr>
          <w:instrText xml:space="preserve"> PAGEREF _Toc200468558 \h </w:instrText>
        </w:r>
        <w:r>
          <w:rPr>
            <w:webHidden/>
          </w:rPr>
        </w:r>
        <w:r>
          <w:rPr>
            <w:webHidden/>
          </w:rPr>
          <w:fldChar w:fldCharType="separate"/>
        </w:r>
        <w:r w:rsidR="004D5D28">
          <w:rPr>
            <w:webHidden/>
          </w:rPr>
          <w:t>164</w:t>
        </w:r>
        <w:r>
          <w:rPr>
            <w:webHidden/>
          </w:rPr>
          <w:fldChar w:fldCharType="end"/>
        </w:r>
      </w:hyperlink>
    </w:p>
    <w:p w14:paraId="6BEF33B7" w14:textId="1FA12814"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9" w:history="1">
        <w:r w:rsidRPr="00FB73F1">
          <w:rPr>
            <w:rStyle w:val="af"/>
            <w:rFonts w:hint="eastAsia"/>
          </w:rPr>
          <w:t>表</w:t>
        </w:r>
        <w:r w:rsidRPr="00FB73F1">
          <w:rPr>
            <w:rStyle w:val="af"/>
          </w:rPr>
          <w:t>30-6-2</w:t>
        </w:r>
        <w:r w:rsidRPr="00FB73F1">
          <w:rPr>
            <w:rStyle w:val="af"/>
            <w:rFonts w:hint="eastAsia"/>
          </w:rPr>
          <w:t>：</w:t>
        </w:r>
        <w:r w:rsidRPr="00FB73F1">
          <w:rPr>
            <w:rStyle w:val="af"/>
          </w:rPr>
          <w:t>C5</w:t>
        </w:r>
        <w:r w:rsidRPr="00FB73F1">
          <w:rPr>
            <w:rStyle w:val="af"/>
            <w:rFonts w:hint="eastAsia"/>
          </w:rPr>
          <w:t>：巨災風險資本計算表</w:t>
        </w:r>
        <w:r>
          <w:rPr>
            <w:webHidden/>
          </w:rPr>
          <w:tab/>
        </w:r>
        <w:r>
          <w:rPr>
            <w:webHidden/>
          </w:rPr>
          <w:fldChar w:fldCharType="begin"/>
        </w:r>
        <w:r>
          <w:rPr>
            <w:webHidden/>
          </w:rPr>
          <w:instrText xml:space="preserve"> PAGEREF _Toc200468559 \h </w:instrText>
        </w:r>
        <w:r>
          <w:rPr>
            <w:webHidden/>
          </w:rPr>
        </w:r>
        <w:r>
          <w:rPr>
            <w:webHidden/>
          </w:rPr>
          <w:fldChar w:fldCharType="separate"/>
        </w:r>
        <w:r w:rsidR="004D5D28">
          <w:rPr>
            <w:webHidden/>
          </w:rPr>
          <w:t>166</w:t>
        </w:r>
        <w:r>
          <w:rPr>
            <w:webHidden/>
          </w:rPr>
          <w:fldChar w:fldCharType="end"/>
        </w:r>
      </w:hyperlink>
    </w:p>
    <w:p w14:paraId="529FE286" w14:textId="74BB07C8" w:rsidR="0031277E" w:rsidRPr="004D5D28" w:rsidRDefault="0031277E">
      <w:pPr>
        <w:pStyle w:val="10"/>
        <w:rPr>
          <w:rFonts w:asciiTheme="minorHAnsi" w:eastAsiaTheme="minorEastAsia" w:hAnsiTheme="minorHAnsi" w:cstheme="minorBidi"/>
          <w:b w:val="0"/>
          <w:bCs w:val="0"/>
          <w:caps w:val="0"/>
          <w:color w:val="EE0000"/>
          <w:sz w:val="24"/>
          <w14:ligatures w14:val="standardContextual"/>
        </w:rPr>
      </w:pPr>
      <w:hyperlink w:anchor="_Toc200468560" w:history="1">
        <w:r w:rsidRPr="004D5D28">
          <w:rPr>
            <w:rStyle w:val="af"/>
            <w:rFonts w:hint="eastAsia"/>
            <w:color w:val="EE0000"/>
          </w:rPr>
          <w:t>表</w:t>
        </w:r>
        <w:r w:rsidRPr="004D5D28">
          <w:rPr>
            <w:rStyle w:val="af"/>
            <w:color w:val="EE0000"/>
          </w:rPr>
          <w:t>30-7</w:t>
        </w:r>
        <w:r w:rsidRPr="004D5D28">
          <w:rPr>
            <w:rStyle w:val="af"/>
            <w:rFonts w:hint="eastAsia"/>
            <w:color w:val="EE0000"/>
          </w:rPr>
          <w:t>：自有資本總額計算表</w:t>
        </w:r>
        <w:r w:rsidRPr="004D5D28">
          <w:rPr>
            <w:webHidden/>
            <w:color w:val="EE0000"/>
          </w:rPr>
          <w:tab/>
        </w:r>
        <w:r w:rsidRPr="004D5D28">
          <w:rPr>
            <w:webHidden/>
            <w:color w:val="EE0000"/>
          </w:rPr>
          <w:fldChar w:fldCharType="begin"/>
        </w:r>
        <w:r w:rsidRPr="004D5D28">
          <w:rPr>
            <w:webHidden/>
            <w:color w:val="EE0000"/>
          </w:rPr>
          <w:instrText xml:space="preserve"> PAGEREF _Toc200468560 \h </w:instrText>
        </w:r>
        <w:r w:rsidRPr="004D5D28">
          <w:rPr>
            <w:webHidden/>
            <w:color w:val="EE0000"/>
          </w:rPr>
        </w:r>
        <w:r w:rsidRPr="004D5D28">
          <w:rPr>
            <w:webHidden/>
            <w:color w:val="EE0000"/>
          </w:rPr>
          <w:fldChar w:fldCharType="separate"/>
        </w:r>
        <w:r w:rsidR="004D5D28">
          <w:rPr>
            <w:webHidden/>
            <w:color w:val="EE0000"/>
          </w:rPr>
          <w:t>167</w:t>
        </w:r>
        <w:r w:rsidRPr="004D5D28">
          <w:rPr>
            <w:webHidden/>
            <w:color w:val="EE0000"/>
          </w:rPr>
          <w:fldChar w:fldCharType="end"/>
        </w:r>
      </w:hyperlink>
    </w:p>
    <w:p w14:paraId="5AC21003" w14:textId="51DDCDFA"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1" w:history="1">
        <w:r w:rsidRPr="00FB73F1">
          <w:rPr>
            <w:rStyle w:val="af"/>
            <w:rFonts w:hint="eastAsia"/>
          </w:rPr>
          <w:t>表</w:t>
        </w:r>
        <w:r w:rsidRPr="00FB73F1">
          <w:rPr>
            <w:rStyle w:val="af"/>
          </w:rPr>
          <w:t>30-7-1&amp;</w:t>
        </w:r>
        <w:r w:rsidRPr="00FB73F1">
          <w:rPr>
            <w:rStyle w:val="af"/>
            <w:rFonts w:hint="eastAsia"/>
          </w:rPr>
          <w:t>表</w:t>
        </w:r>
        <w:r w:rsidRPr="00FB73F1">
          <w:rPr>
            <w:rStyle w:val="af"/>
          </w:rPr>
          <w:t>30-7-2</w:t>
        </w:r>
        <w:r w:rsidRPr="00FB73F1">
          <w:rPr>
            <w:rStyle w:val="af"/>
            <w:rFonts w:hint="eastAsia"/>
          </w:rPr>
          <w:t>：發行負債型特別股或具資本性質債券明細表</w:t>
        </w:r>
        <w:r>
          <w:rPr>
            <w:webHidden/>
          </w:rPr>
          <w:tab/>
        </w:r>
        <w:r>
          <w:rPr>
            <w:webHidden/>
          </w:rPr>
          <w:fldChar w:fldCharType="begin"/>
        </w:r>
        <w:r>
          <w:rPr>
            <w:webHidden/>
          </w:rPr>
          <w:instrText xml:space="preserve"> PAGEREF _Toc200468561 \h </w:instrText>
        </w:r>
        <w:r>
          <w:rPr>
            <w:webHidden/>
          </w:rPr>
        </w:r>
        <w:r>
          <w:rPr>
            <w:webHidden/>
          </w:rPr>
          <w:fldChar w:fldCharType="separate"/>
        </w:r>
        <w:r w:rsidR="004D5D28">
          <w:rPr>
            <w:webHidden/>
          </w:rPr>
          <w:t>174</w:t>
        </w:r>
        <w:r>
          <w:rPr>
            <w:webHidden/>
          </w:rPr>
          <w:fldChar w:fldCharType="end"/>
        </w:r>
      </w:hyperlink>
    </w:p>
    <w:p w14:paraId="61ED1B0E" w14:textId="0BDE1FD5"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2" w:history="1">
        <w:r w:rsidRPr="00FB73F1">
          <w:rPr>
            <w:rStyle w:val="af"/>
            <w:rFonts w:ascii="標楷體" w:hAnsi="標楷體" w:hint="eastAsia"/>
          </w:rPr>
          <w:t>表</w:t>
        </w:r>
        <w:r w:rsidRPr="00FB73F1">
          <w:rPr>
            <w:rStyle w:val="af"/>
            <w:rFonts w:ascii="標楷體" w:hAnsi="標楷體"/>
          </w:rPr>
          <w:t>30-7-3</w:t>
        </w:r>
        <w:r w:rsidRPr="00FB73F1">
          <w:rPr>
            <w:rStyle w:val="af"/>
            <w:rFonts w:ascii="標楷體" w:hAnsi="標楷體" w:hint="eastAsia"/>
          </w:rPr>
          <w:t>：不動產投資採公允價值評價計入自有資本調整計算表</w:t>
        </w:r>
        <w:r>
          <w:rPr>
            <w:webHidden/>
          </w:rPr>
          <w:tab/>
        </w:r>
        <w:r>
          <w:rPr>
            <w:webHidden/>
          </w:rPr>
          <w:fldChar w:fldCharType="begin"/>
        </w:r>
        <w:r>
          <w:rPr>
            <w:webHidden/>
          </w:rPr>
          <w:instrText xml:space="preserve"> PAGEREF _Toc200468562 \h </w:instrText>
        </w:r>
        <w:r>
          <w:rPr>
            <w:webHidden/>
          </w:rPr>
        </w:r>
        <w:r>
          <w:rPr>
            <w:webHidden/>
          </w:rPr>
          <w:fldChar w:fldCharType="separate"/>
        </w:r>
        <w:r w:rsidR="004D5D28">
          <w:rPr>
            <w:webHidden/>
          </w:rPr>
          <w:t>175</w:t>
        </w:r>
        <w:r>
          <w:rPr>
            <w:webHidden/>
          </w:rPr>
          <w:fldChar w:fldCharType="end"/>
        </w:r>
      </w:hyperlink>
    </w:p>
    <w:p w14:paraId="6033CB5D" w14:textId="2090187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3" w:history="1">
        <w:r w:rsidRPr="00FB73F1">
          <w:rPr>
            <w:rStyle w:val="af"/>
            <w:rFonts w:hint="eastAsia"/>
          </w:rPr>
          <w:t>表</w:t>
        </w:r>
        <w:r w:rsidRPr="00FB73F1">
          <w:rPr>
            <w:rStyle w:val="af"/>
          </w:rPr>
          <w:t>30-7-4</w:t>
        </w:r>
        <w:r w:rsidRPr="00FB73F1">
          <w:rPr>
            <w:rStyle w:val="af"/>
            <w:rFonts w:hint="eastAsia"/>
          </w:rPr>
          <w:t>：投資性不動產為素地或未能符合即時利用並有收益認定基準者加計風險資本額調整計算表</w:t>
        </w:r>
        <w:r>
          <w:rPr>
            <w:webHidden/>
          </w:rPr>
          <w:tab/>
        </w:r>
        <w:r>
          <w:rPr>
            <w:webHidden/>
          </w:rPr>
          <w:fldChar w:fldCharType="begin"/>
        </w:r>
        <w:r>
          <w:rPr>
            <w:webHidden/>
          </w:rPr>
          <w:instrText xml:space="preserve"> PAGEREF _Toc200468563 \h </w:instrText>
        </w:r>
        <w:r>
          <w:rPr>
            <w:webHidden/>
          </w:rPr>
        </w:r>
        <w:r>
          <w:rPr>
            <w:webHidden/>
          </w:rPr>
          <w:fldChar w:fldCharType="separate"/>
        </w:r>
        <w:r w:rsidR="004D5D28">
          <w:rPr>
            <w:webHidden/>
          </w:rPr>
          <w:t>178</w:t>
        </w:r>
        <w:r>
          <w:rPr>
            <w:webHidden/>
          </w:rPr>
          <w:fldChar w:fldCharType="end"/>
        </w:r>
      </w:hyperlink>
    </w:p>
    <w:p w14:paraId="3E0DA27A" w14:textId="0C2283D7"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4" w:history="1">
        <w:r w:rsidRPr="00FB73F1">
          <w:rPr>
            <w:rStyle w:val="af"/>
            <w:rFonts w:ascii="標楷體" w:hAnsi="標楷體" w:hint="eastAsia"/>
          </w:rPr>
          <w:t>表</w:t>
        </w:r>
        <w:r w:rsidRPr="00FB73F1">
          <w:rPr>
            <w:rStyle w:val="af"/>
            <w:rFonts w:ascii="標楷體" w:hAnsi="標楷體"/>
          </w:rPr>
          <w:t>30-7-5</w:t>
        </w:r>
        <w:r w:rsidRPr="00FB73F1">
          <w:rPr>
            <w:rStyle w:val="af"/>
            <w:rFonts w:ascii="標楷體" w:hAnsi="標楷體" w:hint="eastAsia"/>
          </w:rPr>
          <w:t>：認列未實現評價損益檢討計算表</w:t>
        </w:r>
        <w:r>
          <w:rPr>
            <w:webHidden/>
          </w:rPr>
          <w:tab/>
        </w:r>
        <w:r>
          <w:rPr>
            <w:webHidden/>
          </w:rPr>
          <w:fldChar w:fldCharType="begin"/>
        </w:r>
        <w:r>
          <w:rPr>
            <w:webHidden/>
          </w:rPr>
          <w:instrText xml:space="preserve"> PAGEREF _Toc200468564 \h </w:instrText>
        </w:r>
        <w:r>
          <w:rPr>
            <w:webHidden/>
          </w:rPr>
        </w:r>
        <w:r>
          <w:rPr>
            <w:webHidden/>
          </w:rPr>
          <w:fldChar w:fldCharType="separate"/>
        </w:r>
        <w:r w:rsidR="004D5D28">
          <w:rPr>
            <w:webHidden/>
          </w:rPr>
          <w:t>179</w:t>
        </w:r>
        <w:r>
          <w:rPr>
            <w:webHidden/>
          </w:rPr>
          <w:fldChar w:fldCharType="end"/>
        </w:r>
      </w:hyperlink>
    </w:p>
    <w:p w14:paraId="2C1EE72E" w14:textId="42779F5C" w:rsidR="0031277E" w:rsidRPr="004D5D28" w:rsidRDefault="0031277E">
      <w:pPr>
        <w:pStyle w:val="10"/>
        <w:rPr>
          <w:rFonts w:asciiTheme="minorHAnsi" w:eastAsiaTheme="minorEastAsia" w:hAnsiTheme="minorHAnsi" w:cstheme="minorBidi"/>
          <w:b w:val="0"/>
          <w:bCs w:val="0"/>
          <w:caps w:val="0"/>
          <w:color w:val="EE0000"/>
          <w:sz w:val="24"/>
          <w14:ligatures w14:val="standardContextual"/>
        </w:rPr>
      </w:pPr>
      <w:hyperlink w:anchor="_Toc200468565" w:history="1">
        <w:r w:rsidRPr="004D5D28">
          <w:rPr>
            <w:rStyle w:val="af"/>
            <w:rFonts w:ascii="標楷體" w:hAnsi="標楷體" w:hint="eastAsia"/>
            <w:color w:val="EE0000"/>
          </w:rPr>
          <w:t>表</w:t>
        </w:r>
        <w:r w:rsidRPr="004D5D28">
          <w:rPr>
            <w:rStyle w:val="af"/>
            <w:rFonts w:ascii="標楷體" w:hAnsi="標楷體"/>
            <w:color w:val="EE0000"/>
          </w:rPr>
          <w:t>30-7-6</w:t>
        </w:r>
        <w:r w:rsidRPr="004D5D28">
          <w:rPr>
            <w:rStyle w:val="af"/>
            <w:rFonts w:ascii="標楷體" w:hAnsi="標楷體" w:hint="eastAsia"/>
            <w:color w:val="EE0000"/>
          </w:rPr>
          <w:t>：資金運用收益率調整計算表</w:t>
        </w:r>
        <w:r w:rsidRPr="004D5D28">
          <w:rPr>
            <w:webHidden/>
            <w:color w:val="EE0000"/>
          </w:rPr>
          <w:tab/>
        </w:r>
        <w:r w:rsidRPr="004D5D28">
          <w:rPr>
            <w:webHidden/>
            <w:color w:val="EE0000"/>
          </w:rPr>
          <w:fldChar w:fldCharType="begin"/>
        </w:r>
        <w:r w:rsidRPr="004D5D28">
          <w:rPr>
            <w:webHidden/>
            <w:color w:val="EE0000"/>
          </w:rPr>
          <w:instrText xml:space="preserve"> PAGEREF _Toc200468565 \h </w:instrText>
        </w:r>
        <w:r w:rsidRPr="004D5D28">
          <w:rPr>
            <w:webHidden/>
            <w:color w:val="EE0000"/>
          </w:rPr>
        </w:r>
        <w:r w:rsidRPr="004D5D28">
          <w:rPr>
            <w:webHidden/>
            <w:color w:val="EE0000"/>
          </w:rPr>
          <w:fldChar w:fldCharType="separate"/>
        </w:r>
        <w:r w:rsidR="004D5D28">
          <w:rPr>
            <w:webHidden/>
            <w:color w:val="EE0000"/>
          </w:rPr>
          <w:t>180</w:t>
        </w:r>
        <w:r w:rsidRPr="004D5D28">
          <w:rPr>
            <w:webHidden/>
            <w:color w:val="EE0000"/>
          </w:rPr>
          <w:fldChar w:fldCharType="end"/>
        </w:r>
      </w:hyperlink>
    </w:p>
    <w:p w14:paraId="3897A6C7" w14:textId="18E86918"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6" w:history="1">
        <w:r w:rsidRPr="00FB73F1">
          <w:rPr>
            <w:rStyle w:val="af"/>
            <w:rFonts w:ascii="標楷體" w:hAnsi="標楷體" w:hint="eastAsia"/>
          </w:rPr>
          <w:t>表</w:t>
        </w:r>
        <w:r w:rsidRPr="00FB73F1">
          <w:rPr>
            <w:rStyle w:val="af"/>
            <w:rFonts w:ascii="標楷體" w:hAnsi="標楷體"/>
          </w:rPr>
          <w:t>30-7-7</w:t>
        </w:r>
        <w:r w:rsidRPr="00FB73F1">
          <w:rPr>
            <w:rStyle w:val="af"/>
            <w:rFonts w:ascii="標楷體" w:hAnsi="標楷體" w:hint="eastAsia"/>
          </w:rPr>
          <w:t>：自由分紅保單紅利準備計入自有資本調整計算表</w:t>
        </w:r>
        <w:r>
          <w:rPr>
            <w:webHidden/>
          </w:rPr>
          <w:tab/>
        </w:r>
        <w:r>
          <w:rPr>
            <w:webHidden/>
          </w:rPr>
          <w:fldChar w:fldCharType="begin"/>
        </w:r>
        <w:r>
          <w:rPr>
            <w:webHidden/>
          </w:rPr>
          <w:instrText xml:space="preserve"> PAGEREF _Toc200468566 \h </w:instrText>
        </w:r>
        <w:r>
          <w:rPr>
            <w:webHidden/>
          </w:rPr>
        </w:r>
        <w:r>
          <w:rPr>
            <w:webHidden/>
          </w:rPr>
          <w:fldChar w:fldCharType="separate"/>
        </w:r>
        <w:r w:rsidR="004D5D28">
          <w:rPr>
            <w:webHidden/>
          </w:rPr>
          <w:t>181</w:t>
        </w:r>
        <w:r>
          <w:rPr>
            <w:webHidden/>
          </w:rPr>
          <w:fldChar w:fldCharType="end"/>
        </w:r>
      </w:hyperlink>
    </w:p>
    <w:p w14:paraId="2CE5FCAE" w14:textId="224367B3"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7" w:history="1">
        <w:r w:rsidRPr="00FB73F1">
          <w:rPr>
            <w:rStyle w:val="af"/>
            <w:rFonts w:ascii="標楷體" w:hAnsi="標楷體" w:hint="eastAsia"/>
          </w:rPr>
          <w:t>表</w:t>
        </w:r>
        <w:r w:rsidRPr="00FB73F1">
          <w:rPr>
            <w:rStyle w:val="af"/>
            <w:rFonts w:ascii="標楷體" w:hAnsi="標楷體"/>
          </w:rPr>
          <w:t>30-7-8</w:t>
        </w:r>
        <w:r w:rsidRPr="00FB73F1">
          <w:rPr>
            <w:rStyle w:val="af"/>
            <w:rFonts w:ascii="標楷體" w:hAnsi="標楷體" w:hint="eastAsia"/>
          </w:rPr>
          <w:t>：投資「國內保險業」及「國內金控公司」發行之具資本性質債券或負債型特別股由自有資本扣除計算表</w:t>
        </w:r>
        <w:r>
          <w:rPr>
            <w:webHidden/>
          </w:rPr>
          <w:tab/>
        </w:r>
        <w:r>
          <w:rPr>
            <w:webHidden/>
          </w:rPr>
          <w:fldChar w:fldCharType="begin"/>
        </w:r>
        <w:r>
          <w:rPr>
            <w:webHidden/>
          </w:rPr>
          <w:instrText xml:space="preserve"> PAGEREF _Toc200468567 \h </w:instrText>
        </w:r>
        <w:r>
          <w:rPr>
            <w:webHidden/>
          </w:rPr>
        </w:r>
        <w:r>
          <w:rPr>
            <w:webHidden/>
          </w:rPr>
          <w:fldChar w:fldCharType="separate"/>
        </w:r>
        <w:r w:rsidR="004D5D28">
          <w:rPr>
            <w:webHidden/>
          </w:rPr>
          <w:t>182</w:t>
        </w:r>
        <w:r>
          <w:rPr>
            <w:webHidden/>
          </w:rPr>
          <w:fldChar w:fldCharType="end"/>
        </w:r>
      </w:hyperlink>
    </w:p>
    <w:p w14:paraId="0E1B77A1" w14:textId="180EE20E"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8" w:history="1">
        <w:r w:rsidRPr="00FB73F1">
          <w:rPr>
            <w:rStyle w:val="af"/>
            <w:rFonts w:hint="eastAsia"/>
          </w:rPr>
          <w:t>表</w:t>
        </w:r>
        <w:r w:rsidRPr="00FB73F1">
          <w:rPr>
            <w:rStyle w:val="af"/>
          </w:rPr>
          <w:t>30-8</w:t>
        </w:r>
        <w:r w:rsidRPr="00FB73F1">
          <w:rPr>
            <w:rStyle w:val="af"/>
            <w:rFonts w:hint="eastAsia"/>
          </w:rPr>
          <w:t>：信用評等資訊調整表</w:t>
        </w:r>
        <w:r>
          <w:rPr>
            <w:webHidden/>
          </w:rPr>
          <w:tab/>
        </w:r>
        <w:r>
          <w:rPr>
            <w:webHidden/>
          </w:rPr>
          <w:fldChar w:fldCharType="begin"/>
        </w:r>
        <w:r>
          <w:rPr>
            <w:webHidden/>
          </w:rPr>
          <w:instrText xml:space="preserve"> PAGEREF _Toc200468568 \h </w:instrText>
        </w:r>
        <w:r>
          <w:rPr>
            <w:webHidden/>
          </w:rPr>
        </w:r>
        <w:r>
          <w:rPr>
            <w:webHidden/>
          </w:rPr>
          <w:fldChar w:fldCharType="separate"/>
        </w:r>
        <w:r w:rsidR="004D5D28">
          <w:rPr>
            <w:webHidden/>
          </w:rPr>
          <w:t>184</w:t>
        </w:r>
        <w:r>
          <w:rPr>
            <w:webHidden/>
          </w:rPr>
          <w:fldChar w:fldCharType="end"/>
        </w:r>
      </w:hyperlink>
    </w:p>
    <w:p w14:paraId="4EC91BDA" w14:textId="363D7D3A"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9" w:history="1">
        <w:r w:rsidRPr="00FB73F1">
          <w:rPr>
            <w:rStyle w:val="af"/>
            <w:rFonts w:hint="eastAsia"/>
          </w:rPr>
          <w:t>表</w:t>
        </w:r>
        <w:r w:rsidRPr="00FB73F1">
          <w:rPr>
            <w:rStyle w:val="af"/>
          </w:rPr>
          <w:t>30-9</w:t>
        </w:r>
        <w:r w:rsidRPr="00FB73F1">
          <w:rPr>
            <w:rStyle w:val="af"/>
            <w:rFonts w:hint="eastAsia"/>
          </w:rPr>
          <w:t>：資產集中度係數計算表</w:t>
        </w:r>
        <w:r>
          <w:rPr>
            <w:webHidden/>
          </w:rPr>
          <w:tab/>
        </w:r>
        <w:r>
          <w:rPr>
            <w:webHidden/>
          </w:rPr>
          <w:fldChar w:fldCharType="begin"/>
        </w:r>
        <w:r>
          <w:rPr>
            <w:webHidden/>
          </w:rPr>
          <w:instrText xml:space="preserve"> PAGEREF _Toc200468569 \h </w:instrText>
        </w:r>
        <w:r>
          <w:rPr>
            <w:webHidden/>
          </w:rPr>
        </w:r>
        <w:r>
          <w:rPr>
            <w:webHidden/>
          </w:rPr>
          <w:fldChar w:fldCharType="separate"/>
        </w:r>
        <w:r w:rsidR="004D5D28">
          <w:rPr>
            <w:webHidden/>
          </w:rPr>
          <w:t>186</w:t>
        </w:r>
        <w:r>
          <w:rPr>
            <w:webHidden/>
          </w:rPr>
          <w:fldChar w:fldCharType="end"/>
        </w:r>
      </w:hyperlink>
    </w:p>
    <w:p w14:paraId="143E5529" w14:textId="6997FAA6"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0" w:history="1">
        <w:r w:rsidRPr="00FB73F1">
          <w:rPr>
            <w:rStyle w:val="af"/>
            <w:rFonts w:hint="eastAsia"/>
          </w:rPr>
          <w:t>表</w:t>
        </w:r>
        <w:r w:rsidRPr="00FB73F1">
          <w:rPr>
            <w:rStyle w:val="af"/>
          </w:rPr>
          <w:t>30-10</w:t>
        </w:r>
        <w:r w:rsidRPr="00FB73F1">
          <w:rPr>
            <w:rStyle w:val="af"/>
            <w:rFonts w:hint="eastAsia"/>
          </w:rPr>
          <w:t>：淨危險保額報告表</w:t>
        </w:r>
        <w:r>
          <w:rPr>
            <w:webHidden/>
          </w:rPr>
          <w:tab/>
        </w:r>
        <w:r>
          <w:rPr>
            <w:webHidden/>
          </w:rPr>
          <w:fldChar w:fldCharType="begin"/>
        </w:r>
        <w:r>
          <w:rPr>
            <w:webHidden/>
          </w:rPr>
          <w:instrText xml:space="preserve"> PAGEREF _Toc200468570 \h </w:instrText>
        </w:r>
        <w:r>
          <w:rPr>
            <w:webHidden/>
          </w:rPr>
        </w:r>
        <w:r>
          <w:rPr>
            <w:webHidden/>
          </w:rPr>
          <w:fldChar w:fldCharType="separate"/>
        </w:r>
        <w:r w:rsidR="004D5D28">
          <w:rPr>
            <w:webHidden/>
          </w:rPr>
          <w:t>187</w:t>
        </w:r>
        <w:r>
          <w:rPr>
            <w:webHidden/>
          </w:rPr>
          <w:fldChar w:fldCharType="end"/>
        </w:r>
      </w:hyperlink>
    </w:p>
    <w:p w14:paraId="3655CD01" w14:textId="42FCA13F"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1" w:history="1">
        <w:r w:rsidRPr="00FB73F1">
          <w:rPr>
            <w:rStyle w:val="af"/>
            <w:rFonts w:hint="eastAsia"/>
          </w:rPr>
          <w:t>表</w:t>
        </w:r>
        <w:r w:rsidRPr="00FB73F1">
          <w:rPr>
            <w:rStyle w:val="af"/>
          </w:rPr>
          <w:t>30-11</w:t>
        </w:r>
        <w:r w:rsidRPr="00FB73F1">
          <w:rPr>
            <w:rStyle w:val="af"/>
            <w:rFonts w:hint="eastAsia"/>
          </w:rPr>
          <w:t>：保單價值準備金表</w:t>
        </w:r>
        <w:r>
          <w:rPr>
            <w:webHidden/>
          </w:rPr>
          <w:tab/>
        </w:r>
        <w:r>
          <w:rPr>
            <w:webHidden/>
          </w:rPr>
          <w:fldChar w:fldCharType="begin"/>
        </w:r>
        <w:r>
          <w:rPr>
            <w:webHidden/>
          </w:rPr>
          <w:instrText xml:space="preserve"> PAGEREF _Toc200468571 \h </w:instrText>
        </w:r>
        <w:r>
          <w:rPr>
            <w:webHidden/>
          </w:rPr>
        </w:r>
        <w:r>
          <w:rPr>
            <w:webHidden/>
          </w:rPr>
          <w:fldChar w:fldCharType="separate"/>
        </w:r>
        <w:r w:rsidR="004D5D28">
          <w:rPr>
            <w:webHidden/>
          </w:rPr>
          <w:t>189</w:t>
        </w:r>
        <w:r>
          <w:rPr>
            <w:webHidden/>
          </w:rPr>
          <w:fldChar w:fldCharType="end"/>
        </w:r>
      </w:hyperlink>
    </w:p>
    <w:p w14:paraId="14A6614E" w14:textId="6CC2F8C2"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2" w:history="1">
        <w:r w:rsidRPr="00FB73F1">
          <w:rPr>
            <w:rStyle w:val="af"/>
            <w:rFonts w:hint="eastAsia"/>
          </w:rPr>
          <w:t>表</w:t>
        </w:r>
        <w:r w:rsidRPr="00FB73F1">
          <w:rPr>
            <w:rStyle w:val="af"/>
          </w:rPr>
          <w:t>30-12</w:t>
        </w:r>
        <w:r w:rsidRPr="00FB73F1">
          <w:rPr>
            <w:rStyle w:val="af"/>
            <w:rFonts w:hint="eastAsia"/>
          </w:rPr>
          <w:t>：投資資產信用評等資訊表</w:t>
        </w:r>
        <w:r>
          <w:rPr>
            <w:webHidden/>
          </w:rPr>
          <w:tab/>
        </w:r>
        <w:r>
          <w:rPr>
            <w:webHidden/>
          </w:rPr>
          <w:fldChar w:fldCharType="begin"/>
        </w:r>
        <w:r>
          <w:rPr>
            <w:webHidden/>
          </w:rPr>
          <w:instrText xml:space="preserve"> PAGEREF _Toc200468572 \h </w:instrText>
        </w:r>
        <w:r>
          <w:rPr>
            <w:webHidden/>
          </w:rPr>
        </w:r>
        <w:r>
          <w:rPr>
            <w:webHidden/>
          </w:rPr>
          <w:fldChar w:fldCharType="separate"/>
        </w:r>
        <w:r w:rsidR="004D5D28">
          <w:rPr>
            <w:webHidden/>
          </w:rPr>
          <w:t>191</w:t>
        </w:r>
        <w:r>
          <w:rPr>
            <w:webHidden/>
          </w:rPr>
          <w:fldChar w:fldCharType="end"/>
        </w:r>
      </w:hyperlink>
    </w:p>
    <w:p w14:paraId="4DEF9AD1" w14:textId="4E038481"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3" w:history="1">
        <w:r w:rsidRPr="00FB73F1">
          <w:rPr>
            <w:rStyle w:val="af"/>
            <w:rFonts w:hint="eastAsia"/>
          </w:rPr>
          <w:t>表</w:t>
        </w:r>
        <w:r w:rsidRPr="00FB73F1">
          <w:rPr>
            <w:rStyle w:val="af"/>
          </w:rPr>
          <w:t>30-13</w:t>
        </w:r>
        <w:r w:rsidRPr="00FB73F1">
          <w:rPr>
            <w:rStyle w:val="af"/>
            <w:rFonts w:hint="eastAsia"/>
          </w:rPr>
          <w:t>：長期健康險風險係數計算表</w:t>
        </w:r>
        <w:r>
          <w:rPr>
            <w:webHidden/>
          </w:rPr>
          <w:tab/>
        </w:r>
        <w:r>
          <w:rPr>
            <w:webHidden/>
          </w:rPr>
          <w:fldChar w:fldCharType="begin"/>
        </w:r>
        <w:r>
          <w:rPr>
            <w:webHidden/>
          </w:rPr>
          <w:instrText xml:space="preserve"> PAGEREF _Toc200468573 \h </w:instrText>
        </w:r>
        <w:r>
          <w:rPr>
            <w:webHidden/>
          </w:rPr>
        </w:r>
        <w:r>
          <w:rPr>
            <w:webHidden/>
          </w:rPr>
          <w:fldChar w:fldCharType="separate"/>
        </w:r>
        <w:r w:rsidR="004D5D28">
          <w:rPr>
            <w:webHidden/>
          </w:rPr>
          <w:t>193</w:t>
        </w:r>
        <w:r>
          <w:rPr>
            <w:webHidden/>
          </w:rPr>
          <w:fldChar w:fldCharType="end"/>
        </w:r>
      </w:hyperlink>
    </w:p>
    <w:p w14:paraId="7C132794" w14:textId="68C89F3C"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4" w:history="1">
        <w:r w:rsidRPr="00FB73F1">
          <w:rPr>
            <w:rStyle w:val="af"/>
            <w:rFonts w:hint="eastAsia"/>
          </w:rPr>
          <w:t>表</w:t>
        </w:r>
        <w:r w:rsidRPr="00FB73F1">
          <w:rPr>
            <w:rStyle w:val="af"/>
          </w:rPr>
          <w:t>30-13-1</w:t>
        </w:r>
        <w:r w:rsidRPr="00FB73F1">
          <w:rPr>
            <w:rStyle w:val="af"/>
            <w:rFonts w:hint="eastAsia"/>
          </w:rPr>
          <w:t>：長年期健康保險之</w:t>
        </w:r>
        <w:r w:rsidRPr="00FB73F1">
          <w:rPr>
            <w:rStyle w:val="af"/>
          </w:rPr>
          <w:t>C2</w:t>
        </w:r>
        <w:r w:rsidRPr="00FB73F1">
          <w:rPr>
            <w:rStyle w:val="af"/>
            <w:rFonts w:hint="eastAsia"/>
          </w:rPr>
          <w:t>保險風險調整係數試算</w:t>
        </w:r>
        <w:r w:rsidRPr="00FB73F1">
          <w:rPr>
            <w:rStyle w:val="af"/>
          </w:rPr>
          <w:t>(</w:t>
        </w:r>
        <w:r w:rsidRPr="00FB73F1">
          <w:rPr>
            <w:rStyle w:val="af"/>
            <w:rFonts w:hint="eastAsia"/>
          </w:rPr>
          <w:t>採損失率</w:t>
        </w:r>
        <w:r w:rsidRPr="00FB73F1">
          <w:rPr>
            <w:rStyle w:val="af"/>
          </w:rPr>
          <w:t>)</w:t>
        </w:r>
        <w:r>
          <w:rPr>
            <w:webHidden/>
          </w:rPr>
          <w:tab/>
        </w:r>
        <w:r>
          <w:rPr>
            <w:webHidden/>
          </w:rPr>
          <w:fldChar w:fldCharType="begin"/>
        </w:r>
        <w:r>
          <w:rPr>
            <w:webHidden/>
          </w:rPr>
          <w:instrText xml:space="preserve"> PAGEREF _Toc200468574 \h </w:instrText>
        </w:r>
        <w:r>
          <w:rPr>
            <w:webHidden/>
          </w:rPr>
        </w:r>
        <w:r>
          <w:rPr>
            <w:webHidden/>
          </w:rPr>
          <w:fldChar w:fldCharType="separate"/>
        </w:r>
        <w:r w:rsidR="004D5D28">
          <w:rPr>
            <w:webHidden/>
          </w:rPr>
          <w:t>194</w:t>
        </w:r>
        <w:r>
          <w:rPr>
            <w:webHidden/>
          </w:rPr>
          <w:fldChar w:fldCharType="end"/>
        </w:r>
      </w:hyperlink>
    </w:p>
    <w:p w14:paraId="05E248F0" w14:textId="27330BD8"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5" w:history="1">
        <w:r w:rsidRPr="00FB73F1">
          <w:rPr>
            <w:rStyle w:val="af"/>
            <w:rFonts w:hint="eastAsia"/>
          </w:rPr>
          <w:t>表</w:t>
        </w:r>
        <w:r w:rsidRPr="00FB73F1">
          <w:rPr>
            <w:rStyle w:val="af"/>
          </w:rPr>
          <w:t>30-14</w:t>
        </w:r>
        <w:r w:rsidRPr="00FB73F1">
          <w:rPr>
            <w:rStyle w:val="af"/>
            <w:rFonts w:hint="eastAsia"/>
          </w:rPr>
          <w:t>：公司β值及股票逆景氣循環資產風險係數計算表</w:t>
        </w:r>
        <w:r>
          <w:rPr>
            <w:webHidden/>
          </w:rPr>
          <w:tab/>
        </w:r>
        <w:r>
          <w:rPr>
            <w:webHidden/>
          </w:rPr>
          <w:fldChar w:fldCharType="begin"/>
        </w:r>
        <w:r>
          <w:rPr>
            <w:webHidden/>
          </w:rPr>
          <w:instrText xml:space="preserve"> PAGEREF _Toc200468575 \h </w:instrText>
        </w:r>
        <w:r>
          <w:rPr>
            <w:webHidden/>
          </w:rPr>
        </w:r>
        <w:r>
          <w:rPr>
            <w:webHidden/>
          </w:rPr>
          <w:fldChar w:fldCharType="separate"/>
        </w:r>
        <w:r w:rsidR="004D5D28">
          <w:rPr>
            <w:webHidden/>
          </w:rPr>
          <w:t>196</w:t>
        </w:r>
        <w:r>
          <w:rPr>
            <w:webHidden/>
          </w:rPr>
          <w:fldChar w:fldCharType="end"/>
        </w:r>
      </w:hyperlink>
    </w:p>
    <w:p w14:paraId="5514CF84" w14:textId="3FDBA88D"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6" w:history="1">
        <w:r w:rsidRPr="00FB73F1">
          <w:rPr>
            <w:rStyle w:val="af"/>
            <w:rFonts w:hint="eastAsia"/>
          </w:rPr>
          <w:t>表</w:t>
        </w:r>
        <w:r w:rsidRPr="00FB73F1">
          <w:rPr>
            <w:rStyle w:val="af"/>
          </w:rPr>
          <w:t>30-15</w:t>
        </w:r>
        <w:r w:rsidRPr="00FB73F1">
          <w:rPr>
            <w:rStyle w:val="af"/>
            <w:rFonts w:hint="eastAsia"/>
          </w:rPr>
          <w:t>：無評等不動產</w:t>
        </w:r>
        <w:r w:rsidRPr="00FB73F1">
          <w:rPr>
            <w:rStyle w:val="af"/>
          </w:rPr>
          <w:t>(REAT)</w:t>
        </w:r>
        <w:r w:rsidRPr="00FB73F1">
          <w:rPr>
            <w:rStyle w:val="af"/>
            <w:rFonts w:hint="eastAsia"/>
          </w:rPr>
          <w:t>及金融資產受益證券</w:t>
        </w:r>
        <w:r w:rsidRPr="00FB73F1">
          <w:rPr>
            <w:rStyle w:val="af"/>
          </w:rPr>
          <w:t>(</w:t>
        </w:r>
        <w:r w:rsidRPr="00FB73F1">
          <w:rPr>
            <w:rStyle w:val="af"/>
            <w:rFonts w:hint="eastAsia"/>
          </w:rPr>
          <w:t>含資產基礎證券</w:t>
        </w:r>
        <w:r w:rsidRPr="00FB73F1">
          <w:rPr>
            <w:rStyle w:val="af"/>
          </w:rPr>
          <w:t>)</w:t>
        </w:r>
        <w:r w:rsidRPr="00FB73F1">
          <w:rPr>
            <w:rStyle w:val="af"/>
            <w:rFonts w:hint="eastAsia"/>
          </w:rPr>
          <w:t>風險資本額計算表</w:t>
        </w:r>
        <w:r>
          <w:rPr>
            <w:webHidden/>
          </w:rPr>
          <w:tab/>
        </w:r>
        <w:r>
          <w:rPr>
            <w:webHidden/>
          </w:rPr>
          <w:fldChar w:fldCharType="begin"/>
        </w:r>
        <w:r>
          <w:rPr>
            <w:webHidden/>
          </w:rPr>
          <w:instrText xml:space="preserve"> PAGEREF _Toc200468576 \h </w:instrText>
        </w:r>
        <w:r>
          <w:rPr>
            <w:webHidden/>
          </w:rPr>
        </w:r>
        <w:r>
          <w:rPr>
            <w:webHidden/>
          </w:rPr>
          <w:fldChar w:fldCharType="separate"/>
        </w:r>
        <w:r w:rsidR="004D5D28">
          <w:rPr>
            <w:webHidden/>
          </w:rPr>
          <w:t>198</w:t>
        </w:r>
        <w:r>
          <w:rPr>
            <w:webHidden/>
          </w:rPr>
          <w:fldChar w:fldCharType="end"/>
        </w:r>
      </w:hyperlink>
    </w:p>
    <w:p w14:paraId="1A69DADD" w14:textId="790771BB"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7" w:history="1">
        <w:r w:rsidRPr="00FB73F1">
          <w:rPr>
            <w:rStyle w:val="af"/>
            <w:rFonts w:hint="eastAsia"/>
          </w:rPr>
          <w:t>表</w:t>
        </w:r>
        <w:r w:rsidRPr="00FB73F1">
          <w:rPr>
            <w:rStyle w:val="af"/>
          </w:rPr>
          <w:t>30-16</w:t>
        </w:r>
        <w:r w:rsidRPr="00FB73F1">
          <w:rPr>
            <w:rStyle w:val="af"/>
            <w:rFonts w:hint="eastAsia"/>
          </w:rPr>
          <w:t>：國外借券再投資風險資本額計算表</w:t>
        </w:r>
        <w:r>
          <w:rPr>
            <w:webHidden/>
          </w:rPr>
          <w:tab/>
        </w:r>
        <w:r>
          <w:rPr>
            <w:webHidden/>
          </w:rPr>
          <w:fldChar w:fldCharType="begin"/>
        </w:r>
        <w:r>
          <w:rPr>
            <w:webHidden/>
          </w:rPr>
          <w:instrText xml:space="preserve"> PAGEREF _Toc200468577 \h </w:instrText>
        </w:r>
        <w:r>
          <w:rPr>
            <w:webHidden/>
          </w:rPr>
        </w:r>
        <w:r>
          <w:rPr>
            <w:webHidden/>
          </w:rPr>
          <w:fldChar w:fldCharType="separate"/>
        </w:r>
        <w:r w:rsidR="004D5D28">
          <w:rPr>
            <w:webHidden/>
          </w:rPr>
          <w:t>200</w:t>
        </w:r>
        <w:r>
          <w:rPr>
            <w:webHidden/>
          </w:rPr>
          <w:fldChar w:fldCharType="end"/>
        </w:r>
      </w:hyperlink>
    </w:p>
    <w:p w14:paraId="69FE16F1" w14:textId="4E1A4B4B"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8" w:history="1">
        <w:r w:rsidRPr="00FB73F1">
          <w:rPr>
            <w:rStyle w:val="af"/>
            <w:rFonts w:hint="eastAsia"/>
          </w:rPr>
          <w:t>附錄一：保險業計算資本適足率之資產認許標準及評價原則</w:t>
        </w:r>
        <w:r>
          <w:rPr>
            <w:webHidden/>
          </w:rPr>
          <w:tab/>
        </w:r>
        <w:r>
          <w:rPr>
            <w:webHidden/>
          </w:rPr>
          <w:fldChar w:fldCharType="begin"/>
        </w:r>
        <w:r>
          <w:rPr>
            <w:webHidden/>
          </w:rPr>
          <w:instrText xml:space="preserve"> PAGEREF _Toc200468578 \h </w:instrText>
        </w:r>
        <w:r>
          <w:rPr>
            <w:webHidden/>
          </w:rPr>
        </w:r>
        <w:r>
          <w:rPr>
            <w:webHidden/>
          </w:rPr>
          <w:fldChar w:fldCharType="separate"/>
        </w:r>
        <w:r w:rsidR="004D5D28">
          <w:rPr>
            <w:webHidden/>
          </w:rPr>
          <w:t>201</w:t>
        </w:r>
        <w:r>
          <w:rPr>
            <w:webHidden/>
          </w:rPr>
          <w:fldChar w:fldCharType="end"/>
        </w:r>
      </w:hyperlink>
    </w:p>
    <w:p w14:paraId="782FB4CE" w14:textId="7E069650" w:rsidR="00065C53" w:rsidRPr="00E224E9" w:rsidRDefault="00065C53">
      <w:pPr>
        <w:pStyle w:val="1"/>
        <w:spacing w:afterLines="0" w:line="440" w:lineRule="exact"/>
        <w:jc w:val="both"/>
        <w:rPr>
          <w:b w:val="0"/>
          <w:bCs w:val="0"/>
          <w:color w:val="000000" w:themeColor="text1"/>
          <w:sz w:val="28"/>
        </w:rPr>
        <w:sectPr w:rsidR="00065C53" w:rsidRPr="00E224E9" w:rsidSect="00CE5AE1">
          <w:headerReference w:type="default" r:id="rId8"/>
          <w:footerReference w:type="even" r:id="rId9"/>
          <w:pgSz w:w="11906" w:h="16838" w:code="9"/>
          <w:pgMar w:top="1418" w:right="1134" w:bottom="1418" w:left="1134" w:header="851" w:footer="737" w:gutter="454"/>
          <w:pgNumType w:start="1"/>
          <w:cols w:space="425"/>
          <w:docGrid w:linePitch="360"/>
        </w:sectPr>
      </w:pPr>
      <w:r w:rsidRPr="00E224E9">
        <w:rPr>
          <w:rFonts w:ascii="Book Antiqua" w:hAnsi="Book Antiqua"/>
          <w:noProof/>
          <w:color w:val="000000" w:themeColor="text1"/>
          <w:sz w:val="26"/>
          <w:szCs w:val="26"/>
        </w:rPr>
        <w:fldChar w:fldCharType="end"/>
      </w:r>
    </w:p>
    <w:p w14:paraId="5938321B" w14:textId="77777777" w:rsidR="00065C53" w:rsidRPr="00E224E9" w:rsidRDefault="00065C53">
      <w:pPr>
        <w:pStyle w:val="1"/>
        <w:spacing w:afterLines="0" w:line="440" w:lineRule="exact"/>
        <w:rPr>
          <w:color w:val="000000" w:themeColor="text1"/>
          <w:szCs w:val="40"/>
        </w:rPr>
      </w:pPr>
      <w:bookmarkStart w:id="2" w:name="_Toc296928206"/>
      <w:bookmarkStart w:id="3" w:name="_Toc200468511"/>
      <w:bookmarkStart w:id="4" w:name="_Toc81303299"/>
      <w:r w:rsidRPr="00E224E9">
        <w:rPr>
          <w:color w:val="000000" w:themeColor="text1"/>
          <w:szCs w:val="40"/>
        </w:rPr>
        <w:lastRenderedPageBreak/>
        <w:t>表03：資產負債表</w:t>
      </w:r>
      <w:bookmarkEnd w:id="2"/>
      <w:bookmarkEnd w:id="3"/>
    </w:p>
    <w:p w14:paraId="5BE71C89" w14:textId="77777777" w:rsidR="00065C53" w:rsidRPr="00E224E9" w:rsidRDefault="00065C53" w:rsidP="004373AD">
      <w:pPr>
        <w:numPr>
          <w:ilvl w:val="0"/>
          <w:numId w:val="6"/>
        </w:numPr>
        <w:tabs>
          <w:tab w:val="left" w:pos="540"/>
        </w:tabs>
        <w:spacing w:line="440" w:lineRule="exact"/>
        <w:ind w:left="540"/>
        <w:jc w:val="both"/>
        <w:rPr>
          <w:rFonts w:ascii="Book Antiqua" w:hAnsi="Book Antiqua"/>
          <w:color w:val="000000" w:themeColor="text1"/>
          <w:sz w:val="24"/>
        </w:rPr>
      </w:pPr>
      <w:r w:rsidRPr="00E224E9">
        <w:rPr>
          <w:rFonts w:ascii="Book Antiqua" w:hAnsi="標楷體"/>
          <w:color w:val="000000" w:themeColor="text1"/>
          <w:sz w:val="24"/>
        </w:rPr>
        <w:t>資產</w:t>
      </w:r>
    </w:p>
    <w:p w14:paraId="4C3E8EBB"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本說明的目的在於介紹保險業淨認許資產的配置情形，每一類資產應以帳載金額列於第</w:t>
      </w:r>
      <w:r w:rsidRPr="00E224E9">
        <w:rPr>
          <w:rFonts w:ascii="Book Antiqua" w:hAnsi="Book Antiqua"/>
          <w:color w:val="000000" w:themeColor="text1"/>
          <w:sz w:val="24"/>
        </w:rPr>
        <w:t>4</w:t>
      </w:r>
      <w:r w:rsidRPr="00E224E9">
        <w:rPr>
          <w:rFonts w:ascii="Book Antiqua" w:hAnsi="標楷體"/>
          <w:color w:val="000000" w:themeColor="text1"/>
          <w:sz w:val="24"/>
        </w:rPr>
        <w:t>欄，並詳列相對應之非認許資產及淨認許資產於第</w:t>
      </w:r>
      <w:r w:rsidRPr="00E224E9">
        <w:rPr>
          <w:rFonts w:ascii="Book Antiqua" w:hAnsi="Book Antiqua"/>
          <w:color w:val="000000" w:themeColor="text1"/>
          <w:sz w:val="24"/>
        </w:rPr>
        <w:t>6</w:t>
      </w:r>
      <w:r w:rsidRPr="00E224E9">
        <w:rPr>
          <w:rFonts w:ascii="Book Antiqua" w:hAnsi="標楷體"/>
          <w:color w:val="000000" w:themeColor="text1"/>
          <w:sz w:val="24"/>
        </w:rPr>
        <w:t>欄、第</w:t>
      </w:r>
      <w:r w:rsidRPr="00E224E9">
        <w:rPr>
          <w:rFonts w:ascii="Book Antiqua" w:hAnsi="Book Antiqua"/>
          <w:color w:val="000000" w:themeColor="text1"/>
          <w:sz w:val="24"/>
        </w:rPr>
        <w:t>7</w:t>
      </w:r>
      <w:r w:rsidRPr="00E224E9">
        <w:rPr>
          <w:rFonts w:ascii="Book Antiqua" w:hAnsi="標楷體"/>
          <w:color w:val="000000" w:themeColor="text1"/>
          <w:sz w:val="24"/>
        </w:rPr>
        <w:t>欄。有關資產認許標準及評價原則請參閱本手冊「附錄一：保險業計算資本適足率之資產認許標準及評價原則」。</w:t>
      </w:r>
    </w:p>
    <w:p w14:paraId="16F68968"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保險業資本適足性相關填報表格之編製，應依「保險業資本適足性相關填報表格填報說明」及相關法令辦理之；其未規定者，依「保險業財務報告編製準則」及一般公認會計原則辦理。</w:t>
      </w:r>
    </w:p>
    <w:p w14:paraId="0B021CB9" w14:textId="77777777" w:rsidR="00065C53" w:rsidRPr="00E224E9" w:rsidRDefault="00065C53" w:rsidP="004373AD">
      <w:pPr>
        <w:numPr>
          <w:ilvl w:val="0"/>
          <w:numId w:val="7"/>
        </w:numPr>
        <w:spacing w:line="440" w:lineRule="exact"/>
        <w:jc w:val="both"/>
        <w:rPr>
          <w:rFonts w:ascii="Book Antiqua" w:hAnsi="Book Antiqua"/>
          <w:color w:val="000000" w:themeColor="text1"/>
          <w:sz w:val="24"/>
        </w:rPr>
      </w:pPr>
      <w:r w:rsidRPr="00E224E9">
        <w:rPr>
          <w:rFonts w:ascii="Book Antiqua" w:hAnsi="標楷體"/>
          <w:color w:val="000000" w:themeColor="text1"/>
          <w:sz w:val="24"/>
        </w:rPr>
        <w:t>各項資產的金額及相關比例分別以下列十二欄表示：</w:t>
      </w:r>
    </w:p>
    <w:p w14:paraId="6B1492B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欄－帳載總額</w:t>
      </w:r>
    </w:p>
    <w:p w14:paraId="0F4C4D98"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係指保險公司依「保險業財務報告編製準則」所編製之財務報表，其資產負債表所帳列各項資產加減第</w:t>
      </w:r>
      <w:r w:rsidRPr="00E224E9">
        <w:rPr>
          <w:rFonts w:ascii="Book Antiqua" w:hAnsi="Book Antiqua"/>
          <w:color w:val="000000" w:themeColor="text1"/>
          <w:sz w:val="24"/>
        </w:rPr>
        <w:t>3</w:t>
      </w:r>
      <w:r w:rsidRPr="00E224E9">
        <w:rPr>
          <w:rFonts w:ascii="Book Antiqua" w:hAnsi="標楷體"/>
          <w:color w:val="000000" w:themeColor="text1"/>
          <w:sz w:val="24"/>
        </w:rPr>
        <w:t>欄評價</w:t>
      </w:r>
      <w:r w:rsidR="00175969" w:rsidRPr="00E224E9">
        <w:rPr>
          <w:rFonts w:ascii="Book Antiqua" w:hAnsi="標楷體" w:hint="eastAsia"/>
          <w:color w:val="000000" w:themeColor="text1"/>
          <w:sz w:val="24"/>
        </w:rPr>
        <w:t>項</w:t>
      </w:r>
      <w:r w:rsidRPr="00E224E9">
        <w:rPr>
          <w:rFonts w:ascii="Book Antiqua" w:hAnsi="標楷體"/>
          <w:color w:val="000000" w:themeColor="text1"/>
          <w:sz w:val="24"/>
        </w:rPr>
        <w:t>目前的金額。</w:t>
      </w:r>
    </w:p>
    <w:p w14:paraId="7D498A2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欄－評價</w:t>
      </w:r>
      <w:r w:rsidR="00175969" w:rsidRPr="00E224E9">
        <w:rPr>
          <w:rFonts w:ascii="Book Antiqua" w:hAnsi="標楷體" w:hint="eastAsia"/>
          <w:color w:val="000000" w:themeColor="text1"/>
          <w:sz w:val="24"/>
        </w:rPr>
        <w:t>項</w:t>
      </w:r>
      <w:r w:rsidRPr="00E224E9">
        <w:rPr>
          <w:rFonts w:ascii="Book Antiqua" w:hAnsi="標楷體"/>
          <w:color w:val="000000" w:themeColor="text1"/>
          <w:sz w:val="24"/>
        </w:rPr>
        <w:t>目</w:t>
      </w:r>
    </w:p>
    <w:p w14:paraId="09469E8B"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係指金融資產評價損益、累計折舊、累計減損或帳列備抵項目</w:t>
      </w:r>
      <w:r w:rsidRPr="00E224E9">
        <w:rPr>
          <w:rFonts w:ascii="Book Antiqua" w:hAnsi="Book Antiqua"/>
          <w:color w:val="000000" w:themeColor="text1"/>
          <w:sz w:val="24"/>
        </w:rPr>
        <w:t>(</w:t>
      </w:r>
      <w:r w:rsidRPr="00E224E9">
        <w:rPr>
          <w:rFonts w:ascii="Book Antiqua" w:hAnsi="標楷體"/>
          <w:color w:val="000000" w:themeColor="text1"/>
          <w:sz w:val="24"/>
        </w:rPr>
        <w:t>包含各項擔保放款所提列之備抵</w:t>
      </w:r>
      <w:r w:rsidR="00175969" w:rsidRPr="00E224E9">
        <w:rPr>
          <w:rFonts w:ascii="Book Antiqua" w:hAnsi="標楷體" w:hint="eastAsia"/>
          <w:color w:val="000000" w:themeColor="text1"/>
          <w:sz w:val="24"/>
        </w:rPr>
        <w:t>損失</w:t>
      </w:r>
      <w:r w:rsidRPr="00E224E9">
        <w:rPr>
          <w:rFonts w:ascii="Book Antiqua" w:hAnsi="標楷體"/>
          <w:color w:val="000000" w:themeColor="text1"/>
          <w:sz w:val="24"/>
        </w:rPr>
        <w:t>等</w:t>
      </w:r>
      <w:r w:rsidRPr="00E224E9">
        <w:rPr>
          <w:rFonts w:ascii="Book Antiqua" w:hAnsi="Book Antiqua"/>
          <w:color w:val="000000" w:themeColor="text1"/>
          <w:sz w:val="24"/>
        </w:rPr>
        <w:t>)</w:t>
      </w:r>
      <w:r w:rsidRPr="00E224E9">
        <w:rPr>
          <w:rFonts w:ascii="Book Antiqua" w:hAnsi="標楷體"/>
          <w:color w:val="000000" w:themeColor="text1"/>
          <w:sz w:val="24"/>
        </w:rPr>
        <w:t>。</w:t>
      </w:r>
    </w:p>
    <w:p w14:paraId="753CE4F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欄－帳載金額</w:t>
      </w:r>
    </w:p>
    <w:p w14:paraId="3C294AA6"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係指保險公司依「保險業財務報告編製準則」所編製之財務報表，其資產負債表所帳列各項資產的金額。</w:t>
      </w:r>
    </w:p>
    <w:p w14:paraId="172197A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欄－帳載金額</w:t>
      </w:r>
      <w:r w:rsidRPr="00E224E9">
        <w:rPr>
          <w:rFonts w:ascii="Book Antiqua" w:hAnsi="Book Antiqua"/>
          <w:color w:val="000000" w:themeColor="text1"/>
          <w:sz w:val="24"/>
        </w:rPr>
        <w:t>%</w:t>
      </w:r>
    </w:p>
    <w:p w14:paraId="7EC390D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標楷體"/>
          <w:color w:val="000000" w:themeColor="text1"/>
          <w:sz w:val="24"/>
        </w:rPr>
        <w:t>為第</w:t>
      </w:r>
      <w:r w:rsidRPr="00E224E9">
        <w:rPr>
          <w:rFonts w:ascii="Book Antiqua" w:hAnsi="Book Antiqua"/>
          <w:color w:val="000000" w:themeColor="text1"/>
          <w:sz w:val="24"/>
        </w:rPr>
        <w:t>4</w:t>
      </w:r>
      <w:r w:rsidRPr="00E224E9">
        <w:rPr>
          <w:rFonts w:ascii="Book Antiqua" w:hAnsi="標楷體"/>
          <w:color w:val="000000" w:themeColor="text1"/>
          <w:sz w:val="24"/>
        </w:rPr>
        <w:t>欄各列資產之帳載金額分別除以第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36414C" w:rsidRPr="00E224E9">
        <w:rPr>
          <w:rFonts w:ascii="Book Antiqua" w:hAnsi="Book Antiqua" w:hint="eastAsia"/>
          <w:color w:val="000000" w:themeColor="text1"/>
          <w:sz w:val="24"/>
        </w:rPr>
        <w:t>9</w:t>
      </w:r>
      <w:r w:rsidR="00D8014A" w:rsidRPr="00E224E9">
        <w:rPr>
          <w:rFonts w:ascii="Book Antiqua" w:hAnsi="Book Antiqua" w:hint="eastAsia"/>
          <w:color w:val="000000" w:themeColor="text1"/>
          <w:sz w:val="24"/>
        </w:rPr>
        <w:t>8</w:t>
      </w:r>
      <w:r w:rsidRPr="00E224E9">
        <w:rPr>
          <w:rFonts w:ascii="Book Antiqua" w:hAnsi="標楷體"/>
          <w:color w:val="000000" w:themeColor="text1"/>
          <w:sz w:val="24"/>
        </w:rPr>
        <w:t>列資產總計之比例。</w:t>
      </w:r>
    </w:p>
    <w:p w14:paraId="2F99A57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6</w:t>
      </w:r>
      <w:r w:rsidRPr="00E224E9">
        <w:rPr>
          <w:rFonts w:ascii="Book Antiqua" w:hAnsi="標楷體"/>
          <w:color w:val="000000" w:themeColor="text1"/>
          <w:sz w:val="24"/>
        </w:rPr>
        <w:t>欄－非認許資產</w:t>
      </w:r>
    </w:p>
    <w:p w14:paraId="346E643C"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14:paraId="0A0811A4"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各資產項目，屬於「保險業計算資本適足率之資產認許標準及評價原則」所規定之非認許資產者，應分別於此欄位列示。</w:t>
      </w:r>
    </w:p>
    <w:p w14:paraId="72996AC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7</w:t>
      </w:r>
      <w:r w:rsidRPr="00E224E9">
        <w:rPr>
          <w:rFonts w:ascii="Book Antiqua" w:hAnsi="標楷體"/>
          <w:color w:val="000000" w:themeColor="text1"/>
          <w:sz w:val="24"/>
        </w:rPr>
        <w:t>欄－淨認許資產</w:t>
      </w:r>
    </w:p>
    <w:p w14:paraId="02A19ECC"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4</w:t>
      </w:r>
      <w:r w:rsidRPr="00E224E9">
        <w:rPr>
          <w:rFonts w:ascii="Book Antiqua" w:hAnsi="標楷體"/>
          <w:color w:val="000000" w:themeColor="text1"/>
          <w:sz w:val="24"/>
        </w:rPr>
        <w:t>欄減除第</w:t>
      </w:r>
      <w:r w:rsidRPr="00E224E9">
        <w:rPr>
          <w:rFonts w:ascii="Book Antiqua" w:hAnsi="Book Antiqua"/>
          <w:color w:val="000000" w:themeColor="text1"/>
          <w:sz w:val="24"/>
        </w:rPr>
        <w:t>6</w:t>
      </w:r>
      <w:r w:rsidRPr="00E224E9">
        <w:rPr>
          <w:rFonts w:ascii="Book Antiqua" w:hAnsi="標楷體"/>
          <w:color w:val="000000" w:themeColor="text1"/>
          <w:sz w:val="24"/>
        </w:rPr>
        <w:t>欄後的金額。</w:t>
      </w:r>
    </w:p>
    <w:p w14:paraId="0D55B79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欄－上期帳載金額</w:t>
      </w:r>
    </w:p>
    <w:p w14:paraId="2C70567A"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本欄須與上期各資產項目之帳載金額相一致。</w:t>
      </w:r>
    </w:p>
    <w:p w14:paraId="6CB24925"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Pr="00E224E9">
        <w:rPr>
          <w:rFonts w:ascii="Book Antiqua" w:hAnsi="Book Antiqua"/>
          <w:color w:val="000000" w:themeColor="text1"/>
          <w:sz w:val="24"/>
        </w:rPr>
        <w:t>9</w:t>
      </w:r>
      <w:r w:rsidRPr="00E224E9">
        <w:rPr>
          <w:rFonts w:ascii="Book Antiqua" w:hAnsi="標楷體"/>
          <w:color w:val="000000" w:themeColor="text1"/>
          <w:sz w:val="24"/>
        </w:rPr>
        <w:t>欄－上期帳載金額</w:t>
      </w:r>
      <w:r w:rsidRPr="00E224E9">
        <w:rPr>
          <w:rFonts w:ascii="Book Antiqua" w:hAnsi="Book Antiqua"/>
          <w:color w:val="000000" w:themeColor="text1"/>
          <w:sz w:val="24"/>
        </w:rPr>
        <w:t>%</w:t>
      </w:r>
    </w:p>
    <w:p w14:paraId="0EAD024C"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本欄須與上期各資產項目之帳載金額</w:t>
      </w:r>
      <w:r w:rsidRPr="00E224E9">
        <w:rPr>
          <w:rFonts w:ascii="Book Antiqua" w:hAnsi="Book Antiqua"/>
          <w:color w:val="000000" w:themeColor="text1"/>
          <w:sz w:val="24"/>
        </w:rPr>
        <w:t>%</w:t>
      </w:r>
      <w:r w:rsidRPr="00E224E9">
        <w:rPr>
          <w:rFonts w:ascii="Book Antiqua" w:hAnsi="標楷體"/>
          <w:color w:val="000000" w:themeColor="text1"/>
          <w:sz w:val="24"/>
        </w:rPr>
        <w:t>相一致。</w:t>
      </w:r>
    </w:p>
    <w:p w14:paraId="1E3DE46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10</w:t>
      </w:r>
      <w:r w:rsidRPr="00E224E9">
        <w:rPr>
          <w:rFonts w:ascii="Book Antiqua" w:hAnsi="標楷體"/>
          <w:color w:val="000000" w:themeColor="text1"/>
          <w:sz w:val="24"/>
        </w:rPr>
        <w:t>欄－上期淨認許資產</w:t>
      </w:r>
    </w:p>
    <w:p w14:paraId="4770A94C"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本欄須與上期各資產項目之淨認許資產金額相一致。</w:t>
      </w:r>
    </w:p>
    <w:p w14:paraId="481BACF0"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所稱本期及上期於填報月報資料時係指當月份及上月份餘額；於填報</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年報時係指當</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年度及上</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年度餘額。</w:t>
      </w:r>
    </w:p>
    <w:p w14:paraId="68C6555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11</w:t>
      </w:r>
      <w:r w:rsidRPr="00E224E9">
        <w:rPr>
          <w:rFonts w:ascii="Book Antiqua" w:hAnsi="標楷體"/>
          <w:color w:val="000000" w:themeColor="text1"/>
          <w:sz w:val="24"/>
        </w:rPr>
        <w:t>欄－帳載金額比較增減金額</w:t>
      </w:r>
    </w:p>
    <w:p w14:paraId="1BC4E8DD" w14:textId="77777777" w:rsidR="00065C53" w:rsidRPr="00E224E9" w:rsidRDefault="00065C53">
      <w:pPr>
        <w:spacing w:line="440" w:lineRule="exact"/>
        <w:ind w:firstLineChars="276" w:firstLine="662"/>
        <w:jc w:val="both"/>
        <w:rPr>
          <w:rFonts w:ascii="Book Antiqua" w:hAnsi="Book Antiqua"/>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4</w:t>
      </w:r>
      <w:r w:rsidRPr="00E224E9">
        <w:rPr>
          <w:rFonts w:ascii="Book Antiqua" w:hAnsi="標楷體"/>
          <w:color w:val="000000" w:themeColor="text1"/>
          <w:sz w:val="24"/>
        </w:rPr>
        <w:t>欄減除第</w:t>
      </w:r>
      <w:r w:rsidRPr="00E224E9">
        <w:rPr>
          <w:rFonts w:ascii="Book Antiqua" w:hAnsi="Book Antiqua"/>
          <w:color w:val="000000" w:themeColor="text1"/>
          <w:sz w:val="24"/>
        </w:rPr>
        <w:t>8</w:t>
      </w:r>
      <w:r w:rsidRPr="00E224E9">
        <w:rPr>
          <w:rFonts w:ascii="Book Antiqua" w:hAnsi="標楷體"/>
          <w:color w:val="000000" w:themeColor="text1"/>
          <w:sz w:val="24"/>
        </w:rPr>
        <w:t>欄後的金額。</w:t>
      </w:r>
    </w:p>
    <w:p w14:paraId="6C261C3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12</w:t>
      </w:r>
      <w:r w:rsidRPr="00E224E9">
        <w:rPr>
          <w:rFonts w:ascii="Book Antiqua" w:hAnsi="標楷體"/>
          <w:color w:val="000000" w:themeColor="text1"/>
          <w:sz w:val="24"/>
        </w:rPr>
        <w:t>欄－帳載金額比較增減</w:t>
      </w:r>
      <w:r w:rsidRPr="00E224E9">
        <w:rPr>
          <w:rFonts w:ascii="Book Antiqua" w:hAnsi="Book Antiqua"/>
          <w:color w:val="000000" w:themeColor="text1"/>
          <w:sz w:val="24"/>
        </w:rPr>
        <w:t>%</w:t>
      </w:r>
    </w:p>
    <w:p w14:paraId="0D15FB3F" w14:textId="77777777" w:rsidR="00065C53" w:rsidRPr="00E224E9" w:rsidRDefault="00065C53">
      <w:pPr>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11</w:t>
      </w:r>
      <w:r w:rsidRPr="00E224E9">
        <w:rPr>
          <w:rFonts w:ascii="Book Antiqua" w:hAnsi="標楷體"/>
          <w:color w:val="000000" w:themeColor="text1"/>
          <w:sz w:val="24"/>
        </w:rPr>
        <w:t>欄除以第</w:t>
      </w:r>
      <w:r w:rsidRPr="00E224E9">
        <w:rPr>
          <w:rFonts w:ascii="Book Antiqua" w:hAnsi="Book Antiqua"/>
          <w:color w:val="000000" w:themeColor="text1"/>
          <w:sz w:val="24"/>
        </w:rPr>
        <w:t>8</w:t>
      </w:r>
      <w:r w:rsidRPr="00E224E9">
        <w:rPr>
          <w:rFonts w:ascii="Book Antiqua" w:hAnsi="標楷體"/>
          <w:color w:val="000000" w:themeColor="text1"/>
          <w:sz w:val="24"/>
        </w:rPr>
        <w:t>欄後之比例。</w:t>
      </w:r>
    </w:p>
    <w:p w14:paraId="1F546473" w14:textId="77777777" w:rsidR="00065C53" w:rsidRPr="00E224E9" w:rsidRDefault="00065C53">
      <w:pPr>
        <w:spacing w:line="440" w:lineRule="exact"/>
        <w:ind w:firstLineChars="207" w:firstLine="497"/>
        <w:jc w:val="both"/>
        <w:rPr>
          <w:rFonts w:ascii="Book Antiqua" w:hAnsi="Book Antiqua"/>
          <w:color w:val="000000" w:themeColor="text1"/>
          <w:sz w:val="24"/>
        </w:rPr>
      </w:pPr>
    </w:p>
    <w:p w14:paraId="039E4AFA" w14:textId="77777777" w:rsidR="00065C53" w:rsidRPr="00E224E9" w:rsidRDefault="00065C53" w:rsidP="004373AD">
      <w:pPr>
        <w:numPr>
          <w:ilvl w:val="0"/>
          <w:numId w:val="7"/>
        </w:numPr>
        <w:spacing w:line="440" w:lineRule="exact"/>
        <w:jc w:val="both"/>
        <w:rPr>
          <w:rFonts w:ascii="Book Antiqua" w:hAnsi="Book Antiqua"/>
          <w:color w:val="000000" w:themeColor="text1"/>
          <w:sz w:val="24"/>
        </w:rPr>
      </w:pPr>
      <w:r w:rsidRPr="00E224E9">
        <w:rPr>
          <w:rFonts w:ascii="Book Antiqua" w:hAnsi="標楷體"/>
          <w:color w:val="000000" w:themeColor="text1"/>
          <w:sz w:val="24"/>
        </w:rPr>
        <w:t>資產負債表之資產</w:t>
      </w:r>
      <w:r w:rsidR="00175969" w:rsidRPr="00E224E9">
        <w:rPr>
          <w:rFonts w:ascii="Book Antiqua" w:hAnsi="標楷體" w:hint="eastAsia"/>
          <w:color w:val="000000" w:themeColor="text1"/>
          <w:sz w:val="24"/>
        </w:rPr>
        <w:t>項</w:t>
      </w:r>
      <w:r w:rsidRPr="00E224E9">
        <w:rPr>
          <w:rFonts w:ascii="Book Antiqua" w:hAnsi="標楷體"/>
          <w:color w:val="000000" w:themeColor="text1"/>
          <w:sz w:val="24"/>
        </w:rPr>
        <w:t>目分類及其帳項內涵，除下列註明項目外，應依照「保險業財務報告編製準則」辦理。</w:t>
      </w:r>
    </w:p>
    <w:p w14:paraId="6AAEF8F6"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標楷體"/>
          <w:color w:val="000000" w:themeColor="text1"/>
          <w:sz w:val="24"/>
        </w:rPr>
        <w:t>列－現金及約當現金</w:t>
      </w:r>
    </w:p>
    <w:p w14:paraId="5591F2A5"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E224E9">
        <w:rPr>
          <w:rFonts w:ascii="Book Antiqua" w:eastAsia="標楷體" w:hAnsi="Book Antiqua" w:cs="Times New Roman"/>
          <w:color w:val="000000" w:themeColor="text1"/>
          <w:sz w:val="24"/>
          <w:szCs w:val="24"/>
        </w:rPr>
        <w:t xml:space="preserve">                           </w:t>
      </w:r>
    </w:p>
    <w:p w14:paraId="5B1698C1"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列－應收款項</w:t>
      </w:r>
    </w:p>
    <w:p w14:paraId="0CEF04C6"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本列應收款項金額為第</w:t>
      </w:r>
      <w:r w:rsidRPr="00E224E9">
        <w:rPr>
          <w:rFonts w:ascii="Book Antiqua" w:eastAsia="標楷體" w:hAnsi="Book Antiqua" w:cs="Times New Roman"/>
          <w:color w:val="000000" w:themeColor="text1"/>
          <w:sz w:val="24"/>
          <w:szCs w:val="24"/>
        </w:rPr>
        <w:t>3</w:t>
      </w:r>
      <w:r w:rsidRPr="00E224E9">
        <w:rPr>
          <w:rFonts w:ascii="Book Antiqua" w:eastAsia="標楷體" w:hAnsi="標楷體" w:cs="Times New Roman"/>
          <w:color w:val="000000" w:themeColor="text1"/>
          <w:sz w:val="24"/>
          <w:szCs w:val="24"/>
        </w:rPr>
        <w:t>列至第</w:t>
      </w:r>
      <w:r w:rsidRPr="00E224E9">
        <w:rPr>
          <w:rFonts w:ascii="Book Antiqua" w:eastAsia="標楷體" w:hAnsi="Book Antiqua" w:cs="Times New Roman"/>
          <w:color w:val="000000" w:themeColor="text1"/>
          <w:sz w:val="24"/>
          <w:szCs w:val="24"/>
        </w:rPr>
        <w:t>1</w:t>
      </w:r>
      <w:r w:rsidR="00C32AAC" w:rsidRPr="00E224E9">
        <w:rPr>
          <w:rFonts w:ascii="Book Antiqua" w:eastAsia="標楷體" w:hAnsi="Book Antiqua" w:cs="Times New Roman" w:hint="eastAsia"/>
          <w:color w:val="000000" w:themeColor="text1"/>
          <w:sz w:val="24"/>
          <w:szCs w:val="24"/>
        </w:rPr>
        <w:t>3</w:t>
      </w:r>
      <w:r w:rsidRPr="00E224E9">
        <w:rPr>
          <w:rFonts w:ascii="Book Antiqua" w:eastAsia="標楷體" w:hAnsi="標楷體" w:cs="Times New Roman"/>
          <w:color w:val="000000" w:themeColor="text1"/>
          <w:sz w:val="24"/>
          <w:szCs w:val="24"/>
        </w:rPr>
        <w:t>列各應收款項項目加總之和。</w:t>
      </w:r>
    </w:p>
    <w:p w14:paraId="4896DF8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列－應收票據</w:t>
      </w:r>
      <w:r w:rsidRPr="00E224E9">
        <w:rPr>
          <w:rFonts w:ascii="Book Antiqua" w:hAnsi="Book Antiqua"/>
          <w:color w:val="000000" w:themeColor="text1"/>
          <w:sz w:val="24"/>
        </w:rPr>
        <w:t>--</w:t>
      </w:r>
      <w:r w:rsidRPr="00E224E9">
        <w:rPr>
          <w:rFonts w:ascii="Book Antiqua" w:hAnsi="標楷體"/>
          <w:color w:val="000000" w:themeColor="text1"/>
          <w:sz w:val="24"/>
        </w:rPr>
        <w:t>非關係人</w:t>
      </w:r>
    </w:p>
    <w:p w14:paraId="5F0AB980" w14:textId="77777777" w:rsidR="00065C53" w:rsidRPr="00E224E9" w:rsidRDefault="00065C53">
      <w:pPr>
        <w:pStyle w:val="HTML"/>
        <w:spacing w:line="440" w:lineRule="exact"/>
        <w:ind w:leftChars="345" w:left="899" w:hanging="2"/>
        <w:jc w:val="both"/>
        <w:rPr>
          <w:rFonts w:ascii="Book Antiqua" w:eastAsia="標楷體" w:hAnsi="Book Antiqua" w:cs="Times New Roman"/>
          <w:strike/>
          <w:color w:val="000000" w:themeColor="text1"/>
          <w:sz w:val="24"/>
          <w:szCs w:val="24"/>
        </w:rPr>
      </w:pPr>
      <w:r w:rsidRPr="00E224E9">
        <w:rPr>
          <w:rFonts w:ascii="Book Antiqua" w:eastAsia="標楷體" w:hAnsi="標楷體" w:cs="Times New Roman"/>
          <w:color w:val="000000" w:themeColor="text1"/>
          <w:sz w:val="24"/>
          <w:szCs w:val="24"/>
        </w:rPr>
        <w:t>應收非屬關係人之各種票據。</w:t>
      </w:r>
    </w:p>
    <w:p w14:paraId="397B53D1"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結算時應評估應收票據無法收現之金額，提列適當之備抵</w:t>
      </w:r>
      <w:r w:rsidR="00D8014A" w:rsidRPr="00E224E9">
        <w:rPr>
          <w:rFonts w:ascii="Book Antiqua" w:eastAsia="標楷體" w:hAnsi="標楷體" w:cs="Times New Roman" w:hint="eastAsia"/>
          <w:color w:val="000000" w:themeColor="text1"/>
          <w:sz w:val="24"/>
          <w:szCs w:val="24"/>
        </w:rPr>
        <w:t>損失</w:t>
      </w:r>
      <w:r w:rsidRPr="00E224E9">
        <w:rPr>
          <w:rFonts w:ascii="Book Antiqua" w:eastAsia="標楷體" w:hAnsi="標楷體" w:cs="Times New Roman"/>
          <w:color w:val="000000" w:themeColor="text1"/>
          <w:sz w:val="24"/>
          <w:szCs w:val="24"/>
        </w:rPr>
        <w:t>，於第</w:t>
      </w:r>
      <w:r w:rsidRPr="00E224E9">
        <w:rPr>
          <w:rFonts w:ascii="Book Antiqua" w:eastAsia="標楷體" w:hAnsi="Book Antiqua" w:cs="Times New Roman"/>
          <w:color w:val="000000" w:themeColor="text1"/>
          <w:sz w:val="24"/>
          <w:szCs w:val="24"/>
        </w:rPr>
        <w:t>3</w:t>
      </w:r>
      <w:r w:rsidRPr="00E224E9">
        <w:rPr>
          <w:rFonts w:ascii="Book Antiqua" w:eastAsia="標楷體" w:hAnsi="標楷體" w:cs="Times New Roman"/>
          <w:color w:val="000000" w:themeColor="text1"/>
          <w:sz w:val="24"/>
          <w:szCs w:val="24"/>
        </w:rPr>
        <w:t>欄列示。屬催收款項之金額列於第</w:t>
      </w:r>
      <w:r w:rsidRPr="00E224E9">
        <w:rPr>
          <w:rFonts w:ascii="Book Antiqua" w:eastAsia="標楷體" w:hAnsi="Book Antiqua" w:cs="Times New Roman"/>
          <w:color w:val="000000" w:themeColor="text1"/>
          <w:sz w:val="24"/>
          <w:szCs w:val="24"/>
        </w:rPr>
        <w:t>7</w:t>
      </w:r>
      <w:r w:rsidRPr="00E224E9">
        <w:rPr>
          <w:rFonts w:ascii="Book Antiqua" w:eastAsia="標楷體" w:hAnsi="標楷體" w:cs="Times New Roman"/>
          <w:color w:val="000000" w:themeColor="text1"/>
          <w:sz w:val="24"/>
          <w:szCs w:val="24"/>
        </w:rPr>
        <w:t>列</w:t>
      </w:r>
      <w:r w:rsidRPr="00E224E9">
        <w:rPr>
          <w:rFonts w:ascii="Book Antiqua" w:eastAsia="標楷體" w:hAnsi="標楷體"/>
          <w:color w:val="000000" w:themeColor="text1"/>
          <w:sz w:val="24"/>
        </w:rPr>
        <w:t>「</w:t>
      </w:r>
      <w:r w:rsidRPr="00E224E9">
        <w:rPr>
          <w:rFonts w:ascii="Book Antiqua" w:eastAsia="標楷體" w:hAnsi="標楷體" w:cs="Times New Roman"/>
          <w:color w:val="000000" w:themeColor="text1"/>
          <w:sz w:val="24"/>
          <w:szCs w:val="24"/>
        </w:rPr>
        <w:t>應收票據</w:t>
      </w:r>
      <w:r w:rsidRPr="00E224E9">
        <w:rPr>
          <w:rFonts w:ascii="Book Antiqua" w:eastAsia="標楷體" w:hAnsi="Book Antiqua" w:cs="Times New Roman"/>
          <w:color w:val="000000" w:themeColor="text1"/>
          <w:sz w:val="24"/>
          <w:szCs w:val="24"/>
        </w:rPr>
        <w:t>--</w:t>
      </w:r>
      <w:r w:rsidRPr="00E224E9">
        <w:rPr>
          <w:rFonts w:ascii="Book Antiqua" w:eastAsia="標楷體" w:hAnsi="標楷體" w:cs="Times New Roman"/>
          <w:color w:val="000000" w:themeColor="text1"/>
          <w:sz w:val="24"/>
          <w:szCs w:val="24"/>
        </w:rPr>
        <w:t>催收款項</w:t>
      </w:r>
      <w:r w:rsidRPr="00E224E9">
        <w:rPr>
          <w:rFonts w:ascii="Book Antiqua" w:eastAsia="標楷體" w:hAnsi="標楷體"/>
          <w:color w:val="000000" w:themeColor="text1"/>
          <w:sz w:val="24"/>
        </w:rPr>
        <w:t>」</w:t>
      </w:r>
      <w:r w:rsidRPr="00E224E9">
        <w:rPr>
          <w:rFonts w:ascii="Book Antiqua" w:eastAsia="標楷體" w:hAnsi="標楷體" w:cs="Times New Roman"/>
          <w:color w:val="000000" w:themeColor="text1"/>
          <w:sz w:val="24"/>
          <w:szCs w:val="24"/>
        </w:rPr>
        <w:t>項下。</w:t>
      </w:r>
    </w:p>
    <w:p w14:paraId="4B4B5D7B"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t>第</w:t>
      </w:r>
      <w:r w:rsidRPr="00E224E9">
        <w:rPr>
          <w:rFonts w:ascii="Book Antiqua" w:hAnsi="Book Antiqua"/>
          <w:color w:val="000000" w:themeColor="text1"/>
          <w:sz w:val="24"/>
        </w:rPr>
        <w:t>4</w:t>
      </w:r>
      <w:r w:rsidRPr="00E224E9">
        <w:rPr>
          <w:rFonts w:ascii="Book Antiqua"/>
          <w:color w:val="000000" w:themeColor="text1"/>
          <w:sz w:val="24"/>
        </w:rPr>
        <w:t>列－應收票據</w:t>
      </w:r>
      <w:r w:rsidRPr="00E224E9">
        <w:rPr>
          <w:rFonts w:ascii="Book Antiqua" w:hAnsi="Book Antiqua"/>
          <w:color w:val="000000" w:themeColor="text1"/>
          <w:sz w:val="24"/>
        </w:rPr>
        <w:t>--</w:t>
      </w:r>
      <w:r w:rsidRPr="00E224E9">
        <w:rPr>
          <w:rFonts w:ascii="Book Antiqua"/>
          <w:color w:val="000000" w:themeColor="text1"/>
          <w:sz w:val="24"/>
        </w:rPr>
        <w:t>關係人</w:t>
      </w:r>
    </w:p>
    <w:p w14:paraId="254E0862"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關係人之應收票據。本列應收票據</w:t>
      </w:r>
      <w:r w:rsidRPr="00E224E9">
        <w:rPr>
          <w:rFonts w:ascii="Book Antiqua" w:eastAsia="標楷體" w:hAnsi="Book Antiqua" w:cs="Times New Roman"/>
          <w:color w:val="000000" w:themeColor="text1"/>
          <w:sz w:val="24"/>
          <w:szCs w:val="24"/>
        </w:rPr>
        <w:t>--</w:t>
      </w:r>
      <w:r w:rsidRPr="00E224E9">
        <w:rPr>
          <w:rFonts w:ascii="Book Antiqua" w:eastAsia="標楷體" w:hAnsi="標楷體" w:cs="Times New Roman"/>
          <w:color w:val="000000" w:themeColor="text1"/>
          <w:sz w:val="24"/>
          <w:szCs w:val="24"/>
        </w:rPr>
        <w:t>關係人之金額為第</w:t>
      </w:r>
      <w:r w:rsidRPr="00E224E9">
        <w:rPr>
          <w:rFonts w:ascii="Book Antiqua" w:eastAsia="標楷體" w:hAnsi="Book Antiqua" w:cs="Times New Roman"/>
          <w:color w:val="000000" w:themeColor="text1"/>
          <w:sz w:val="24"/>
          <w:szCs w:val="24"/>
        </w:rPr>
        <w:t>5</w:t>
      </w:r>
      <w:r w:rsidRPr="00E224E9">
        <w:rPr>
          <w:rFonts w:ascii="Book Antiqua" w:eastAsia="標楷體" w:hAnsi="標楷體" w:cs="Times New Roman"/>
          <w:color w:val="000000" w:themeColor="text1"/>
          <w:sz w:val="24"/>
          <w:szCs w:val="24"/>
        </w:rPr>
        <w:t>列與第</w:t>
      </w:r>
      <w:r w:rsidRPr="00E224E9">
        <w:rPr>
          <w:rFonts w:ascii="Book Antiqua" w:eastAsia="標楷體" w:hAnsi="Book Antiqua" w:cs="Times New Roman"/>
          <w:color w:val="000000" w:themeColor="text1"/>
          <w:sz w:val="24"/>
          <w:szCs w:val="24"/>
        </w:rPr>
        <w:t>6</w:t>
      </w:r>
      <w:r w:rsidRPr="00E224E9">
        <w:rPr>
          <w:rFonts w:ascii="Book Antiqua" w:eastAsia="標楷體" w:hAnsi="標楷體" w:cs="Times New Roman"/>
          <w:color w:val="000000" w:themeColor="text1"/>
          <w:sz w:val="24"/>
          <w:szCs w:val="24"/>
        </w:rPr>
        <w:t>列兩類關係人之應收票據金額加總之和。</w:t>
      </w:r>
    </w:p>
    <w:p w14:paraId="3DA46321"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屬催收款項之金額列於第</w:t>
      </w:r>
      <w:r w:rsidRPr="00E224E9">
        <w:rPr>
          <w:rFonts w:ascii="Book Antiqua" w:eastAsia="標楷體" w:hAnsi="Book Antiqua" w:cs="Times New Roman"/>
          <w:color w:val="000000" w:themeColor="text1"/>
          <w:sz w:val="24"/>
          <w:szCs w:val="24"/>
        </w:rPr>
        <w:t>7</w:t>
      </w:r>
      <w:r w:rsidRPr="00E224E9">
        <w:rPr>
          <w:rFonts w:ascii="Book Antiqua" w:eastAsia="標楷體" w:hAnsi="標楷體" w:cs="Times New Roman"/>
          <w:color w:val="000000" w:themeColor="text1"/>
          <w:sz w:val="24"/>
          <w:szCs w:val="24"/>
        </w:rPr>
        <w:t>列</w:t>
      </w:r>
      <w:r w:rsidRPr="00E224E9">
        <w:rPr>
          <w:rFonts w:ascii="Book Antiqua" w:eastAsia="標楷體" w:hAnsi="標楷體"/>
          <w:color w:val="000000" w:themeColor="text1"/>
          <w:sz w:val="24"/>
        </w:rPr>
        <w:t>「</w:t>
      </w:r>
      <w:r w:rsidRPr="00E224E9">
        <w:rPr>
          <w:rFonts w:ascii="Book Antiqua" w:eastAsia="標楷體" w:hAnsi="標楷體" w:cs="Times New Roman"/>
          <w:color w:val="000000" w:themeColor="text1"/>
          <w:sz w:val="24"/>
          <w:szCs w:val="24"/>
        </w:rPr>
        <w:t>應收票據</w:t>
      </w:r>
      <w:r w:rsidRPr="00E224E9">
        <w:rPr>
          <w:rFonts w:ascii="Book Antiqua" w:eastAsia="標楷體" w:hAnsi="Book Antiqua" w:cs="Times New Roman"/>
          <w:color w:val="000000" w:themeColor="text1"/>
          <w:sz w:val="24"/>
          <w:szCs w:val="24"/>
        </w:rPr>
        <w:t>--</w:t>
      </w:r>
      <w:r w:rsidRPr="00E224E9">
        <w:rPr>
          <w:rFonts w:ascii="Book Antiqua" w:eastAsia="標楷體" w:hAnsi="標楷體" w:cs="Times New Roman"/>
          <w:color w:val="000000" w:themeColor="text1"/>
          <w:sz w:val="24"/>
          <w:szCs w:val="24"/>
        </w:rPr>
        <w:t>催收款項</w:t>
      </w:r>
      <w:r w:rsidRPr="00E224E9">
        <w:rPr>
          <w:rFonts w:ascii="Book Antiqua" w:eastAsia="標楷體" w:hAnsi="標楷體"/>
          <w:color w:val="000000" w:themeColor="text1"/>
          <w:sz w:val="24"/>
        </w:rPr>
        <w:t>」</w:t>
      </w:r>
      <w:r w:rsidRPr="00E224E9">
        <w:rPr>
          <w:rFonts w:ascii="Book Antiqua" w:eastAsia="標楷體" w:hAnsi="標楷體" w:cs="Times New Roman"/>
          <w:color w:val="000000" w:themeColor="text1"/>
          <w:sz w:val="24"/>
          <w:szCs w:val="24"/>
        </w:rPr>
        <w:t>項下。</w:t>
      </w:r>
    </w:p>
    <w:p w14:paraId="667BC66C" w14:textId="77777777" w:rsidR="00065C53" w:rsidRPr="00E224E9" w:rsidRDefault="001A36A1">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關係人之定義及分類請詳「</w:t>
      </w:r>
      <w:r w:rsidRPr="00E224E9">
        <w:rPr>
          <w:rFonts w:ascii="Book Antiqua" w:eastAsia="標楷體" w:hAnsi="標楷體" w:cs="Times New Roman" w:hint="eastAsia"/>
          <w:color w:val="000000" w:themeColor="text1"/>
          <w:sz w:val="24"/>
          <w:szCs w:val="24"/>
        </w:rPr>
        <w:t>三</w:t>
      </w:r>
      <w:r w:rsidR="00065C53" w:rsidRPr="00E224E9">
        <w:rPr>
          <w:rFonts w:ascii="Book Antiqua" w:eastAsia="標楷體" w:hAnsi="標楷體" w:cs="Times New Roman"/>
          <w:color w:val="000000" w:themeColor="text1"/>
          <w:sz w:val="24"/>
          <w:szCs w:val="24"/>
        </w:rPr>
        <w:t>、關係人之定義及分類說明」。</w:t>
      </w:r>
    </w:p>
    <w:p w14:paraId="35780A7B"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t>第</w:t>
      </w:r>
      <w:r w:rsidRPr="00E224E9">
        <w:rPr>
          <w:rFonts w:ascii="Book Antiqua" w:hAnsi="Book Antiqua"/>
          <w:color w:val="000000" w:themeColor="text1"/>
          <w:sz w:val="24"/>
        </w:rPr>
        <w:t>7</w:t>
      </w:r>
      <w:r w:rsidRPr="00E224E9">
        <w:rPr>
          <w:rFonts w:ascii="Book Antiqua"/>
          <w:color w:val="000000" w:themeColor="text1"/>
          <w:sz w:val="24"/>
        </w:rPr>
        <w:t>列－應收票據</w:t>
      </w:r>
      <w:r w:rsidRPr="00E224E9">
        <w:rPr>
          <w:rFonts w:ascii="Book Antiqua" w:hAnsi="Book Antiqua"/>
          <w:color w:val="000000" w:themeColor="text1"/>
          <w:sz w:val="24"/>
        </w:rPr>
        <w:t>--</w:t>
      </w:r>
      <w:r w:rsidRPr="00E224E9">
        <w:rPr>
          <w:rFonts w:ascii="Book Antiqua"/>
          <w:color w:val="000000" w:themeColor="text1"/>
          <w:sz w:val="24"/>
        </w:rPr>
        <w:t>催收款項</w:t>
      </w:r>
    </w:p>
    <w:p w14:paraId="5936E414"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kern w:val="0"/>
          <w:sz w:val="24"/>
        </w:rPr>
        <w:t>逾期應收債權應</w:t>
      </w:r>
      <w:r w:rsidRPr="00E224E9">
        <w:rPr>
          <w:rFonts w:ascii="Book Antiqua" w:hAnsi="標楷體"/>
          <w:color w:val="000000" w:themeColor="text1"/>
          <w:sz w:val="24"/>
        </w:rPr>
        <w:t>評估其減損或無法收回之金額，提列適當之備抵</w:t>
      </w:r>
      <w:r w:rsidR="00D8014A" w:rsidRPr="00E224E9">
        <w:rPr>
          <w:rFonts w:ascii="Book Antiqua" w:hAnsi="標楷體" w:hint="eastAsia"/>
          <w:color w:val="000000" w:themeColor="text1"/>
          <w:sz w:val="24"/>
        </w:rPr>
        <w:t>損失</w:t>
      </w:r>
      <w:r w:rsidRPr="00E224E9">
        <w:rPr>
          <w:rFonts w:ascii="Book Antiqua" w:hAnsi="標楷體"/>
          <w:color w:val="000000" w:themeColor="text1"/>
          <w:sz w:val="24"/>
        </w:rPr>
        <w:t>，於第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29D8B37A"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lastRenderedPageBreak/>
        <w:t>第</w:t>
      </w:r>
      <w:r w:rsidRPr="00E224E9">
        <w:rPr>
          <w:rFonts w:ascii="Book Antiqua" w:hAnsi="Book Antiqua"/>
          <w:color w:val="000000" w:themeColor="text1"/>
          <w:sz w:val="24"/>
        </w:rPr>
        <w:t>8</w:t>
      </w:r>
      <w:r w:rsidRPr="00E224E9">
        <w:rPr>
          <w:rFonts w:ascii="Book Antiqua"/>
          <w:color w:val="000000" w:themeColor="text1"/>
          <w:sz w:val="24"/>
        </w:rPr>
        <w:t>列－應收保費</w:t>
      </w:r>
    </w:p>
    <w:p w14:paraId="796A0B7C"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係直接簽單業務應收之各項保險費均屬之。</w:t>
      </w:r>
    </w:p>
    <w:p w14:paraId="74478EC7"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結算時應評估應收保費無法收現之金額，提列適當之備抵</w:t>
      </w:r>
      <w:r w:rsidR="00D8014A" w:rsidRPr="00E224E9">
        <w:rPr>
          <w:rFonts w:ascii="Book Antiqua" w:eastAsia="標楷體" w:hAnsi="標楷體" w:cs="Times New Roman" w:hint="eastAsia"/>
          <w:color w:val="000000" w:themeColor="text1"/>
          <w:sz w:val="24"/>
          <w:szCs w:val="24"/>
        </w:rPr>
        <w:t>損失</w:t>
      </w:r>
      <w:r w:rsidRPr="00E224E9">
        <w:rPr>
          <w:rFonts w:ascii="Book Antiqua" w:eastAsia="標楷體" w:hAnsi="標楷體" w:cs="Times New Roman"/>
          <w:color w:val="000000" w:themeColor="text1"/>
          <w:sz w:val="24"/>
          <w:szCs w:val="24"/>
        </w:rPr>
        <w:t>，於第</w:t>
      </w:r>
      <w:r w:rsidRPr="00E224E9">
        <w:rPr>
          <w:rFonts w:ascii="Book Antiqua" w:eastAsia="標楷體" w:hAnsi="Book Antiqua" w:cs="Times New Roman"/>
          <w:color w:val="000000" w:themeColor="text1"/>
          <w:sz w:val="24"/>
          <w:szCs w:val="24"/>
        </w:rPr>
        <w:t>3</w:t>
      </w:r>
      <w:r w:rsidRPr="00E224E9">
        <w:rPr>
          <w:rFonts w:ascii="Book Antiqua" w:eastAsia="標楷體" w:hAnsi="標楷體" w:cs="Times New Roman"/>
          <w:color w:val="000000" w:themeColor="text1"/>
          <w:sz w:val="24"/>
          <w:szCs w:val="24"/>
        </w:rPr>
        <w:t>欄列示。</w:t>
      </w:r>
    </w:p>
    <w:p w14:paraId="783D5682"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屬催收款項之金額列於第</w:t>
      </w:r>
      <w:r w:rsidRPr="00E224E9">
        <w:rPr>
          <w:rFonts w:ascii="Book Antiqua" w:eastAsia="標楷體" w:hAnsi="Book Antiqua" w:cs="Times New Roman"/>
          <w:color w:val="000000" w:themeColor="text1"/>
          <w:sz w:val="24"/>
          <w:szCs w:val="24"/>
        </w:rPr>
        <w:t>9</w:t>
      </w:r>
      <w:r w:rsidRPr="00E224E9">
        <w:rPr>
          <w:rFonts w:ascii="Book Antiqua" w:eastAsia="標楷體" w:hAnsi="標楷體" w:cs="Times New Roman"/>
          <w:color w:val="000000" w:themeColor="text1"/>
          <w:sz w:val="24"/>
          <w:szCs w:val="24"/>
        </w:rPr>
        <w:t>列</w:t>
      </w:r>
      <w:r w:rsidRPr="00E224E9">
        <w:rPr>
          <w:rFonts w:ascii="Book Antiqua" w:eastAsia="標楷體" w:hAnsi="標楷體"/>
          <w:color w:val="000000" w:themeColor="text1"/>
          <w:sz w:val="24"/>
        </w:rPr>
        <w:t>「</w:t>
      </w:r>
      <w:r w:rsidRPr="00E224E9">
        <w:rPr>
          <w:rFonts w:ascii="Book Antiqua" w:eastAsia="標楷體" w:hAnsi="標楷體" w:cs="Times New Roman"/>
          <w:color w:val="000000" w:themeColor="text1"/>
          <w:sz w:val="24"/>
          <w:szCs w:val="24"/>
        </w:rPr>
        <w:t>應收保費</w:t>
      </w:r>
      <w:r w:rsidRPr="00E224E9">
        <w:rPr>
          <w:rFonts w:ascii="Book Antiqua" w:eastAsia="標楷體" w:hAnsi="Book Antiqua" w:cs="Times New Roman"/>
          <w:color w:val="000000" w:themeColor="text1"/>
          <w:sz w:val="24"/>
          <w:szCs w:val="24"/>
        </w:rPr>
        <w:t>--</w:t>
      </w:r>
      <w:r w:rsidRPr="00E224E9">
        <w:rPr>
          <w:rFonts w:ascii="Book Antiqua" w:eastAsia="標楷體" w:hAnsi="標楷體" w:cs="Times New Roman"/>
          <w:color w:val="000000" w:themeColor="text1"/>
          <w:sz w:val="24"/>
          <w:szCs w:val="24"/>
        </w:rPr>
        <w:t>催收款項</w:t>
      </w:r>
      <w:r w:rsidRPr="00E224E9">
        <w:rPr>
          <w:rFonts w:ascii="Book Antiqua" w:eastAsia="標楷體" w:hAnsi="標楷體"/>
          <w:color w:val="000000" w:themeColor="text1"/>
          <w:sz w:val="24"/>
        </w:rPr>
        <w:t>」</w:t>
      </w:r>
      <w:r w:rsidRPr="00E224E9">
        <w:rPr>
          <w:rFonts w:ascii="Book Antiqua" w:eastAsia="標楷體" w:hAnsi="標楷體" w:cs="Times New Roman"/>
          <w:color w:val="000000" w:themeColor="text1"/>
          <w:sz w:val="24"/>
          <w:szCs w:val="24"/>
        </w:rPr>
        <w:t>項下。</w:t>
      </w:r>
    </w:p>
    <w:p w14:paraId="642CC0EB"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t>第</w:t>
      </w:r>
      <w:r w:rsidRPr="00E224E9">
        <w:rPr>
          <w:rFonts w:ascii="Book Antiqua" w:hAnsi="Book Antiqua"/>
          <w:color w:val="000000" w:themeColor="text1"/>
          <w:sz w:val="24"/>
        </w:rPr>
        <w:t>9</w:t>
      </w:r>
      <w:r w:rsidRPr="00E224E9">
        <w:rPr>
          <w:rFonts w:ascii="Book Antiqua"/>
          <w:color w:val="000000" w:themeColor="text1"/>
          <w:sz w:val="24"/>
        </w:rPr>
        <w:t>列－應收保費</w:t>
      </w:r>
      <w:r w:rsidRPr="00E224E9">
        <w:rPr>
          <w:rFonts w:ascii="Book Antiqua" w:hAnsi="Book Antiqua"/>
          <w:color w:val="000000" w:themeColor="text1"/>
          <w:sz w:val="24"/>
        </w:rPr>
        <w:t>--</w:t>
      </w:r>
      <w:r w:rsidRPr="00E224E9">
        <w:rPr>
          <w:rFonts w:ascii="Book Antiqua"/>
          <w:color w:val="000000" w:themeColor="text1"/>
          <w:sz w:val="24"/>
        </w:rPr>
        <w:t>催收款項</w:t>
      </w:r>
    </w:p>
    <w:p w14:paraId="23F1F5C7"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kern w:val="0"/>
          <w:sz w:val="24"/>
        </w:rPr>
        <w:t>逾期應收債權應</w:t>
      </w:r>
      <w:r w:rsidRPr="00E224E9">
        <w:rPr>
          <w:rFonts w:ascii="Book Antiqua" w:hAnsi="標楷體"/>
          <w:color w:val="000000" w:themeColor="text1"/>
          <w:sz w:val="24"/>
        </w:rPr>
        <w:t>評估其減損或無法收回之金額，提列適當之備抵</w:t>
      </w:r>
      <w:r w:rsidR="00D8014A" w:rsidRPr="00E224E9">
        <w:rPr>
          <w:rFonts w:ascii="Book Antiqua" w:hAnsi="標楷體" w:hint="eastAsia"/>
          <w:color w:val="000000" w:themeColor="text1"/>
          <w:sz w:val="24"/>
        </w:rPr>
        <w:t>損失</w:t>
      </w:r>
      <w:r w:rsidRPr="00E224E9">
        <w:rPr>
          <w:rFonts w:ascii="Book Antiqua" w:hAnsi="標楷體"/>
          <w:color w:val="000000" w:themeColor="text1"/>
          <w:sz w:val="24"/>
        </w:rPr>
        <w:t>，於第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146E972E"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t>第</w:t>
      </w:r>
      <w:r w:rsidRPr="00E224E9">
        <w:rPr>
          <w:rFonts w:ascii="Book Antiqua" w:hAnsi="Book Antiqua"/>
          <w:color w:val="000000" w:themeColor="text1"/>
          <w:sz w:val="24"/>
        </w:rPr>
        <w:t>1</w:t>
      </w:r>
      <w:r w:rsidR="00C32AAC" w:rsidRPr="00E224E9">
        <w:rPr>
          <w:rFonts w:ascii="Book Antiqua" w:hAnsi="Book Antiqua" w:hint="eastAsia"/>
          <w:color w:val="000000" w:themeColor="text1"/>
          <w:sz w:val="24"/>
        </w:rPr>
        <w:t>2</w:t>
      </w:r>
      <w:r w:rsidRPr="00E224E9">
        <w:rPr>
          <w:rFonts w:ascii="Book Antiqua"/>
          <w:color w:val="000000" w:themeColor="text1"/>
          <w:sz w:val="24"/>
        </w:rPr>
        <w:t>列－其他應收款</w:t>
      </w:r>
    </w:p>
    <w:p w14:paraId="71AA88EA"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224E9">
        <w:rPr>
          <w:rFonts w:ascii="Book Antiqua" w:hAnsi="標楷體"/>
          <w:color w:val="000000" w:themeColor="text1"/>
          <w:kern w:val="0"/>
          <w:sz w:val="24"/>
        </w:rPr>
        <w:t>不屬於第</w:t>
      </w:r>
      <w:r w:rsidR="00591892" w:rsidRPr="00E224E9">
        <w:rPr>
          <w:rFonts w:ascii="Book Antiqua" w:hAnsi="Book Antiqua" w:hint="eastAsia"/>
          <w:color w:val="000000" w:themeColor="text1"/>
          <w:kern w:val="0"/>
          <w:sz w:val="24"/>
        </w:rPr>
        <w:t>3</w:t>
      </w:r>
      <w:r w:rsidRPr="00E224E9">
        <w:rPr>
          <w:rFonts w:ascii="Book Antiqua" w:hAnsi="標楷體"/>
          <w:color w:val="000000" w:themeColor="text1"/>
          <w:kern w:val="0"/>
          <w:sz w:val="24"/>
        </w:rPr>
        <w:t>列至第</w:t>
      </w:r>
      <w:r w:rsidRPr="00E224E9">
        <w:rPr>
          <w:rFonts w:ascii="Book Antiqua" w:hAnsi="Book Antiqua"/>
          <w:color w:val="000000" w:themeColor="text1"/>
          <w:kern w:val="0"/>
          <w:sz w:val="24"/>
        </w:rPr>
        <w:t>1</w:t>
      </w:r>
      <w:r w:rsidR="00C32AAC" w:rsidRPr="00E224E9">
        <w:rPr>
          <w:rFonts w:ascii="Book Antiqua" w:hAnsi="Book Antiqua" w:hint="eastAsia"/>
          <w:color w:val="000000" w:themeColor="text1"/>
          <w:kern w:val="0"/>
          <w:sz w:val="24"/>
        </w:rPr>
        <w:t>1</w:t>
      </w:r>
      <w:r w:rsidRPr="00E224E9">
        <w:rPr>
          <w:rFonts w:ascii="Book Antiqua" w:hAnsi="標楷體"/>
          <w:color w:val="000000" w:themeColor="text1"/>
          <w:kern w:val="0"/>
          <w:sz w:val="24"/>
        </w:rPr>
        <w:t>列之其他應收款項。</w:t>
      </w:r>
    </w:p>
    <w:p w14:paraId="3653649B"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決算時應評估其他應收款無法收回之金額，提列適當之備抵</w:t>
      </w:r>
      <w:r w:rsidR="00D8014A" w:rsidRPr="00E224E9">
        <w:rPr>
          <w:rFonts w:ascii="Book Antiqua" w:hAnsi="標楷體" w:hint="eastAsia"/>
          <w:color w:val="000000" w:themeColor="text1"/>
          <w:sz w:val="24"/>
        </w:rPr>
        <w:t>損失</w:t>
      </w:r>
      <w:r w:rsidRPr="00E224E9">
        <w:rPr>
          <w:rFonts w:ascii="Book Antiqua" w:hAnsi="標楷體"/>
          <w:color w:val="000000" w:themeColor="text1"/>
          <w:sz w:val="24"/>
        </w:rPr>
        <w:t>，於第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384761DB"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屬催收款項之金額列於第</w:t>
      </w:r>
      <w:r w:rsidRPr="00E224E9">
        <w:rPr>
          <w:rFonts w:ascii="Book Antiqua" w:hAnsi="Book Antiqua"/>
          <w:color w:val="000000" w:themeColor="text1"/>
          <w:sz w:val="24"/>
        </w:rPr>
        <w:t>1</w:t>
      </w:r>
      <w:r w:rsidR="00C32AAC" w:rsidRPr="00E224E9">
        <w:rPr>
          <w:rFonts w:ascii="Book Antiqua" w:hAnsi="Book Antiqua" w:hint="eastAsia"/>
          <w:color w:val="000000" w:themeColor="text1"/>
          <w:sz w:val="24"/>
        </w:rPr>
        <w:t>3</w:t>
      </w:r>
      <w:r w:rsidRPr="00E224E9">
        <w:rPr>
          <w:rFonts w:ascii="Book Antiqua" w:hAnsi="標楷體"/>
          <w:color w:val="000000" w:themeColor="text1"/>
          <w:sz w:val="24"/>
        </w:rPr>
        <w:t>列「其他應收款</w:t>
      </w:r>
      <w:r w:rsidRPr="00E224E9">
        <w:rPr>
          <w:rFonts w:ascii="Book Antiqua" w:hAnsi="Book Antiqua"/>
          <w:color w:val="000000" w:themeColor="text1"/>
          <w:sz w:val="24"/>
        </w:rPr>
        <w:t>--</w:t>
      </w:r>
      <w:r w:rsidRPr="00E224E9">
        <w:rPr>
          <w:rFonts w:ascii="Book Antiqua" w:hAnsi="標楷體"/>
          <w:color w:val="000000" w:themeColor="text1"/>
          <w:sz w:val="24"/>
        </w:rPr>
        <w:t>催收款項」項下。</w:t>
      </w:r>
    </w:p>
    <w:p w14:paraId="2581D658"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t>第</w:t>
      </w:r>
      <w:r w:rsidRPr="00E224E9">
        <w:rPr>
          <w:rFonts w:ascii="Book Antiqua" w:hAnsi="Book Antiqua"/>
          <w:color w:val="000000" w:themeColor="text1"/>
          <w:sz w:val="24"/>
        </w:rPr>
        <w:t>1</w:t>
      </w:r>
      <w:r w:rsidR="00C32AAC" w:rsidRPr="00E224E9">
        <w:rPr>
          <w:rFonts w:ascii="Book Antiqua" w:hAnsi="Book Antiqua" w:hint="eastAsia"/>
          <w:color w:val="000000" w:themeColor="text1"/>
          <w:sz w:val="24"/>
        </w:rPr>
        <w:t>3</w:t>
      </w:r>
      <w:r w:rsidRPr="00E224E9">
        <w:rPr>
          <w:rFonts w:ascii="Book Antiqua"/>
          <w:color w:val="000000" w:themeColor="text1"/>
          <w:sz w:val="24"/>
        </w:rPr>
        <w:t>列－其他應收款</w:t>
      </w:r>
      <w:r w:rsidRPr="00E224E9">
        <w:rPr>
          <w:rFonts w:ascii="Book Antiqua" w:hAnsi="Book Antiqua"/>
          <w:color w:val="000000" w:themeColor="text1"/>
          <w:sz w:val="24"/>
        </w:rPr>
        <w:t>--</w:t>
      </w:r>
      <w:r w:rsidRPr="00E224E9">
        <w:rPr>
          <w:rFonts w:ascii="Book Antiqua"/>
          <w:color w:val="000000" w:themeColor="text1"/>
          <w:sz w:val="24"/>
        </w:rPr>
        <w:t>催收款項</w:t>
      </w:r>
    </w:p>
    <w:p w14:paraId="0108A1E6" w14:textId="77777777" w:rsidR="00065C53" w:rsidRPr="00E224E9" w:rsidRDefault="00065C53">
      <w:pPr>
        <w:pStyle w:val="4"/>
        <w:spacing w:line="440" w:lineRule="exact"/>
        <w:ind w:leftChars="346" w:left="900" w:firstLine="0"/>
        <w:jc w:val="both"/>
        <w:rPr>
          <w:rFonts w:ascii="Book Antiqua" w:hAnsi="標楷體"/>
          <w:color w:val="000000" w:themeColor="text1"/>
          <w:sz w:val="24"/>
        </w:rPr>
      </w:pPr>
      <w:r w:rsidRPr="00E224E9">
        <w:rPr>
          <w:rFonts w:ascii="Book Antiqua" w:hAnsi="標楷體"/>
          <w:color w:val="000000" w:themeColor="text1"/>
          <w:kern w:val="0"/>
          <w:sz w:val="24"/>
        </w:rPr>
        <w:t>逾期應收債權應</w:t>
      </w:r>
      <w:r w:rsidRPr="00E224E9">
        <w:rPr>
          <w:rFonts w:ascii="Book Antiqua" w:hAnsi="標楷體"/>
          <w:color w:val="000000" w:themeColor="text1"/>
          <w:sz w:val="24"/>
        </w:rPr>
        <w:t>評估其減損或無法收回之金額，提列適當之備抵</w:t>
      </w:r>
      <w:r w:rsidR="00D8014A" w:rsidRPr="00E224E9">
        <w:rPr>
          <w:rFonts w:ascii="Book Antiqua" w:hAnsi="標楷體" w:hint="eastAsia"/>
          <w:color w:val="000000" w:themeColor="text1"/>
          <w:sz w:val="24"/>
        </w:rPr>
        <w:t>損失</w:t>
      </w:r>
      <w:r w:rsidRPr="00E224E9">
        <w:rPr>
          <w:rFonts w:ascii="Book Antiqua" w:hAnsi="標楷體"/>
          <w:color w:val="000000" w:themeColor="text1"/>
          <w:sz w:val="24"/>
        </w:rPr>
        <w:t>，於第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4337A34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32AAC" w:rsidRPr="00E224E9">
        <w:rPr>
          <w:rFonts w:ascii="Book Antiqua" w:hAnsi="Book Antiqua" w:hint="eastAsia"/>
          <w:color w:val="000000" w:themeColor="text1"/>
          <w:sz w:val="24"/>
        </w:rPr>
        <w:t>1</w:t>
      </w:r>
      <w:r w:rsidR="007D5BA1" w:rsidRPr="00E224E9">
        <w:rPr>
          <w:rFonts w:ascii="Book Antiqua" w:hAnsi="Book Antiqua" w:hint="eastAsia"/>
          <w:color w:val="000000" w:themeColor="text1"/>
          <w:sz w:val="24"/>
        </w:rPr>
        <w:t>7</w:t>
      </w:r>
      <w:r w:rsidRPr="00E224E9">
        <w:rPr>
          <w:rFonts w:ascii="Book Antiqua" w:hAnsi="標楷體"/>
          <w:color w:val="000000" w:themeColor="text1"/>
          <w:sz w:val="24"/>
        </w:rPr>
        <w:t>列－</w:t>
      </w:r>
      <w:r w:rsidR="00C32AAC" w:rsidRPr="00E224E9">
        <w:rPr>
          <w:rFonts w:ascii="Book Antiqua" w:hAnsi="標楷體" w:hint="eastAsia"/>
          <w:color w:val="000000" w:themeColor="text1"/>
          <w:sz w:val="24"/>
        </w:rPr>
        <w:t>透過損益按公允價值衡量之金融資產</w:t>
      </w:r>
    </w:p>
    <w:p w14:paraId="4880F4BA" w14:textId="77777777" w:rsidR="00065C53" w:rsidRPr="00E224E9" w:rsidRDefault="00065C53">
      <w:pPr>
        <w:spacing w:line="440" w:lineRule="exact"/>
        <w:ind w:firstLineChars="346" w:firstLine="830"/>
        <w:jc w:val="both"/>
        <w:rPr>
          <w:rFonts w:ascii="Book Antiqua" w:hAnsi="Book Antiqua"/>
          <w:color w:val="000000" w:themeColor="text1"/>
          <w:sz w:val="24"/>
        </w:rPr>
      </w:pPr>
      <w:r w:rsidRPr="00E224E9">
        <w:rPr>
          <w:rFonts w:ascii="Book Antiqua" w:hAnsi="標楷體"/>
          <w:color w:val="000000" w:themeColor="text1"/>
          <w:sz w:val="24"/>
        </w:rPr>
        <w:t>係指具下列條件之一者：</w:t>
      </w:r>
    </w:p>
    <w:p w14:paraId="16395F83" w14:textId="77777777" w:rsidR="00065C53" w:rsidRPr="00E224E9"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r w:rsidRPr="00E224E9">
        <w:rPr>
          <w:rFonts w:ascii="Book Antiqua" w:hAnsi="標楷體" w:hint="eastAsia"/>
          <w:color w:val="000000" w:themeColor="text1"/>
          <w:kern w:val="0"/>
          <w:sz w:val="24"/>
        </w:rPr>
        <w:t>非屬按攤銷後成本衡量或透過其他綜合損益按公允價值衡量之金融資產</w:t>
      </w:r>
      <w:r w:rsidR="00065C53" w:rsidRPr="00E224E9">
        <w:rPr>
          <w:rFonts w:ascii="Book Antiqua" w:hAnsi="標楷體"/>
          <w:color w:val="000000" w:themeColor="text1"/>
          <w:kern w:val="0"/>
          <w:sz w:val="24"/>
        </w:rPr>
        <w:t>。</w:t>
      </w:r>
    </w:p>
    <w:p w14:paraId="3211D332" w14:textId="77777777" w:rsidR="00065C53" w:rsidRPr="00E224E9"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r w:rsidRPr="00E224E9">
        <w:rPr>
          <w:rFonts w:ascii="Book Antiqua" w:hAnsi="標楷體" w:hint="eastAsia"/>
          <w:color w:val="000000" w:themeColor="text1"/>
          <w:kern w:val="0"/>
          <w:sz w:val="24"/>
        </w:rPr>
        <w:t>屬按攤銷後成本衡量或透過其他綜合損益按公允價值衡量之金融資產，為消除或重大減少會計配比不當，可指定為透過損益按公允價值衡量之金融資產</w:t>
      </w:r>
      <w:r w:rsidR="00065C53" w:rsidRPr="00E224E9">
        <w:rPr>
          <w:rFonts w:ascii="Book Antiqua" w:hAnsi="標楷體"/>
          <w:color w:val="000000" w:themeColor="text1"/>
          <w:kern w:val="0"/>
          <w:sz w:val="24"/>
        </w:rPr>
        <w:t>。</w:t>
      </w:r>
    </w:p>
    <w:p w14:paraId="70DFFE40" w14:textId="77777777" w:rsidR="00065C53" w:rsidRPr="00E224E9" w:rsidRDefault="005D7451" w:rsidP="00F3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224E9">
        <w:rPr>
          <w:rFonts w:ascii="Book Antiqua" w:hAnsi="標楷體" w:hint="eastAsia"/>
          <w:color w:val="000000" w:themeColor="text1"/>
          <w:kern w:val="0"/>
          <w:sz w:val="24"/>
        </w:rPr>
        <w:t>透過損益按公允價值衡量</w:t>
      </w:r>
      <w:r w:rsidR="00065C53" w:rsidRPr="00E224E9">
        <w:rPr>
          <w:rFonts w:ascii="Book Antiqua" w:hAnsi="標楷體"/>
          <w:color w:val="000000" w:themeColor="text1"/>
          <w:kern w:val="0"/>
          <w:sz w:val="24"/>
        </w:rPr>
        <w:t>之金融資產應按</w:t>
      </w:r>
      <w:r w:rsidRPr="00E224E9">
        <w:rPr>
          <w:rFonts w:ascii="Book Antiqua" w:hAnsi="標楷體" w:hint="eastAsia"/>
          <w:color w:val="000000" w:themeColor="text1"/>
          <w:kern w:val="0"/>
          <w:sz w:val="24"/>
        </w:rPr>
        <w:t>公允</w:t>
      </w:r>
      <w:r w:rsidR="00065C53" w:rsidRPr="00E224E9">
        <w:rPr>
          <w:rFonts w:ascii="Book Antiqua" w:hAnsi="標楷體"/>
          <w:color w:val="000000" w:themeColor="text1"/>
          <w:kern w:val="0"/>
          <w:sz w:val="24"/>
        </w:rPr>
        <w:t>價值衡量，並將評價調整金額列於第</w:t>
      </w:r>
      <w:r w:rsidR="00065C53" w:rsidRPr="00E224E9">
        <w:rPr>
          <w:rFonts w:ascii="Book Antiqua" w:hAnsi="Book Antiqua"/>
          <w:color w:val="000000" w:themeColor="text1"/>
          <w:kern w:val="0"/>
          <w:sz w:val="24"/>
        </w:rPr>
        <w:t>3</w:t>
      </w:r>
      <w:r w:rsidR="00065C53" w:rsidRPr="00E224E9">
        <w:rPr>
          <w:rFonts w:ascii="Book Antiqua" w:hAnsi="標楷體"/>
          <w:color w:val="000000" w:themeColor="text1"/>
          <w:kern w:val="0"/>
          <w:sz w:val="24"/>
        </w:rPr>
        <w:t>欄。股票及存託憑證於證券交易所上市或於財團法人中華民國證券櫃檯買賣中心</w:t>
      </w:r>
      <w:r w:rsidR="00065C53" w:rsidRPr="00E224E9">
        <w:rPr>
          <w:rFonts w:ascii="Book Antiqua" w:hAnsi="Book Antiqua"/>
          <w:color w:val="000000" w:themeColor="text1"/>
          <w:kern w:val="0"/>
          <w:sz w:val="24"/>
        </w:rPr>
        <w:t xml:space="preserve"> (</w:t>
      </w:r>
      <w:r w:rsidR="00065C53" w:rsidRPr="00E224E9">
        <w:rPr>
          <w:rFonts w:ascii="Book Antiqua" w:hAnsi="標楷體"/>
          <w:color w:val="000000" w:themeColor="text1"/>
          <w:kern w:val="0"/>
          <w:sz w:val="24"/>
        </w:rPr>
        <w:t>以下簡稱櫃買中心</w:t>
      </w:r>
      <w:r w:rsidR="00065C53" w:rsidRPr="00E224E9">
        <w:rPr>
          <w:rFonts w:ascii="Book Antiqua" w:hAnsi="Book Antiqua"/>
          <w:color w:val="000000" w:themeColor="text1"/>
          <w:kern w:val="0"/>
          <w:sz w:val="24"/>
        </w:rPr>
        <w:t xml:space="preserve">) </w:t>
      </w:r>
      <w:r w:rsidR="00065C53" w:rsidRPr="00E224E9">
        <w:rPr>
          <w:rFonts w:ascii="Book Antiqua" w:hAnsi="標楷體"/>
          <w:color w:val="000000" w:themeColor="text1"/>
          <w:kern w:val="0"/>
          <w:sz w:val="24"/>
        </w:rPr>
        <w:t>櫃檯買賣之</w:t>
      </w:r>
      <w:r w:rsidRPr="00E224E9">
        <w:rPr>
          <w:rFonts w:ascii="Book Antiqua" w:hAnsi="標楷體" w:hint="eastAsia"/>
          <w:color w:val="000000" w:themeColor="text1"/>
          <w:kern w:val="0"/>
          <w:sz w:val="24"/>
        </w:rPr>
        <w:t>公允</w:t>
      </w:r>
      <w:r w:rsidRPr="00E224E9">
        <w:rPr>
          <w:rFonts w:ascii="Book Antiqua" w:hAnsi="標楷體"/>
          <w:color w:val="000000" w:themeColor="text1"/>
          <w:kern w:val="0"/>
          <w:sz w:val="24"/>
        </w:rPr>
        <w:t>價值</w:t>
      </w:r>
      <w:r w:rsidR="00065C53" w:rsidRPr="00E224E9">
        <w:rPr>
          <w:rFonts w:ascii="Book Antiqua" w:hAnsi="標楷體"/>
          <w:color w:val="000000" w:themeColor="text1"/>
          <w:kern w:val="0"/>
          <w:sz w:val="24"/>
        </w:rPr>
        <w:t>係指資產負債表日之收盤價。開放型基金之</w:t>
      </w:r>
      <w:r w:rsidRPr="00E224E9">
        <w:rPr>
          <w:rFonts w:ascii="Book Antiqua" w:hAnsi="標楷體" w:hint="eastAsia"/>
          <w:color w:val="000000" w:themeColor="text1"/>
          <w:kern w:val="0"/>
          <w:sz w:val="24"/>
        </w:rPr>
        <w:t>公允</w:t>
      </w:r>
      <w:r w:rsidRPr="00E224E9">
        <w:rPr>
          <w:rFonts w:ascii="Book Antiqua" w:hAnsi="標楷體"/>
          <w:color w:val="000000" w:themeColor="text1"/>
          <w:kern w:val="0"/>
          <w:sz w:val="24"/>
        </w:rPr>
        <w:t>價值</w:t>
      </w:r>
      <w:r w:rsidR="00065C53" w:rsidRPr="00E224E9">
        <w:rPr>
          <w:rFonts w:ascii="Book Antiqua" w:hAnsi="標楷體"/>
          <w:color w:val="000000" w:themeColor="text1"/>
          <w:kern w:val="0"/>
          <w:sz w:val="24"/>
        </w:rPr>
        <w:t>係指資產負債表日該基金淨資產價值。所稱櫃買中心櫃檯買賣之股票不含依櫃買中心證券商營業處所買賣興櫃股票審查準則第五條規定核准在證券商營業處所買賣之公開發行公司股票</w:t>
      </w:r>
      <w:r w:rsidR="00065C53" w:rsidRPr="00E224E9">
        <w:rPr>
          <w:rFonts w:ascii="Book Antiqua" w:hAnsi="Book Antiqua"/>
          <w:color w:val="000000" w:themeColor="text1"/>
          <w:kern w:val="0"/>
          <w:sz w:val="24"/>
        </w:rPr>
        <w:t xml:space="preserve"> (</w:t>
      </w:r>
      <w:r w:rsidR="00065C53" w:rsidRPr="00E224E9">
        <w:rPr>
          <w:rFonts w:ascii="Book Antiqua" w:hAnsi="標楷體"/>
          <w:color w:val="000000" w:themeColor="text1"/>
          <w:kern w:val="0"/>
          <w:sz w:val="24"/>
        </w:rPr>
        <w:t>以下簡稱興櫃股票</w:t>
      </w:r>
      <w:r w:rsidR="00065C53" w:rsidRPr="00E224E9">
        <w:rPr>
          <w:rFonts w:ascii="Book Antiqua" w:hAnsi="Book Antiqua"/>
          <w:color w:val="000000" w:themeColor="text1"/>
          <w:kern w:val="0"/>
          <w:sz w:val="24"/>
        </w:rPr>
        <w:t>)</w:t>
      </w:r>
      <w:r w:rsidR="00065C53" w:rsidRPr="00E224E9">
        <w:rPr>
          <w:rFonts w:ascii="Book Antiqua" w:hAnsi="標楷體"/>
          <w:color w:val="000000" w:themeColor="text1"/>
          <w:kern w:val="0"/>
          <w:sz w:val="24"/>
        </w:rPr>
        <w:t>。</w:t>
      </w:r>
    </w:p>
    <w:p w14:paraId="5C29DC54"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224E9">
        <w:rPr>
          <w:rFonts w:ascii="Book Antiqua" w:hAnsi="標楷體"/>
          <w:color w:val="000000" w:themeColor="text1"/>
          <w:sz w:val="24"/>
        </w:rPr>
        <w:t>本列</w:t>
      </w:r>
      <w:r w:rsidR="005D7451" w:rsidRPr="00E224E9">
        <w:rPr>
          <w:rFonts w:ascii="Book Antiqua" w:hAnsi="標楷體" w:hint="eastAsia"/>
          <w:color w:val="000000" w:themeColor="text1"/>
          <w:kern w:val="0"/>
          <w:sz w:val="24"/>
        </w:rPr>
        <w:t>透過損益按公允價值衡量</w:t>
      </w:r>
      <w:r w:rsidRPr="00E224E9">
        <w:rPr>
          <w:rFonts w:ascii="Book Antiqua" w:hAnsi="標楷體"/>
          <w:color w:val="000000" w:themeColor="text1"/>
          <w:sz w:val="24"/>
        </w:rPr>
        <w:t>之金融資產金額為第</w:t>
      </w:r>
      <w:r w:rsidR="005D7451" w:rsidRPr="00E224E9">
        <w:rPr>
          <w:rFonts w:ascii="Book Antiqua" w:hAnsi="Book Antiqua" w:hint="eastAsia"/>
          <w:color w:val="000000" w:themeColor="text1"/>
          <w:sz w:val="24"/>
        </w:rPr>
        <w:t>1</w:t>
      </w:r>
      <w:r w:rsidR="00EC0BDD" w:rsidRPr="00E224E9">
        <w:rPr>
          <w:rFonts w:ascii="Book Antiqua" w:hAnsi="Book Antiqua" w:hint="eastAsia"/>
          <w:color w:val="000000" w:themeColor="text1"/>
          <w:sz w:val="24"/>
        </w:rPr>
        <w:t>8</w:t>
      </w:r>
      <w:r w:rsidRPr="00E224E9">
        <w:rPr>
          <w:rFonts w:ascii="Book Antiqua" w:hAnsi="標楷體"/>
          <w:color w:val="000000" w:themeColor="text1"/>
          <w:sz w:val="24"/>
        </w:rPr>
        <w:t>列至第</w:t>
      </w:r>
      <w:r w:rsidR="005D7451" w:rsidRPr="00E224E9">
        <w:rPr>
          <w:rFonts w:ascii="Book Antiqua" w:hAnsi="Book Antiqua" w:hint="eastAsia"/>
          <w:color w:val="000000" w:themeColor="text1"/>
          <w:sz w:val="24"/>
        </w:rPr>
        <w:t>2</w:t>
      </w:r>
      <w:r w:rsidR="00EC0BDD" w:rsidRPr="00E224E9">
        <w:rPr>
          <w:rFonts w:ascii="Book Antiqua" w:hAnsi="Book Antiqua" w:hint="eastAsia"/>
          <w:color w:val="000000" w:themeColor="text1"/>
          <w:sz w:val="24"/>
        </w:rPr>
        <w:t>7</w:t>
      </w:r>
      <w:r w:rsidRPr="00E224E9">
        <w:rPr>
          <w:rFonts w:ascii="Book Antiqua" w:hAnsi="標楷體"/>
          <w:color w:val="000000" w:themeColor="text1"/>
          <w:sz w:val="24"/>
        </w:rPr>
        <w:t>列各投資項目加總之和。</w:t>
      </w:r>
    </w:p>
    <w:p w14:paraId="4CF65EC0"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1</w:t>
      </w:r>
      <w:r w:rsidR="007D5BA1" w:rsidRPr="00E224E9">
        <w:rPr>
          <w:rFonts w:ascii="Book Antiqua" w:hAnsi="Book Antiqua" w:hint="eastAsia"/>
          <w:color w:val="000000" w:themeColor="text1"/>
          <w:sz w:val="24"/>
        </w:rPr>
        <w:t>8</w:t>
      </w:r>
      <w:r w:rsidRPr="00E224E9">
        <w:rPr>
          <w:rFonts w:ascii="Book Antiqua" w:hAnsi="標楷體"/>
          <w:color w:val="000000" w:themeColor="text1"/>
          <w:sz w:val="24"/>
        </w:rPr>
        <w:t>列－公債、庫券、儲蓄券</w:t>
      </w:r>
    </w:p>
    <w:p w14:paraId="229DDC98"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條之ㄧ第一項第一款規定所為之投資。</w:t>
      </w:r>
    </w:p>
    <w:p w14:paraId="1D247BD4"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1</w:t>
      </w:r>
      <w:r w:rsidR="007D5BA1" w:rsidRPr="00E224E9">
        <w:rPr>
          <w:rFonts w:ascii="Book Antiqua" w:hAnsi="Book Antiqua" w:hint="eastAsia"/>
          <w:color w:val="000000" w:themeColor="text1"/>
          <w:sz w:val="24"/>
        </w:rPr>
        <w:t>9</w:t>
      </w:r>
      <w:r w:rsidRPr="00E224E9">
        <w:rPr>
          <w:rFonts w:ascii="Book Antiqua" w:hAnsi="標楷體"/>
          <w:color w:val="000000" w:themeColor="text1"/>
          <w:sz w:val="24"/>
        </w:rPr>
        <w:t>列－金融債券及其他經主管機關核准購買之有價證券</w:t>
      </w:r>
    </w:p>
    <w:p w14:paraId="1BAF27DE"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lastRenderedPageBreak/>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條之ㄧ第一項第二款及第六款規定所為之投資，包括金融債券、可轉讓定期存單、銀行承兌匯票、金融機構保證商業本票、附買回條件之債券投資、不動產受益證券、金融資產受益證券、</w:t>
      </w:r>
      <w:r w:rsidRPr="00E224E9">
        <w:rPr>
          <w:rFonts w:ascii="Book Antiqua" w:hAnsi="Book Antiqua"/>
          <w:color w:val="000000" w:themeColor="text1"/>
          <w:sz w:val="24"/>
        </w:rPr>
        <w:t>ETF</w:t>
      </w:r>
      <w:r w:rsidRPr="00E224E9">
        <w:rPr>
          <w:rFonts w:ascii="Book Antiqua" w:hAnsi="標楷體"/>
          <w:color w:val="000000" w:themeColor="text1"/>
          <w:sz w:val="24"/>
        </w:rPr>
        <w:t>，及其他經主管機關核准購買之有價證券等。</w:t>
      </w:r>
    </w:p>
    <w:p w14:paraId="29993DCD"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D5BA1" w:rsidRPr="00E224E9">
        <w:rPr>
          <w:rFonts w:ascii="Book Antiqua" w:hAnsi="Book Antiqua" w:hint="eastAsia"/>
          <w:color w:val="000000" w:themeColor="text1"/>
          <w:sz w:val="24"/>
        </w:rPr>
        <w:t>20</w:t>
      </w:r>
      <w:r w:rsidRPr="00E224E9">
        <w:rPr>
          <w:rFonts w:ascii="Book Antiqua" w:hAnsi="標楷體"/>
          <w:color w:val="000000" w:themeColor="text1"/>
          <w:sz w:val="24"/>
        </w:rPr>
        <w:t>列－公司股票</w:t>
      </w:r>
    </w:p>
    <w:p w14:paraId="76E4A641"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條之ㄧ第一項第三款規定所為之投資，且依</w:t>
      </w:r>
      <w:r w:rsidR="005D7451" w:rsidRPr="00E224E9">
        <w:rPr>
          <w:rFonts w:ascii="Book Antiqua" w:hAnsi="標楷體" w:hint="eastAsia"/>
          <w:color w:val="000000" w:themeColor="text1"/>
          <w:sz w:val="24"/>
        </w:rPr>
        <w:t>國際</w:t>
      </w:r>
      <w:r w:rsidR="007429B3" w:rsidRPr="00E224E9">
        <w:rPr>
          <w:rFonts w:ascii="Book Antiqua" w:hAnsi="標楷體" w:hint="eastAsia"/>
          <w:color w:val="000000" w:themeColor="text1"/>
          <w:sz w:val="24"/>
        </w:rPr>
        <w:t>財務報導</w:t>
      </w:r>
      <w:r w:rsidR="005D7451" w:rsidRPr="00E224E9">
        <w:rPr>
          <w:rFonts w:ascii="Book Antiqua" w:hAnsi="標楷體" w:hint="eastAsia"/>
          <w:color w:val="000000" w:themeColor="text1"/>
          <w:sz w:val="24"/>
        </w:rPr>
        <w:t>準則</w:t>
      </w:r>
      <w:r w:rsidR="005D7451"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9</w:t>
      </w:r>
      <w:r w:rsidR="005D7451" w:rsidRPr="00E224E9">
        <w:rPr>
          <w:rFonts w:ascii="Book Antiqua" w:hAnsi="標楷體"/>
          <w:color w:val="000000" w:themeColor="text1"/>
          <w:sz w:val="24"/>
        </w:rPr>
        <w:t>號</w:t>
      </w:r>
      <w:r w:rsidRPr="00E224E9">
        <w:rPr>
          <w:rFonts w:ascii="Book Antiqua" w:hAnsi="標楷體"/>
          <w:color w:val="000000" w:themeColor="text1"/>
          <w:sz w:val="24"/>
        </w:rPr>
        <w:t>有關規定分類為</w:t>
      </w:r>
      <w:r w:rsidR="005D7451" w:rsidRPr="00E224E9">
        <w:rPr>
          <w:rFonts w:ascii="Book Antiqua" w:hAnsi="標楷體" w:hint="eastAsia"/>
          <w:color w:val="000000" w:themeColor="text1"/>
          <w:kern w:val="0"/>
          <w:sz w:val="24"/>
        </w:rPr>
        <w:t>透過損益按公允價值衡量</w:t>
      </w:r>
      <w:r w:rsidRPr="00E224E9">
        <w:rPr>
          <w:rFonts w:ascii="Book Antiqua" w:hAnsi="標楷體"/>
          <w:color w:val="000000" w:themeColor="text1"/>
          <w:sz w:val="24"/>
        </w:rPr>
        <w:t>。本列第</w:t>
      </w:r>
      <w:r w:rsidRPr="00E224E9">
        <w:rPr>
          <w:rFonts w:ascii="Book Antiqua" w:hAnsi="Book Antiqua"/>
          <w:color w:val="000000" w:themeColor="text1"/>
          <w:sz w:val="24"/>
        </w:rPr>
        <w:t>(1)</w:t>
      </w:r>
      <w:r w:rsidRPr="00E224E9">
        <w:rPr>
          <w:rFonts w:ascii="Book Antiqua" w:hAnsi="標楷體"/>
          <w:color w:val="000000" w:themeColor="text1"/>
          <w:sz w:val="24"/>
        </w:rPr>
        <w:t>欄括號內註記之評價調整數係指本列所列之金融資產依</w:t>
      </w:r>
      <w:r w:rsidR="005D7451" w:rsidRPr="00E224E9">
        <w:rPr>
          <w:rFonts w:ascii="Book Antiqua" w:hAnsi="標楷體" w:hint="eastAsia"/>
          <w:color w:val="000000" w:themeColor="text1"/>
          <w:sz w:val="24"/>
        </w:rPr>
        <w:t>國際</w:t>
      </w:r>
      <w:r w:rsidR="00A60254" w:rsidRPr="00E224E9">
        <w:rPr>
          <w:rFonts w:ascii="Book Antiqua" w:hAnsi="標楷體" w:hint="eastAsia"/>
          <w:color w:val="000000" w:themeColor="text1"/>
          <w:sz w:val="24"/>
        </w:rPr>
        <w:t>財務報導</w:t>
      </w:r>
      <w:r w:rsidR="005D7451" w:rsidRPr="00E224E9">
        <w:rPr>
          <w:rFonts w:ascii="Book Antiqua" w:hAnsi="標楷體" w:hint="eastAsia"/>
          <w:color w:val="000000" w:themeColor="text1"/>
          <w:sz w:val="24"/>
        </w:rPr>
        <w:t>準則</w:t>
      </w:r>
      <w:r w:rsidR="005D7451"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9</w:t>
      </w:r>
      <w:r w:rsidR="005D7451" w:rsidRPr="00E224E9">
        <w:rPr>
          <w:rFonts w:ascii="Book Antiqua" w:hAnsi="標楷體"/>
          <w:color w:val="000000" w:themeColor="text1"/>
          <w:sz w:val="24"/>
        </w:rPr>
        <w:t>號</w:t>
      </w:r>
      <w:r w:rsidRPr="00E224E9">
        <w:rPr>
          <w:rFonts w:ascii="Book Antiqua" w:hAnsi="標楷體"/>
          <w:color w:val="000000" w:themeColor="text1"/>
          <w:sz w:val="24"/>
        </w:rPr>
        <w:t>以</w:t>
      </w:r>
      <w:r w:rsidR="005D7451" w:rsidRPr="00E224E9">
        <w:rPr>
          <w:rFonts w:ascii="Book Antiqua" w:hAnsi="標楷體"/>
          <w:color w:val="000000" w:themeColor="text1"/>
          <w:sz w:val="24"/>
        </w:rPr>
        <w:t>公允價值</w:t>
      </w:r>
      <w:r w:rsidRPr="00E224E9">
        <w:rPr>
          <w:rFonts w:ascii="Book Antiqua" w:hAnsi="標楷體"/>
          <w:color w:val="000000" w:themeColor="text1"/>
          <w:sz w:val="24"/>
        </w:rPr>
        <w:t>衡量所產生之評價調整數。</w:t>
      </w:r>
    </w:p>
    <w:p w14:paraId="3CCB0213"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2</w:t>
      </w:r>
      <w:r w:rsidR="007D5BA1" w:rsidRPr="00E224E9">
        <w:rPr>
          <w:rFonts w:ascii="Book Antiqua" w:hAnsi="Book Antiqua" w:hint="eastAsia"/>
          <w:color w:val="000000" w:themeColor="text1"/>
          <w:sz w:val="24"/>
        </w:rPr>
        <w:t>1</w:t>
      </w:r>
      <w:r w:rsidRPr="00E224E9">
        <w:rPr>
          <w:rFonts w:ascii="Book Antiqua" w:hAnsi="標楷體"/>
          <w:color w:val="000000" w:themeColor="text1"/>
          <w:sz w:val="24"/>
        </w:rPr>
        <w:t>列－公司債</w:t>
      </w:r>
    </w:p>
    <w:p w14:paraId="531B737C"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條之ㄧ第一項第四款規定所為之投資。</w:t>
      </w:r>
    </w:p>
    <w:p w14:paraId="5F2A3B0E"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2</w:t>
      </w:r>
      <w:r w:rsidR="007D5BA1" w:rsidRPr="00E224E9">
        <w:rPr>
          <w:rFonts w:ascii="Book Antiqua" w:hAnsi="Book Antiqua" w:hint="eastAsia"/>
          <w:color w:val="000000" w:themeColor="text1"/>
          <w:sz w:val="24"/>
        </w:rPr>
        <w:t>2</w:t>
      </w:r>
      <w:r w:rsidRPr="00E224E9">
        <w:rPr>
          <w:rFonts w:ascii="Book Antiqua" w:hAnsi="標楷體"/>
          <w:color w:val="000000" w:themeColor="text1"/>
          <w:sz w:val="24"/>
        </w:rPr>
        <w:t>列－受益憑證</w:t>
      </w:r>
    </w:p>
    <w:p w14:paraId="72286E36"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條之ㄧ第一項第五款規定所為之投資。</w:t>
      </w:r>
    </w:p>
    <w:p w14:paraId="1418FD90"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2</w:t>
      </w:r>
      <w:r w:rsidR="007D5BA1" w:rsidRPr="00E224E9">
        <w:rPr>
          <w:rFonts w:ascii="Book Antiqua" w:hAnsi="Book Antiqua" w:hint="eastAsia"/>
          <w:color w:val="000000" w:themeColor="text1"/>
          <w:sz w:val="24"/>
        </w:rPr>
        <w:t>3</w:t>
      </w:r>
      <w:r w:rsidRPr="00E224E9">
        <w:rPr>
          <w:rFonts w:ascii="Book Antiqua" w:hAnsi="標楷體"/>
          <w:color w:val="000000" w:themeColor="text1"/>
          <w:sz w:val="24"/>
        </w:rPr>
        <w:t>列－抵繳存出保證金</w:t>
      </w:r>
    </w:p>
    <w:p w14:paraId="1DC43F2D"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224E9">
        <w:rPr>
          <w:rFonts w:ascii="Book Antiqua" w:hAnsi="標楷體"/>
          <w:color w:val="000000" w:themeColor="text1"/>
          <w:kern w:val="0"/>
          <w:sz w:val="24"/>
        </w:rPr>
        <w:t>有價證券投資若有存出作為抵繳保證金情事者，應自原投資所屬之</w:t>
      </w:r>
      <w:r w:rsidR="00175969" w:rsidRPr="00E224E9">
        <w:rPr>
          <w:rFonts w:ascii="Book Antiqua" w:hAnsi="標楷體" w:hint="eastAsia"/>
          <w:color w:val="000000" w:themeColor="text1"/>
          <w:kern w:val="0"/>
          <w:sz w:val="24"/>
        </w:rPr>
        <w:t>項</w:t>
      </w:r>
      <w:r w:rsidRPr="00E224E9">
        <w:rPr>
          <w:rFonts w:ascii="Book Antiqua" w:hAnsi="標楷體"/>
          <w:color w:val="000000" w:themeColor="text1"/>
          <w:kern w:val="0"/>
          <w:sz w:val="24"/>
        </w:rPr>
        <w:t>目項下減除，列為存出保證金</w:t>
      </w:r>
      <w:r w:rsidR="00175969" w:rsidRPr="00E224E9">
        <w:rPr>
          <w:rFonts w:ascii="Book Antiqua" w:hAnsi="標楷體" w:hint="eastAsia"/>
          <w:color w:val="000000" w:themeColor="text1"/>
          <w:kern w:val="0"/>
          <w:sz w:val="24"/>
        </w:rPr>
        <w:t>項</w:t>
      </w:r>
      <w:r w:rsidRPr="00E224E9">
        <w:rPr>
          <w:rFonts w:ascii="Book Antiqua" w:hAnsi="標楷體"/>
          <w:color w:val="000000" w:themeColor="text1"/>
          <w:kern w:val="0"/>
          <w:sz w:val="24"/>
        </w:rPr>
        <w:t>目。</w:t>
      </w:r>
    </w:p>
    <w:p w14:paraId="0CB86E3A"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2</w:t>
      </w:r>
      <w:r w:rsidR="007D5BA1" w:rsidRPr="00E224E9">
        <w:rPr>
          <w:rFonts w:ascii="Book Antiqua" w:hAnsi="Book Antiqua" w:hint="eastAsia"/>
          <w:color w:val="000000" w:themeColor="text1"/>
          <w:sz w:val="24"/>
        </w:rPr>
        <w:t>4</w:t>
      </w:r>
      <w:r w:rsidRPr="00E224E9">
        <w:rPr>
          <w:rFonts w:ascii="Book Antiqua" w:hAnsi="標楷體"/>
          <w:color w:val="000000" w:themeColor="text1"/>
          <w:sz w:val="24"/>
        </w:rPr>
        <w:t>列－國外投資</w:t>
      </w:r>
    </w:p>
    <w:p w14:paraId="1A69687C"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條之四規定所為之投資，且依</w:t>
      </w:r>
      <w:r w:rsidR="005D7451" w:rsidRPr="00E224E9">
        <w:rPr>
          <w:rFonts w:ascii="Book Antiqua" w:hAnsi="標楷體" w:hint="eastAsia"/>
          <w:color w:val="000000" w:themeColor="text1"/>
          <w:sz w:val="24"/>
        </w:rPr>
        <w:t>國際</w:t>
      </w:r>
      <w:r w:rsidR="004A0124" w:rsidRPr="00E224E9">
        <w:rPr>
          <w:rFonts w:ascii="Book Antiqua" w:hAnsi="標楷體" w:hint="eastAsia"/>
          <w:color w:val="000000" w:themeColor="text1"/>
          <w:sz w:val="24"/>
        </w:rPr>
        <w:t>財務報導</w:t>
      </w:r>
      <w:r w:rsidR="005D7451" w:rsidRPr="00E224E9">
        <w:rPr>
          <w:rFonts w:ascii="Book Antiqua" w:hAnsi="標楷體" w:hint="eastAsia"/>
          <w:color w:val="000000" w:themeColor="text1"/>
          <w:sz w:val="24"/>
        </w:rPr>
        <w:t>準則</w:t>
      </w:r>
      <w:r w:rsidR="005D7451"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9</w:t>
      </w:r>
      <w:r w:rsidR="005D7451" w:rsidRPr="00E224E9">
        <w:rPr>
          <w:rFonts w:ascii="Book Antiqua" w:hAnsi="標楷體"/>
          <w:color w:val="000000" w:themeColor="text1"/>
          <w:sz w:val="24"/>
        </w:rPr>
        <w:t>號</w:t>
      </w:r>
      <w:r w:rsidRPr="00E224E9">
        <w:rPr>
          <w:rFonts w:ascii="Book Antiqua" w:hAnsi="標楷體"/>
          <w:color w:val="000000" w:themeColor="text1"/>
          <w:sz w:val="24"/>
        </w:rPr>
        <w:t>有關規定分類為</w:t>
      </w:r>
      <w:r w:rsidR="004A0124" w:rsidRPr="00E224E9">
        <w:rPr>
          <w:rFonts w:ascii="Book Antiqua" w:hAnsi="標楷體" w:hint="eastAsia"/>
          <w:color w:val="000000" w:themeColor="text1"/>
          <w:sz w:val="24"/>
        </w:rPr>
        <w:t>透過損益按</w:t>
      </w:r>
      <w:r w:rsidR="005D7451" w:rsidRPr="00E224E9">
        <w:rPr>
          <w:rFonts w:ascii="Book Antiqua" w:hAnsi="標楷體"/>
          <w:color w:val="000000" w:themeColor="text1"/>
          <w:sz w:val="24"/>
        </w:rPr>
        <w:t>公允價值</w:t>
      </w:r>
      <w:r w:rsidR="004A0124" w:rsidRPr="00E224E9">
        <w:rPr>
          <w:rFonts w:ascii="Book Antiqua" w:hAnsi="標楷體" w:hint="eastAsia"/>
          <w:color w:val="000000" w:themeColor="text1"/>
          <w:sz w:val="24"/>
        </w:rPr>
        <w:t>衡量</w:t>
      </w:r>
      <w:r w:rsidRPr="00E224E9">
        <w:rPr>
          <w:rFonts w:ascii="Book Antiqua" w:hAnsi="標楷體"/>
          <w:color w:val="000000" w:themeColor="text1"/>
          <w:sz w:val="24"/>
        </w:rPr>
        <w:t>之金融資產。本列第</w:t>
      </w:r>
      <w:r w:rsidRPr="00E224E9">
        <w:rPr>
          <w:rFonts w:ascii="Book Antiqua" w:hAnsi="Book Antiqua"/>
          <w:color w:val="000000" w:themeColor="text1"/>
          <w:sz w:val="24"/>
        </w:rPr>
        <w:t>(1)</w:t>
      </w:r>
      <w:r w:rsidRPr="00E224E9">
        <w:rPr>
          <w:rFonts w:ascii="Book Antiqua" w:hAnsi="標楷體"/>
          <w:color w:val="000000" w:themeColor="text1"/>
          <w:sz w:val="24"/>
        </w:rPr>
        <w:t>欄括號內註記之「屬股票部分之評價調整」係指本列所列之金融資產中屬股票投資部分，依</w:t>
      </w:r>
      <w:r w:rsidR="005D7451" w:rsidRPr="00E224E9">
        <w:rPr>
          <w:rFonts w:ascii="Book Antiqua" w:hAnsi="標楷體" w:hint="eastAsia"/>
          <w:color w:val="000000" w:themeColor="text1"/>
          <w:sz w:val="24"/>
        </w:rPr>
        <w:t>國際</w:t>
      </w:r>
      <w:r w:rsidR="004A0124" w:rsidRPr="00E224E9">
        <w:rPr>
          <w:rFonts w:ascii="Book Antiqua" w:hAnsi="標楷體" w:hint="eastAsia"/>
          <w:color w:val="000000" w:themeColor="text1"/>
          <w:sz w:val="24"/>
        </w:rPr>
        <w:t>財務報導</w:t>
      </w:r>
      <w:r w:rsidR="005D7451" w:rsidRPr="00E224E9">
        <w:rPr>
          <w:rFonts w:ascii="Book Antiqua" w:hAnsi="標楷體" w:hint="eastAsia"/>
          <w:color w:val="000000" w:themeColor="text1"/>
          <w:sz w:val="24"/>
        </w:rPr>
        <w:t>準則</w:t>
      </w:r>
      <w:r w:rsidR="005D7451"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9</w:t>
      </w:r>
      <w:r w:rsidR="005D7451" w:rsidRPr="00E224E9">
        <w:rPr>
          <w:rFonts w:ascii="Book Antiqua" w:hAnsi="標楷體"/>
          <w:color w:val="000000" w:themeColor="text1"/>
          <w:sz w:val="24"/>
        </w:rPr>
        <w:t>號</w:t>
      </w:r>
      <w:r w:rsidRPr="00E224E9">
        <w:rPr>
          <w:rFonts w:ascii="Book Antiqua" w:hAnsi="標楷體"/>
          <w:color w:val="000000" w:themeColor="text1"/>
          <w:sz w:val="24"/>
        </w:rPr>
        <w:t>以</w:t>
      </w:r>
      <w:r w:rsidR="005D7451" w:rsidRPr="00E224E9">
        <w:rPr>
          <w:rFonts w:ascii="Book Antiqua" w:hAnsi="標楷體"/>
          <w:color w:val="000000" w:themeColor="text1"/>
          <w:sz w:val="24"/>
        </w:rPr>
        <w:t>公允價值</w:t>
      </w:r>
      <w:r w:rsidRPr="00E224E9">
        <w:rPr>
          <w:rFonts w:ascii="Book Antiqua" w:hAnsi="標楷體"/>
          <w:color w:val="000000" w:themeColor="text1"/>
          <w:sz w:val="24"/>
        </w:rPr>
        <w:t>衡量所產生之評價調整數。</w:t>
      </w:r>
    </w:p>
    <w:p w14:paraId="58DA267A"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2</w:t>
      </w:r>
      <w:r w:rsidR="007D5BA1" w:rsidRPr="00E224E9">
        <w:rPr>
          <w:rFonts w:ascii="Book Antiqua" w:hAnsi="Book Antiqua" w:hint="eastAsia"/>
          <w:color w:val="000000" w:themeColor="text1"/>
          <w:sz w:val="24"/>
        </w:rPr>
        <w:t>8</w:t>
      </w:r>
      <w:r w:rsidRPr="00E224E9">
        <w:rPr>
          <w:rFonts w:ascii="Book Antiqua" w:hAnsi="標楷體"/>
          <w:color w:val="000000" w:themeColor="text1"/>
          <w:sz w:val="24"/>
        </w:rPr>
        <w:t>列－</w:t>
      </w:r>
      <w:r w:rsidR="004A0124" w:rsidRPr="00E224E9">
        <w:rPr>
          <w:rFonts w:ascii="Book Antiqua" w:hAnsi="標楷體" w:hint="eastAsia"/>
          <w:color w:val="000000" w:themeColor="text1"/>
          <w:sz w:val="24"/>
        </w:rPr>
        <w:t>透過其他綜合損益按公允價值衡量之</w:t>
      </w:r>
      <w:r w:rsidRPr="00E224E9">
        <w:rPr>
          <w:rFonts w:ascii="Book Antiqua" w:hAnsi="標楷體"/>
          <w:color w:val="000000" w:themeColor="text1"/>
          <w:sz w:val="24"/>
        </w:rPr>
        <w:t>金融資產</w:t>
      </w:r>
    </w:p>
    <w:p w14:paraId="4402F076" w14:textId="77777777" w:rsidR="008A07F9" w:rsidRPr="00E224E9" w:rsidRDefault="008A07F9" w:rsidP="00F3152E">
      <w:pPr>
        <w:widowControl/>
        <w:numPr>
          <w:ilvl w:val="0"/>
          <w:numId w:val="5"/>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color w:val="000000" w:themeColor="text1"/>
          <w:kern w:val="0"/>
          <w:sz w:val="24"/>
        </w:rPr>
      </w:pPr>
      <w:r w:rsidRPr="00E224E9">
        <w:rPr>
          <w:rFonts w:ascii="Book Antiqua" w:hAnsi="標楷體" w:hint="eastAsia"/>
          <w:color w:val="000000" w:themeColor="text1"/>
          <w:kern w:val="0"/>
          <w:sz w:val="24"/>
        </w:rPr>
        <w:t>指同時符合下列條件之債務工具投資：</w:t>
      </w:r>
    </w:p>
    <w:p w14:paraId="3FCFA60D" w14:textId="77777777" w:rsidR="008A07F9" w:rsidRPr="00E224E9"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224E9">
        <w:rPr>
          <w:rFonts w:ascii="Book Antiqua" w:hAnsi="標楷體" w:hint="eastAsia"/>
          <w:color w:val="000000" w:themeColor="text1"/>
          <w:kern w:val="0"/>
          <w:sz w:val="24"/>
        </w:rPr>
        <w:t>保險業係在以收取合約現金流量及出售為目的之經營模式下持有該金融資產</w:t>
      </w:r>
      <w:r w:rsidRPr="00E224E9">
        <w:rPr>
          <w:rFonts w:ascii="Book Antiqua" w:hAnsi="標楷體"/>
          <w:color w:val="000000" w:themeColor="text1"/>
          <w:kern w:val="0"/>
          <w:sz w:val="24"/>
        </w:rPr>
        <w:t>。</w:t>
      </w:r>
    </w:p>
    <w:p w14:paraId="1C2209A1" w14:textId="77777777" w:rsidR="00065C53" w:rsidRPr="00E224E9"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224E9">
        <w:rPr>
          <w:rFonts w:ascii="Book Antiqua" w:hAnsi="標楷體" w:hint="eastAsia"/>
          <w:color w:val="000000" w:themeColor="text1"/>
          <w:kern w:val="0"/>
          <w:sz w:val="24"/>
        </w:rPr>
        <w:t>該金融資產之合約條款產生特定日期之現金流量，完全為支付本金及流通在外本金金額之利息</w:t>
      </w:r>
      <w:r w:rsidR="00065C53" w:rsidRPr="00E224E9">
        <w:rPr>
          <w:rFonts w:ascii="Book Antiqua" w:hAnsi="標楷體"/>
          <w:color w:val="000000" w:themeColor="text1"/>
          <w:kern w:val="0"/>
          <w:sz w:val="24"/>
        </w:rPr>
        <w:t>。</w:t>
      </w:r>
    </w:p>
    <w:p w14:paraId="60D83536" w14:textId="77777777" w:rsidR="00065C53" w:rsidRPr="00E224E9" w:rsidRDefault="008A07F9" w:rsidP="00F3152E">
      <w:pPr>
        <w:widowControl/>
        <w:numPr>
          <w:ilvl w:val="0"/>
          <w:numId w:val="5"/>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E224E9">
        <w:rPr>
          <w:rFonts w:ascii="Book Antiqua" w:hAnsi="標楷體" w:hint="eastAsia"/>
          <w:color w:val="000000" w:themeColor="text1"/>
          <w:kern w:val="0"/>
          <w:sz w:val="24"/>
        </w:rPr>
        <w:t>指原始認列時作一不可撤銷之選擇，將公允價值變動列報於其他綜合損益之非持有供交易之權益工具投資。</w:t>
      </w:r>
    </w:p>
    <w:p w14:paraId="617E3CA5" w14:textId="77777777" w:rsidR="00065C53" w:rsidRPr="00E224E9" w:rsidRDefault="008E64B2" w:rsidP="008E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color w:val="000000" w:themeColor="text1"/>
          <w:kern w:val="0"/>
          <w:sz w:val="24"/>
        </w:rPr>
      </w:pPr>
      <w:r w:rsidRPr="00E224E9">
        <w:rPr>
          <w:rFonts w:ascii="Book Antiqua" w:hAnsi="標楷體" w:hint="eastAsia"/>
          <w:color w:val="000000" w:themeColor="text1"/>
          <w:sz w:val="24"/>
        </w:rPr>
        <w:t>透過其他綜合損益按公允價值衡量之</w:t>
      </w:r>
      <w:r w:rsidR="00065C53" w:rsidRPr="00E224E9">
        <w:rPr>
          <w:rFonts w:ascii="Book Antiqua" w:hAnsi="標楷體"/>
          <w:color w:val="000000" w:themeColor="text1"/>
          <w:kern w:val="0"/>
          <w:sz w:val="24"/>
        </w:rPr>
        <w:t>金融資產應按</w:t>
      </w:r>
      <w:r w:rsidR="005D7451" w:rsidRPr="00E224E9">
        <w:rPr>
          <w:rFonts w:ascii="Book Antiqua" w:hAnsi="標楷體" w:hint="eastAsia"/>
          <w:color w:val="000000" w:themeColor="text1"/>
          <w:kern w:val="0"/>
          <w:sz w:val="24"/>
        </w:rPr>
        <w:t>公允價值</w:t>
      </w:r>
      <w:r w:rsidR="00065C53" w:rsidRPr="00E224E9">
        <w:rPr>
          <w:rFonts w:ascii="Book Antiqua" w:hAnsi="標楷體"/>
          <w:color w:val="000000" w:themeColor="text1"/>
          <w:kern w:val="0"/>
          <w:sz w:val="24"/>
        </w:rPr>
        <w:t>衡量，</w:t>
      </w:r>
      <w:r w:rsidR="00B212EE" w:rsidRPr="00E224E9">
        <w:rPr>
          <w:rFonts w:ascii="Book Antiqua" w:hAnsi="標楷體" w:hint="eastAsia"/>
          <w:color w:val="000000" w:themeColor="text1"/>
          <w:sz w:val="24"/>
        </w:rPr>
        <w:t>依國際財務報導準則第</w:t>
      </w:r>
      <w:r w:rsidR="00B212EE" w:rsidRPr="00E224E9">
        <w:rPr>
          <w:rFonts w:ascii="Book Antiqua" w:hAnsi="標楷體" w:hint="eastAsia"/>
          <w:color w:val="000000" w:themeColor="text1"/>
          <w:sz w:val="24"/>
        </w:rPr>
        <w:t>9</w:t>
      </w:r>
      <w:r w:rsidR="00B212EE" w:rsidRPr="00E224E9">
        <w:rPr>
          <w:rFonts w:ascii="Book Antiqua" w:hAnsi="標楷體" w:hint="eastAsia"/>
          <w:color w:val="000000" w:themeColor="text1"/>
          <w:sz w:val="24"/>
        </w:rPr>
        <w:t>號認列備抵損失</w:t>
      </w:r>
      <w:r w:rsidR="00065C53" w:rsidRPr="00E224E9">
        <w:rPr>
          <w:rFonts w:ascii="Book Antiqua" w:hAnsi="標楷體"/>
          <w:color w:val="000000" w:themeColor="text1"/>
          <w:kern w:val="0"/>
          <w:sz w:val="24"/>
        </w:rPr>
        <w:t>，並將評價調整金額列於第</w:t>
      </w:r>
      <w:r w:rsidR="00065C53" w:rsidRPr="00E224E9">
        <w:rPr>
          <w:rFonts w:ascii="Book Antiqua" w:hAnsi="標楷體"/>
          <w:color w:val="000000" w:themeColor="text1"/>
          <w:kern w:val="0"/>
          <w:sz w:val="24"/>
        </w:rPr>
        <w:t>3</w:t>
      </w:r>
      <w:r w:rsidR="00065C53" w:rsidRPr="00E224E9">
        <w:rPr>
          <w:rFonts w:ascii="Book Antiqua" w:hAnsi="標楷體"/>
          <w:color w:val="000000" w:themeColor="text1"/>
          <w:kern w:val="0"/>
          <w:sz w:val="24"/>
        </w:rPr>
        <w:t>欄。股票及存託憑證於</w:t>
      </w:r>
      <w:r w:rsidR="00065C53" w:rsidRPr="00E224E9">
        <w:rPr>
          <w:rFonts w:ascii="Book Antiqua" w:hAnsi="標楷體"/>
          <w:color w:val="000000" w:themeColor="text1"/>
          <w:kern w:val="0"/>
          <w:sz w:val="24"/>
        </w:rPr>
        <w:lastRenderedPageBreak/>
        <w:t>證券交易所上市或於櫃買中心櫃檯買賣之</w:t>
      </w:r>
      <w:r w:rsidR="005D7451" w:rsidRPr="00E224E9">
        <w:rPr>
          <w:rFonts w:ascii="Book Antiqua" w:hAnsi="標楷體" w:hint="eastAsia"/>
          <w:color w:val="000000" w:themeColor="text1"/>
          <w:kern w:val="0"/>
          <w:sz w:val="24"/>
        </w:rPr>
        <w:t>公允價值</w:t>
      </w:r>
      <w:r w:rsidR="00065C53" w:rsidRPr="00E224E9">
        <w:rPr>
          <w:rFonts w:ascii="Book Antiqua" w:hAnsi="標楷體"/>
          <w:color w:val="000000" w:themeColor="text1"/>
          <w:kern w:val="0"/>
          <w:sz w:val="24"/>
        </w:rPr>
        <w:t>係指資產負債表日之收盤價。開放型基金之</w:t>
      </w:r>
      <w:r w:rsidR="005D7451" w:rsidRPr="00E224E9">
        <w:rPr>
          <w:rFonts w:ascii="Book Antiqua" w:hAnsi="標楷體"/>
          <w:color w:val="000000" w:themeColor="text1"/>
          <w:kern w:val="0"/>
          <w:sz w:val="24"/>
        </w:rPr>
        <w:t>公允價值</w:t>
      </w:r>
      <w:r w:rsidR="00065C53" w:rsidRPr="00E224E9">
        <w:rPr>
          <w:rFonts w:ascii="Book Antiqua" w:hAnsi="標楷體"/>
          <w:color w:val="000000" w:themeColor="text1"/>
          <w:kern w:val="0"/>
          <w:sz w:val="24"/>
        </w:rPr>
        <w:t>係指資產負債表日該基金淨資產價值。</w:t>
      </w:r>
    </w:p>
    <w:p w14:paraId="42E97296" w14:textId="77777777" w:rsidR="00065C53" w:rsidRPr="00E224E9" w:rsidRDefault="00175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hint="eastAsia"/>
          <w:color w:val="000000" w:themeColor="text1"/>
          <w:sz w:val="24"/>
        </w:rPr>
        <w:t>透過其他綜合損益按公允價值衡量之</w:t>
      </w:r>
      <w:r w:rsidR="00065C53" w:rsidRPr="00E224E9">
        <w:rPr>
          <w:rFonts w:ascii="Book Antiqua" w:hAnsi="標楷體"/>
          <w:color w:val="000000" w:themeColor="text1"/>
          <w:sz w:val="24"/>
        </w:rPr>
        <w:t>金融資產</w:t>
      </w:r>
      <w:r w:rsidR="00065C53" w:rsidRPr="00E224E9">
        <w:rPr>
          <w:rFonts w:ascii="Book Antiqua" w:hAnsi="標楷體"/>
          <w:color w:val="000000" w:themeColor="text1"/>
          <w:kern w:val="0"/>
          <w:sz w:val="24"/>
        </w:rPr>
        <w:t>有存出作為抵繳保證金情事者，應自本</w:t>
      </w:r>
      <w:r w:rsidRPr="00E224E9">
        <w:rPr>
          <w:rFonts w:ascii="Book Antiqua" w:hAnsi="標楷體" w:hint="eastAsia"/>
          <w:color w:val="000000" w:themeColor="text1"/>
          <w:kern w:val="0"/>
          <w:sz w:val="24"/>
        </w:rPr>
        <w:t>項</w:t>
      </w:r>
      <w:r w:rsidR="00065C53" w:rsidRPr="00E224E9">
        <w:rPr>
          <w:rFonts w:ascii="Book Antiqua" w:hAnsi="標楷體"/>
          <w:color w:val="000000" w:themeColor="text1"/>
          <w:kern w:val="0"/>
          <w:sz w:val="24"/>
        </w:rPr>
        <w:t>目項下減除，列為存出保證金</w:t>
      </w:r>
      <w:r w:rsidRPr="00E224E9">
        <w:rPr>
          <w:rFonts w:ascii="Book Antiqua" w:hAnsi="標楷體" w:hint="eastAsia"/>
          <w:color w:val="000000" w:themeColor="text1"/>
          <w:kern w:val="0"/>
          <w:sz w:val="24"/>
        </w:rPr>
        <w:t>項</w:t>
      </w:r>
      <w:r w:rsidR="00065C53" w:rsidRPr="00E224E9">
        <w:rPr>
          <w:rFonts w:ascii="Book Antiqua" w:hAnsi="標楷體"/>
          <w:color w:val="000000" w:themeColor="text1"/>
          <w:kern w:val="0"/>
          <w:sz w:val="24"/>
        </w:rPr>
        <w:t>目。</w:t>
      </w:r>
    </w:p>
    <w:p w14:paraId="10DDCCDF"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224E9">
        <w:rPr>
          <w:rFonts w:ascii="Book Antiqua" w:hAnsi="標楷體"/>
          <w:color w:val="000000" w:themeColor="text1"/>
          <w:sz w:val="24"/>
        </w:rPr>
        <w:t>本列</w:t>
      </w:r>
      <w:r w:rsidR="00591EED" w:rsidRPr="00E224E9">
        <w:rPr>
          <w:rFonts w:ascii="Book Antiqua" w:hAnsi="標楷體" w:hint="eastAsia"/>
          <w:color w:val="000000" w:themeColor="text1"/>
          <w:sz w:val="24"/>
        </w:rPr>
        <w:t>透過其他綜合損益按公允價值衡量之</w:t>
      </w:r>
      <w:r w:rsidRPr="00E224E9">
        <w:rPr>
          <w:rFonts w:ascii="Book Antiqua" w:hAnsi="標楷體"/>
          <w:color w:val="000000" w:themeColor="text1"/>
          <w:sz w:val="24"/>
        </w:rPr>
        <w:t>金融資產金額為第</w:t>
      </w:r>
      <w:r w:rsidR="005D7451" w:rsidRPr="00E224E9">
        <w:rPr>
          <w:rFonts w:ascii="Book Antiqua" w:hAnsi="Book Antiqua" w:hint="eastAsia"/>
          <w:color w:val="000000" w:themeColor="text1"/>
          <w:sz w:val="24"/>
        </w:rPr>
        <w:t>2</w:t>
      </w:r>
      <w:r w:rsidR="00591EED" w:rsidRPr="00E224E9">
        <w:rPr>
          <w:rFonts w:ascii="Book Antiqua" w:hAnsi="Book Antiqua" w:hint="eastAsia"/>
          <w:color w:val="000000" w:themeColor="text1"/>
          <w:sz w:val="24"/>
        </w:rPr>
        <w:t>9</w:t>
      </w:r>
      <w:r w:rsidRPr="00E224E9">
        <w:rPr>
          <w:rFonts w:ascii="Book Antiqua" w:hAnsi="標楷體"/>
          <w:color w:val="000000" w:themeColor="text1"/>
          <w:sz w:val="24"/>
        </w:rPr>
        <w:t>列至第</w:t>
      </w:r>
      <w:r w:rsidR="005D7451" w:rsidRPr="00E224E9">
        <w:rPr>
          <w:rFonts w:ascii="Book Antiqua" w:hAnsi="Book Antiqua" w:hint="eastAsia"/>
          <w:color w:val="000000" w:themeColor="text1"/>
          <w:sz w:val="24"/>
        </w:rPr>
        <w:t>3</w:t>
      </w:r>
      <w:r w:rsidR="00591EED" w:rsidRPr="00E224E9">
        <w:rPr>
          <w:rFonts w:ascii="Book Antiqua" w:hAnsi="Book Antiqua" w:hint="eastAsia"/>
          <w:color w:val="000000" w:themeColor="text1"/>
          <w:sz w:val="24"/>
        </w:rPr>
        <w:t>7</w:t>
      </w:r>
      <w:r w:rsidRPr="00E224E9">
        <w:rPr>
          <w:rFonts w:ascii="Book Antiqua" w:hAnsi="標楷體"/>
          <w:color w:val="000000" w:themeColor="text1"/>
          <w:sz w:val="24"/>
        </w:rPr>
        <w:t>列各投資項目加總之和。</w:t>
      </w:r>
    </w:p>
    <w:p w14:paraId="28093B77"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3</w:t>
      </w:r>
      <w:r w:rsidR="007D5BA1" w:rsidRPr="00E224E9">
        <w:rPr>
          <w:rFonts w:ascii="Book Antiqua" w:hAnsi="Book Antiqua" w:hint="eastAsia"/>
          <w:color w:val="000000" w:themeColor="text1"/>
          <w:sz w:val="24"/>
        </w:rPr>
        <w:t>1</w:t>
      </w:r>
      <w:r w:rsidRPr="00E224E9">
        <w:rPr>
          <w:rFonts w:ascii="Book Antiqua" w:hAnsi="標楷體"/>
          <w:color w:val="000000" w:themeColor="text1"/>
          <w:sz w:val="24"/>
        </w:rPr>
        <w:t>列－公司股票</w:t>
      </w:r>
    </w:p>
    <w:p w14:paraId="053AFD68"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條之ㄧ第一項第三款規定所為之投資，且依</w:t>
      </w:r>
      <w:r w:rsidR="005D7451" w:rsidRPr="00E224E9">
        <w:rPr>
          <w:rFonts w:ascii="Book Antiqua" w:hAnsi="標楷體" w:hint="eastAsia"/>
          <w:color w:val="000000" w:themeColor="text1"/>
          <w:sz w:val="24"/>
        </w:rPr>
        <w:t>國際</w:t>
      </w:r>
      <w:r w:rsidR="00591EED" w:rsidRPr="00E224E9">
        <w:rPr>
          <w:rFonts w:ascii="Book Antiqua" w:hAnsi="標楷體" w:hint="eastAsia"/>
          <w:color w:val="000000" w:themeColor="text1"/>
          <w:sz w:val="24"/>
        </w:rPr>
        <w:t>財務報導</w:t>
      </w:r>
      <w:r w:rsidR="005D7451" w:rsidRPr="00E224E9">
        <w:rPr>
          <w:rFonts w:ascii="Book Antiqua" w:hAnsi="標楷體" w:hint="eastAsia"/>
          <w:color w:val="000000" w:themeColor="text1"/>
          <w:sz w:val="24"/>
        </w:rPr>
        <w:t>準則</w:t>
      </w: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9</w:t>
      </w:r>
      <w:r w:rsidRPr="00E224E9">
        <w:rPr>
          <w:rFonts w:ascii="Book Antiqua" w:hAnsi="標楷體"/>
          <w:color w:val="000000" w:themeColor="text1"/>
          <w:sz w:val="24"/>
        </w:rPr>
        <w:t>號有關規定分類為</w:t>
      </w:r>
      <w:r w:rsidR="00591EED" w:rsidRPr="00E224E9">
        <w:rPr>
          <w:rFonts w:ascii="Book Antiqua" w:hAnsi="標楷體" w:hint="eastAsia"/>
          <w:color w:val="000000" w:themeColor="text1"/>
          <w:sz w:val="24"/>
        </w:rPr>
        <w:t>透過其他綜合損益按公允價值衡量之</w:t>
      </w:r>
      <w:r w:rsidRPr="00E224E9">
        <w:rPr>
          <w:rFonts w:ascii="Book Antiqua" w:hAnsi="標楷體"/>
          <w:color w:val="000000" w:themeColor="text1"/>
          <w:sz w:val="24"/>
        </w:rPr>
        <w:t>金融資產。本列第</w:t>
      </w:r>
      <w:r w:rsidRPr="00E224E9">
        <w:rPr>
          <w:rFonts w:ascii="Book Antiqua" w:hAnsi="Book Antiqua"/>
          <w:color w:val="000000" w:themeColor="text1"/>
          <w:sz w:val="24"/>
        </w:rPr>
        <w:t>(1)</w:t>
      </w:r>
      <w:r w:rsidRPr="00E224E9">
        <w:rPr>
          <w:rFonts w:ascii="Book Antiqua" w:hAnsi="標楷體"/>
          <w:color w:val="000000" w:themeColor="text1"/>
          <w:sz w:val="24"/>
        </w:rPr>
        <w:t>欄括號內註記之評價調整數係指本列所列之金融資產依</w:t>
      </w:r>
      <w:r w:rsidR="005D7451" w:rsidRPr="00E224E9">
        <w:rPr>
          <w:rFonts w:ascii="Book Antiqua" w:hAnsi="標楷體" w:hint="eastAsia"/>
          <w:color w:val="000000" w:themeColor="text1"/>
          <w:sz w:val="24"/>
        </w:rPr>
        <w:t>國際</w:t>
      </w:r>
      <w:r w:rsidR="00591EED" w:rsidRPr="00E224E9">
        <w:rPr>
          <w:rFonts w:ascii="Book Antiqua" w:hAnsi="標楷體" w:hint="eastAsia"/>
          <w:color w:val="000000" w:themeColor="text1"/>
          <w:sz w:val="24"/>
        </w:rPr>
        <w:t>財務報導</w:t>
      </w:r>
      <w:r w:rsidR="005D7451" w:rsidRPr="00E224E9">
        <w:rPr>
          <w:rFonts w:ascii="Book Antiqua" w:hAnsi="標楷體" w:hint="eastAsia"/>
          <w:color w:val="000000" w:themeColor="text1"/>
          <w:sz w:val="24"/>
        </w:rPr>
        <w:t>準則</w:t>
      </w:r>
      <w:r w:rsidR="005D7451"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9</w:t>
      </w:r>
      <w:r w:rsidR="005D7451" w:rsidRPr="00E224E9">
        <w:rPr>
          <w:rFonts w:ascii="Book Antiqua" w:hAnsi="標楷體"/>
          <w:color w:val="000000" w:themeColor="text1"/>
          <w:sz w:val="24"/>
        </w:rPr>
        <w:t>號</w:t>
      </w:r>
      <w:r w:rsidRPr="00E224E9">
        <w:rPr>
          <w:rFonts w:ascii="Book Antiqua" w:hAnsi="標楷體"/>
          <w:color w:val="000000" w:themeColor="text1"/>
          <w:sz w:val="24"/>
        </w:rPr>
        <w:t>以</w:t>
      </w:r>
      <w:r w:rsidR="005D7451" w:rsidRPr="00E224E9">
        <w:rPr>
          <w:rFonts w:ascii="Book Antiqua" w:hAnsi="標楷體"/>
          <w:color w:val="000000" w:themeColor="text1"/>
          <w:sz w:val="24"/>
        </w:rPr>
        <w:t>公允價值</w:t>
      </w:r>
      <w:r w:rsidRPr="00E224E9">
        <w:rPr>
          <w:rFonts w:ascii="Book Antiqua" w:hAnsi="標楷體"/>
          <w:color w:val="000000" w:themeColor="text1"/>
          <w:sz w:val="24"/>
        </w:rPr>
        <w:t>衡量所產生之評價調整數。</w:t>
      </w:r>
    </w:p>
    <w:p w14:paraId="43182299"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3</w:t>
      </w:r>
      <w:r w:rsidR="007D5BA1" w:rsidRPr="00E224E9">
        <w:rPr>
          <w:rFonts w:ascii="Book Antiqua" w:hAnsi="Book Antiqua" w:hint="eastAsia"/>
          <w:color w:val="000000" w:themeColor="text1"/>
          <w:sz w:val="24"/>
        </w:rPr>
        <w:t>5</w:t>
      </w:r>
      <w:r w:rsidRPr="00E224E9">
        <w:rPr>
          <w:rFonts w:ascii="Book Antiqua" w:hAnsi="標楷體"/>
          <w:color w:val="000000" w:themeColor="text1"/>
          <w:sz w:val="24"/>
        </w:rPr>
        <w:t>列－國外投資</w:t>
      </w:r>
    </w:p>
    <w:p w14:paraId="0FF41AAE"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條之四規定所為之投資，且依</w:t>
      </w:r>
      <w:r w:rsidR="005D7451" w:rsidRPr="00E224E9">
        <w:rPr>
          <w:rFonts w:ascii="Book Antiqua" w:hAnsi="標楷體"/>
          <w:color w:val="000000" w:themeColor="text1"/>
          <w:sz w:val="24"/>
        </w:rPr>
        <w:t>國際</w:t>
      </w:r>
      <w:r w:rsidR="00591EED" w:rsidRPr="00E224E9">
        <w:rPr>
          <w:rFonts w:ascii="Book Antiqua" w:hAnsi="標楷體" w:hint="eastAsia"/>
          <w:color w:val="000000" w:themeColor="text1"/>
          <w:sz w:val="24"/>
        </w:rPr>
        <w:t>財務報導</w:t>
      </w:r>
      <w:r w:rsidR="005D7451" w:rsidRPr="00E224E9">
        <w:rPr>
          <w:rFonts w:ascii="Book Antiqua" w:hAnsi="標楷體"/>
          <w:color w:val="000000" w:themeColor="text1"/>
          <w:sz w:val="24"/>
        </w:rPr>
        <w:t>準則第</w:t>
      </w:r>
      <w:r w:rsidR="005D7451" w:rsidRPr="00E224E9">
        <w:rPr>
          <w:rFonts w:ascii="Book Antiqua" w:hAnsi="標楷體"/>
          <w:color w:val="000000" w:themeColor="text1"/>
          <w:sz w:val="24"/>
        </w:rPr>
        <w:t>9</w:t>
      </w:r>
      <w:r w:rsidR="005D7451" w:rsidRPr="00E224E9">
        <w:rPr>
          <w:rFonts w:ascii="Book Antiqua" w:hAnsi="標楷體"/>
          <w:color w:val="000000" w:themeColor="text1"/>
          <w:sz w:val="24"/>
        </w:rPr>
        <w:t>號</w:t>
      </w:r>
      <w:r w:rsidRPr="00E224E9">
        <w:rPr>
          <w:rFonts w:ascii="Book Antiqua" w:hAnsi="標楷體"/>
          <w:color w:val="000000" w:themeColor="text1"/>
          <w:sz w:val="24"/>
        </w:rPr>
        <w:t>有關規定分類為</w:t>
      </w:r>
      <w:r w:rsidR="00591EED" w:rsidRPr="00E224E9">
        <w:rPr>
          <w:rFonts w:ascii="Book Antiqua" w:hAnsi="標楷體" w:hint="eastAsia"/>
          <w:color w:val="000000" w:themeColor="text1"/>
          <w:sz w:val="24"/>
        </w:rPr>
        <w:t>透過其他綜合損益按公允價值衡量之</w:t>
      </w:r>
      <w:r w:rsidRPr="00E224E9">
        <w:rPr>
          <w:rFonts w:ascii="Book Antiqua" w:hAnsi="標楷體"/>
          <w:color w:val="000000" w:themeColor="text1"/>
          <w:sz w:val="24"/>
        </w:rPr>
        <w:t>金融資產。本列第</w:t>
      </w:r>
      <w:r w:rsidRPr="00E224E9">
        <w:rPr>
          <w:rFonts w:ascii="Book Antiqua" w:hAnsi="Book Antiqua"/>
          <w:color w:val="000000" w:themeColor="text1"/>
          <w:sz w:val="24"/>
        </w:rPr>
        <w:t>(1)</w:t>
      </w:r>
      <w:r w:rsidRPr="00E224E9">
        <w:rPr>
          <w:rFonts w:ascii="Book Antiqua" w:hAnsi="標楷體"/>
          <w:color w:val="000000" w:themeColor="text1"/>
          <w:sz w:val="24"/>
        </w:rPr>
        <w:t>欄括號內註記之「屬股票部分之評價調整」係指本列所列之金融資產中屬股票投資部分，依</w:t>
      </w:r>
      <w:r w:rsidR="00C65703" w:rsidRPr="00E224E9">
        <w:rPr>
          <w:rFonts w:ascii="Book Antiqua" w:hAnsi="標楷體"/>
          <w:color w:val="000000" w:themeColor="text1"/>
          <w:sz w:val="24"/>
        </w:rPr>
        <w:t>國際</w:t>
      </w:r>
      <w:r w:rsidR="00591EED" w:rsidRPr="00E224E9">
        <w:rPr>
          <w:rFonts w:ascii="Book Antiqua" w:hAnsi="標楷體" w:hint="eastAsia"/>
          <w:color w:val="000000" w:themeColor="text1"/>
          <w:sz w:val="24"/>
        </w:rPr>
        <w:t>財務報導</w:t>
      </w:r>
      <w:r w:rsidR="00C65703" w:rsidRPr="00E224E9">
        <w:rPr>
          <w:rFonts w:ascii="Book Antiqua" w:hAnsi="標楷體"/>
          <w:color w:val="000000" w:themeColor="text1"/>
          <w:sz w:val="24"/>
        </w:rPr>
        <w:t>準則第</w:t>
      </w:r>
      <w:r w:rsidR="00C65703" w:rsidRPr="00E224E9">
        <w:rPr>
          <w:rFonts w:ascii="Book Antiqua" w:hAnsi="標楷體"/>
          <w:color w:val="000000" w:themeColor="text1"/>
          <w:sz w:val="24"/>
        </w:rPr>
        <w:t>9</w:t>
      </w:r>
      <w:r w:rsidR="00C65703" w:rsidRPr="00E224E9">
        <w:rPr>
          <w:rFonts w:ascii="Book Antiqua" w:hAnsi="標楷體"/>
          <w:color w:val="000000" w:themeColor="text1"/>
          <w:sz w:val="24"/>
        </w:rPr>
        <w:t>號</w:t>
      </w:r>
      <w:r w:rsidRPr="00E224E9">
        <w:rPr>
          <w:rFonts w:ascii="Book Antiqua" w:hAnsi="標楷體"/>
          <w:color w:val="000000" w:themeColor="text1"/>
          <w:sz w:val="24"/>
        </w:rPr>
        <w:t>以</w:t>
      </w:r>
      <w:r w:rsidR="005D7451" w:rsidRPr="00E224E9">
        <w:rPr>
          <w:rFonts w:ascii="Book Antiqua" w:hAnsi="標楷體"/>
          <w:color w:val="000000" w:themeColor="text1"/>
          <w:sz w:val="24"/>
        </w:rPr>
        <w:t>公允價值</w:t>
      </w:r>
      <w:r w:rsidRPr="00E224E9">
        <w:rPr>
          <w:rFonts w:ascii="Book Antiqua" w:hAnsi="標楷體"/>
          <w:color w:val="000000" w:themeColor="text1"/>
          <w:sz w:val="24"/>
        </w:rPr>
        <w:t>衡量所產生之評價調整數。</w:t>
      </w:r>
    </w:p>
    <w:p w14:paraId="22B0498C"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E224E9">
        <w:rPr>
          <w:rFonts w:ascii="Book Antiqua" w:hAnsi="標楷體"/>
          <w:color w:val="000000" w:themeColor="text1"/>
          <w:sz w:val="24"/>
        </w:rPr>
        <w:t>第</w:t>
      </w:r>
      <w:r w:rsidR="00603FE5" w:rsidRPr="00E224E9">
        <w:rPr>
          <w:rFonts w:ascii="Book Antiqua" w:hAnsi="Book Antiqua" w:hint="eastAsia"/>
          <w:color w:val="000000" w:themeColor="text1"/>
          <w:sz w:val="24"/>
        </w:rPr>
        <w:t>3</w:t>
      </w:r>
      <w:r w:rsidR="007D5BA1" w:rsidRPr="00E224E9">
        <w:rPr>
          <w:rFonts w:ascii="Book Antiqua" w:hAnsi="Book Antiqua" w:hint="eastAsia"/>
          <w:color w:val="000000" w:themeColor="text1"/>
          <w:sz w:val="24"/>
        </w:rPr>
        <w:t>6</w:t>
      </w:r>
      <w:r w:rsidRPr="00E224E9">
        <w:rPr>
          <w:rFonts w:ascii="Book Antiqua" w:hAnsi="標楷體"/>
          <w:color w:val="000000" w:themeColor="text1"/>
          <w:sz w:val="24"/>
        </w:rPr>
        <w:t>列－專案運用公共及社會福利事業投資</w:t>
      </w:r>
    </w:p>
    <w:p w14:paraId="60024C82"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條之五規定所為之投資。</w:t>
      </w:r>
    </w:p>
    <w:p w14:paraId="533E1076"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91EED" w:rsidRPr="00E224E9">
        <w:rPr>
          <w:rFonts w:ascii="Book Antiqua" w:hAnsi="標楷體" w:hint="eastAsia"/>
          <w:color w:val="000000" w:themeColor="text1"/>
          <w:sz w:val="24"/>
        </w:rPr>
        <w:t>38</w:t>
      </w:r>
      <w:r w:rsidRPr="00E224E9">
        <w:rPr>
          <w:rFonts w:ascii="Book Antiqua" w:hAnsi="標楷體"/>
          <w:color w:val="000000" w:themeColor="text1"/>
          <w:sz w:val="24"/>
        </w:rPr>
        <w:t>列－</w:t>
      </w:r>
      <w:r w:rsidR="00591EED" w:rsidRPr="00E224E9">
        <w:rPr>
          <w:rFonts w:ascii="Book Antiqua" w:hAnsi="標楷體" w:hint="eastAsia"/>
          <w:color w:val="000000" w:themeColor="text1"/>
          <w:sz w:val="24"/>
        </w:rPr>
        <w:t>按攤銷後成本衡量之</w:t>
      </w:r>
      <w:r w:rsidRPr="00E224E9">
        <w:rPr>
          <w:rFonts w:ascii="Book Antiqua" w:hAnsi="標楷體"/>
          <w:color w:val="000000" w:themeColor="text1"/>
          <w:sz w:val="24"/>
        </w:rPr>
        <w:t>金融資產</w:t>
      </w:r>
    </w:p>
    <w:p w14:paraId="0F0A54AA" w14:textId="77777777" w:rsidR="00591EED" w:rsidRPr="00E224E9" w:rsidRDefault="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r w:rsidRPr="00E224E9">
        <w:rPr>
          <w:rFonts w:ascii="Book Antiqua" w:hAnsi="標楷體" w:hint="eastAsia"/>
          <w:color w:val="000000" w:themeColor="text1"/>
          <w:sz w:val="24"/>
        </w:rPr>
        <w:t>指同時符合下列條件者：</w:t>
      </w:r>
    </w:p>
    <w:p w14:paraId="1A5EB069" w14:textId="77777777" w:rsidR="00591EED" w:rsidRPr="00E224E9" w:rsidRDefault="00591EED" w:rsidP="004373AD">
      <w:pPr>
        <w:widowControl/>
        <w:numPr>
          <w:ilvl w:val="0"/>
          <w:numId w:val="37"/>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E224E9">
        <w:rPr>
          <w:rFonts w:ascii="Book Antiqua" w:hAnsi="Book Antiqua" w:hint="eastAsia"/>
          <w:color w:val="000000" w:themeColor="text1"/>
          <w:kern w:val="0"/>
          <w:sz w:val="24"/>
        </w:rPr>
        <w:t>保險業係在以收取合約現金流量為目的之經營模式下持有該債務工具投資。</w:t>
      </w:r>
    </w:p>
    <w:p w14:paraId="3DA27DE4" w14:textId="77777777" w:rsidR="00591EED" w:rsidRPr="00E224E9" w:rsidRDefault="00591EED" w:rsidP="004373AD">
      <w:pPr>
        <w:widowControl/>
        <w:numPr>
          <w:ilvl w:val="0"/>
          <w:numId w:val="37"/>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E224E9">
        <w:rPr>
          <w:rFonts w:ascii="Book Antiqua" w:hAnsi="Book Antiqua" w:hint="eastAsia"/>
          <w:color w:val="000000" w:themeColor="text1"/>
          <w:kern w:val="0"/>
          <w:sz w:val="24"/>
        </w:rPr>
        <w:t>該金融資產之合約條款產生特定日期之現金流量，完全為支付本金及流通在外本金金額之利息。</w:t>
      </w:r>
    </w:p>
    <w:p w14:paraId="1DC47430" w14:textId="77777777" w:rsidR="00065C53" w:rsidRPr="00E224E9" w:rsidRDefault="00FC025E" w:rsidP="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E224E9">
        <w:rPr>
          <w:rFonts w:ascii="Book Antiqua" w:hAnsi="標楷體" w:hint="eastAsia"/>
          <w:color w:val="000000" w:themeColor="text1"/>
          <w:sz w:val="24"/>
        </w:rPr>
        <w:t>按攤銷後成本衡量之</w:t>
      </w:r>
      <w:r w:rsidR="00065C53" w:rsidRPr="00E224E9">
        <w:rPr>
          <w:rFonts w:ascii="Book Antiqua" w:hAnsi="標楷體"/>
          <w:color w:val="000000" w:themeColor="text1"/>
          <w:sz w:val="24"/>
        </w:rPr>
        <w:t>金融資產應以攤銷後成本衡量</w:t>
      </w:r>
      <w:r w:rsidRPr="00E224E9">
        <w:rPr>
          <w:rFonts w:ascii="Book Antiqua" w:hAnsi="標楷體" w:hint="eastAsia"/>
          <w:color w:val="000000" w:themeColor="text1"/>
          <w:sz w:val="24"/>
        </w:rPr>
        <w:t>，依國際財務報導準則第</w:t>
      </w:r>
      <w:r w:rsidRPr="00E224E9">
        <w:rPr>
          <w:rFonts w:ascii="Book Antiqua" w:hAnsi="標楷體" w:hint="eastAsia"/>
          <w:color w:val="000000" w:themeColor="text1"/>
          <w:sz w:val="24"/>
        </w:rPr>
        <w:t>9</w:t>
      </w:r>
      <w:r w:rsidRPr="00E224E9">
        <w:rPr>
          <w:rFonts w:ascii="Book Antiqua" w:hAnsi="標楷體" w:hint="eastAsia"/>
          <w:color w:val="000000" w:themeColor="text1"/>
          <w:sz w:val="24"/>
        </w:rPr>
        <w:t>號認列備抵損失</w:t>
      </w:r>
      <w:r w:rsidR="00065C53" w:rsidRPr="00E224E9">
        <w:rPr>
          <w:rFonts w:ascii="Book Antiqua" w:hAnsi="標楷體"/>
          <w:color w:val="000000" w:themeColor="text1"/>
          <w:sz w:val="24"/>
        </w:rPr>
        <w:t>，</w:t>
      </w:r>
      <w:r w:rsidR="00065C53" w:rsidRPr="00E224E9">
        <w:rPr>
          <w:rFonts w:ascii="Book Antiqua" w:hAnsi="標楷體"/>
          <w:color w:val="000000" w:themeColor="text1"/>
          <w:kern w:val="0"/>
          <w:sz w:val="24"/>
        </w:rPr>
        <w:t>並將</w:t>
      </w:r>
      <w:r w:rsidRPr="00E224E9">
        <w:rPr>
          <w:rFonts w:ascii="Book Antiqua" w:hAnsi="標楷體" w:hint="eastAsia"/>
          <w:color w:val="000000" w:themeColor="text1"/>
          <w:kern w:val="0"/>
          <w:sz w:val="24"/>
        </w:rPr>
        <w:t>備抵損失</w:t>
      </w:r>
      <w:r w:rsidR="00065C53" w:rsidRPr="00E224E9">
        <w:rPr>
          <w:rFonts w:ascii="Book Antiqua" w:hAnsi="標楷體"/>
          <w:color w:val="000000" w:themeColor="text1"/>
          <w:kern w:val="0"/>
          <w:sz w:val="24"/>
        </w:rPr>
        <w:t>金額列於第</w:t>
      </w:r>
      <w:r w:rsidR="00065C53" w:rsidRPr="00E224E9">
        <w:rPr>
          <w:rFonts w:ascii="Book Antiqua" w:hAnsi="Book Antiqua"/>
          <w:color w:val="000000" w:themeColor="text1"/>
          <w:kern w:val="0"/>
          <w:sz w:val="24"/>
        </w:rPr>
        <w:t>3</w:t>
      </w:r>
      <w:r w:rsidR="00065C53" w:rsidRPr="00E224E9">
        <w:rPr>
          <w:rFonts w:ascii="Book Antiqua" w:hAnsi="標楷體"/>
          <w:color w:val="000000" w:themeColor="text1"/>
          <w:kern w:val="0"/>
          <w:sz w:val="24"/>
        </w:rPr>
        <w:t>欄。</w:t>
      </w:r>
    </w:p>
    <w:p w14:paraId="14AA1F8B" w14:textId="77777777" w:rsidR="00065C53" w:rsidRPr="00E224E9" w:rsidRDefault="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E224E9">
        <w:rPr>
          <w:rFonts w:ascii="Book Antiqua" w:hAnsi="標楷體" w:hint="eastAsia"/>
          <w:color w:val="000000" w:themeColor="text1"/>
          <w:sz w:val="24"/>
        </w:rPr>
        <w:t>按攤銷後成本衡量之</w:t>
      </w:r>
      <w:r w:rsidR="00065C53" w:rsidRPr="00E224E9">
        <w:rPr>
          <w:rFonts w:ascii="Book Antiqua" w:hAnsi="標楷體"/>
          <w:color w:val="000000" w:themeColor="text1"/>
          <w:sz w:val="24"/>
        </w:rPr>
        <w:t>金融資產</w:t>
      </w:r>
      <w:r w:rsidR="00065C53" w:rsidRPr="00E224E9">
        <w:rPr>
          <w:rFonts w:ascii="Book Antiqua" w:hAnsi="標楷體"/>
          <w:color w:val="000000" w:themeColor="text1"/>
          <w:kern w:val="0"/>
          <w:sz w:val="24"/>
        </w:rPr>
        <w:t>有存出作為抵繳保證金情事者，應自本</w:t>
      </w:r>
      <w:r w:rsidRPr="00E224E9">
        <w:rPr>
          <w:rFonts w:ascii="Book Antiqua" w:hAnsi="標楷體" w:hint="eastAsia"/>
          <w:color w:val="000000" w:themeColor="text1"/>
          <w:kern w:val="0"/>
          <w:sz w:val="24"/>
        </w:rPr>
        <w:t>項</w:t>
      </w:r>
      <w:r w:rsidR="00065C53" w:rsidRPr="00E224E9">
        <w:rPr>
          <w:rFonts w:ascii="Book Antiqua" w:hAnsi="標楷體"/>
          <w:color w:val="000000" w:themeColor="text1"/>
          <w:kern w:val="0"/>
          <w:sz w:val="24"/>
        </w:rPr>
        <w:t>目項下減除，列為存出保證金</w:t>
      </w:r>
      <w:r w:rsidRPr="00E224E9">
        <w:rPr>
          <w:rFonts w:ascii="Book Antiqua" w:hAnsi="標楷體" w:hint="eastAsia"/>
          <w:color w:val="000000" w:themeColor="text1"/>
          <w:kern w:val="0"/>
          <w:sz w:val="24"/>
        </w:rPr>
        <w:t>項</w:t>
      </w:r>
      <w:r w:rsidR="00065C53" w:rsidRPr="00E224E9">
        <w:rPr>
          <w:rFonts w:ascii="Book Antiqua" w:hAnsi="標楷體"/>
          <w:color w:val="000000" w:themeColor="text1"/>
          <w:kern w:val="0"/>
          <w:sz w:val="24"/>
        </w:rPr>
        <w:t>目。</w:t>
      </w:r>
    </w:p>
    <w:p w14:paraId="5D88E39F"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r w:rsidRPr="00E224E9">
        <w:rPr>
          <w:rFonts w:ascii="Book Antiqua" w:hAnsi="標楷體"/>
          <w:color w:val="000000" w:themeColor="text1"/>
          <w:sz w:val="24"/>
        </w:rPr>
        <w:t>本列</w:t>
      </w:r>
      <w:r w:rsidR="00EC6B4C" w:rsidRPr="00E224E9">
        <w:rPr>
          <w:rFonts w:ascii="Book Antiqua" w:hAnsi="標楷體" w:hint="eastAsia"/>
          <w:color w:val="000000" w:themeColor="text1"/>
          <w:sz w:val="24"/>
        </w:rPr>
        <w:t>按攤銷後成本衡量之</w:t>
      </w:r>
      <w:r w:rsidRPr="00E224E9">
        <w:rPr>
          <w:rFonts w:ascii="Book Antiqua" w:hAnsi="標楷體"/>
          <w:color w:val="000000" w:themeColor="text1"/>
          <w:sz w:val="24"/>
        </w:rPr>
        <w:t>金融資產金額為第</w:t>
      </w:r>
      <w:r w:rsidR="00EC6B4C" w:rsidRPr="00E224E9">
        <w:rPr>
          <w:rFonts w:ascii="Book Antiqua" w:hAnsi="Book Antiqua" w:hint="eastAsia"/>
          <w:color w:val="000000" w:themeColor="text1"/>
          <w:sz w:val="24"/>
        </w:rPr>
        <w:t>39</w:t>
      </w:r>
      <w:r w:rsidRPr="00E224E9">
        <w:rPr>
          <w:rFonts w:ascii="Book Antiqua" w:hAnsi="標楷體"/>
          <w:color w:val="000000" w:themeColor="text1"/>
          <w:sz w:val="24"/>
        </w:rPr>
        <w:t>列至第</w:t>
      </w:r>
      <w:r w:rsidR="00EC6B4C" w:rsidRPr="00E224E9">
        <w:rPr>
          <w:rFonts w:ascii="Book Antiqua" w:hAnsi="Book Antiqua" w:hint="eastAsia"/>
          <w:color w:val="000000" w:themeColor="text1"/>
          <w:sz w:val="24"/>
        </w:rPr>
        <w:t>47</w:t>
      </w:r>
      <w:r w:rsidRPr="00E224E9">
        <w:rPr>
          <w:rFonts w:ascii="Book Antiqua" w:hAnsi="標楷體"/>
          <w:color w:val="000000" w:themeColor="text1"/>
          <w:sz w:val="24"/>
        </w:rPr>
        <w:t>列各投資項目加總之和。</w:t>
      </w:r>
    </w:p>
    <w:p w14:paraId="67913994" w14:textId="77777777" w:rsidR="00591EED" w:rsidRPr="00E224E9" w:rsidRDefault="00591EED" w:rsidP="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kern w:val="0"/>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48</w:t>
      </w:r>
      <w:r w:rsidRPr="00E224E9">
        <w:rPr>
          <w:rFonts w:ascii="Book Antiqua" w:hAnsi="標楷體"/>
          <w:color w:val="000000" w:themeColor="text1"/>
          <w:sz w:val="24"/>
        </w:rPr>
        <w:t>列－</w:t>
      </w:r>
      <w:r w:rsidRPr="00E224E9">
        <w:rPr>
          <w:rFonts w:ascii="Book Antiqua" w:hAnsi="標楷體"/>
          <w:color w:val="000000" w:themeColor="text1"/>
          <w:kern w:val="0"/>
          <w:sz w:val="24"/>
        </w:rPr>
        <w:t>避險之金融資產</w:t>
      </w:r>
    </w:p>
    <w:p w14:paraId="495AD568" w14:textId="77777777" w:rsidR="00591EED" w:rsidRPr="00E224E9" w:rsidRDefault="00591EED" w:rsidP="00591EED">
      <w:pPr>
        <w:pStyle w:val="HTML"/>
        <w:spacing w:line="440" w:lineRule="exact"/>
        <w:ind w:leftChars="346" w:left="900"/>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係依避險會計指定且為有效避險工具之金融資產，應以公允價值衡量。</w:t>
      </w:r>
    </w:p>
    <w:p w14:paraId="3CB9CD2D" w14:textId="77777777" w:rsidR="00603FE5" w:rsidRPr="00E224E9" w:rsidRDefault="00603FE5" w:rsidP="00603FE5">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00EC6B4C" w:rsidRPr="00E224E9">
        <w:rPr>
          <w:rFonts w:ascii="Book Antiqua" w:hAnsi="Book Antiqua" w:hint="eastAsia"/>
          <w:color w:val="000000" w:themeColor="text1"/>
          <w:sz w:val="24"/>
          <w:lang w:eastAsia="zh-TW"/>
        </w:rPr>
        <w:t>49</w:t>
      </w:r>
      <w:r w:rsidRPr="00E224E9">
        <w:rPr>
          <w:rFonts w:ascii="Book Antiqua" w:hAnsi="標楷體"/>
          <w:color w:val="000000" w:themeColor="text1"/>
          <w:sz w:val="24"/>
        </w:rPr>
        <w:t>列－採</w:t>
      </w:r>
      <w:r w:rsidR="00B7525B" w:rsidRPr="00E224E9">
        <w:rPr>
          <w:rFonts w:ascii="Book Antiqua" w:hAnsi="標楷體" w:hint="eastAsia"/>
          <w:color w:val="000000" w:themeColor="text1"/>
          <w:sz w:val="24"/>
          <w:lang w:eastAsia="zh-TW"/>
        </w:rPr>
        <w:t>用</w:t>
      </w:r>
      <w:r w:rsidRPr="00E224E9">
        <w:rPr>
          <w:rFonts w:ascii="Book Antiqua" w:hAnsi="標楷體"/>
          <w:color w:val="000000" w:themeColor="text1"/>
          <w:sz w:val="24"/>
        </w:rPr>
        <w:t>權益法之投資</w:t>
      </w:r>
    </w:p>
    <w:p w14:paraId="3F00FB62" w14:textId="77777777" w:rsidR="00603FE5" w:rsidRPr="00E224E9" w:rsidRDefault="00603FE5" w:rsidP="00603FE5">
      <w:pPr>
        <w:pStyle w:val="4"/>
        <w:spacing w:line="440" w:lineRule="exact"/>
        <w:ind w:leftChars="322" w:left="837" w:firstLine="0"/>
        <w:jc w:val="both"/>
        <w:rPr>
          <w:rFonts w:ascii="Book Antiqua" w:hAnsi="Book Antiqua"/>
          <w:color w:val="000000" w:themeColor="text1"/>
          <w:sz w:val="24"/>
        </w:rPr>
      </w:pPr>
      <w:r w:rsidRPr="00E224E9">
        <w:rPr>
          <w:rFonts w:ascii="Book Antiqua" w:hAnsi="標楷體"/>
          <w:color w:val="000000" w:themeColor="text1"/>
          <w:sz w:val="24"/>
        </w:rPr>
        <w:t>採</w:t>
      </w:r>
      <w:r w:rsidR="00B7525B" w:rsidRPr="00E224E9">
        <w:rPr>
          <w:rFonts w:ascii="Book Antiqua" w:hAnsi="標楷體" w:hint="eastAsia"/>
          <w:color w:val="000000" w:themeColor="text1"/>
          <w:sz w:val="24"/>
          <w:lang w:eastAsia="zh-TW"/>
        </w:rPr>
        <w:t>用</w:t>
      </w:r>
      <w:r w:rsidRPr="00E224E9">
        <w:rPr>
          <w:rFonts w:ascii="Book Antiqua" w:hAnsi="標楷體"/>
          <w:color w:val="000000" w:themeColor="text1"/>
          <w:sz w:val="24"/>
        </w:rPr>
        <w:t>權益法之投資之評價及表達應依</w:t>
      </w:r>
      <w:r w:rsidRPr="00E224E9">
        <w:rPr>
          <w:rFonts w:ascii="Book Antiqua" w:hAnsi="標楷體" w:hint="eastAsia"/>
          <w:color w:val="000000" w:themeColor="text1"/>
          <w:sz w:val="24"/>
        </w:rPr>
        <w:t>國際會計準則</w:t>
      </w:r>
      <w:r w:rsidRPr="00E224E9">
        <w:rPr>
          <w:rFonts w:ascii="Book Antiqua" w:hAnsi="標楷體"/>
          <w:color w:val="000000" w:themeColor="text1"/>
          <w:sz w:val="24"/>
        </w:rPr>
        <w:t>第</w:t>
      </w:r>
      <w:r w:rsidRPr="00E224E9">
        <w:rPr>
          <w:rFonts w:ascii="Book Antiqua" w:hAnsi="標楷體" w:hint="eastAsia"/>
          <w:color w:val="000000" w:themeColor="text1"/>
          <w:sz w:val="24"/>
        </w:rPr>
        <w:t>28</w:t>
      </w:r>
      <w:r w:rsidRPr="00E224E9">
        <w:rPr>
          <w:rFonts w:ascii="Book Antiqua" w:hAnsi="標楷體"/>
          <w:color w:val="000000" w:themeColor="text1"/>
          <w:sz w:val="24"/>
        </w:rPr>
        <w:t>號規定辦理。</w:t>
      </w:r>
    </w:p>
    <w:p w14:paraId="23B8B5BF" w14:textId="77777777" w:rsidR="00603FE5" w:rsidRPr="00E224E9" w:rsidRDefault="00603FE5" w:rsidP="00603FE5">
      <w:pPr>
        <w:pStyle w:val="4"/>
        <w:spacing w:line="440" w:lineRule="exact"/>
        <w:ind w:leftChars="322" w:left="837" w:firstLine="0"/>
        <w:jc w:val="both"/>
        <w:rPr>
          <w:rFonts w:ascii="Book Antiqua" w:hAnsi="Book Antiqua"/>
          <w:color w:val="000000" w:themeColor="text1"/>
          <w:kern w:val="0"/>
          <w:sz w:val="24"/>
        </w:rPr>
      </w:pPr>
      <w:r w:rsidRPr="00E224E9">
        <w:rPr>
          <w:rFonts w:ascii="Book Antiqua" w:hAnsi="標楷體"/>
          <w:color w:val="000000" w:themeColor="text1"/>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00211D62" w14:textId="77777777" w:rsidR="00603FE5" w:rsidRPr="00E224E9" w:rsidRDefault="00603FE5" w:rsidP="004373AD">
      <w:pPr>
        <w:pStyle w:val="4"/>
        <w:numPr>
          <w:ilvl w:val="0"/>
          <w:numId w:val="30"/>
        </w:numPr>
        <w:tabs>
          <w:tab w:val="clear" w:pos="1320"/>
          <w:tab w:val="num" w:pos="1134"/>
        </w:tabs>
        <w:spacing w:line="440" w:lineRule="exact"/>
        <w:ind w:left="1134" w:hanging="283"/>
        <w:jc w:val="both"/>
        <w:rPr>
          <w:rFonts w:ascii="Book Antiqua" w:hAnsi="Book Antiqua"/>
          <w:color w:val="000000" w:themeColor="text1"/>
          <w:kern w:val="0"/>
          <w:sz w:val="24"/>
        </w:rPr>
      </w:pPr>
      <w:r w:rsidRPr="00E224E9">
        <w:rPr>
          <w:rFonts w:ascii="Book Antiqua" w:hAnsi="標楷體"/>
          <w:color w:val="000000" w:themeColor="text1"/>
          <w:kern w:val="0"/>
          <w:sz w:val="24"/>
        </w:rPr>
        <w:t>實收資本額達新臺幣三千萬元以上者。</w:t>
      </w:r>
    </w:p>
    <w:p w14:paraId="1170E689" w14:textId="77777777" w:rsidR="00603FE5" w:rsidRPr="00E224E9" w:rsidRDefault="00603FE5" w:rsidP="004373AD">
      <w:pPr>
        <w:pStyle w:val="4"/>
        <w:numPr>
          <w:ilvl w:val="0"/>
          <w:numId w:val="30"/>
        </w:numPr>
        <w:tabs>
          <w:tab w:val="clear" w:pos="1320"/>
          <w:tab w:val="num" w:pos="1134"/>
        </w:tabs>
        <w:spacing w:line="440" w:lineRule="exact"/>
        <w:ind w:left="1134" w:hanging="283"/>
        <w:jc w:val="both"/>
        <w:rPr>
          <w:rFonts w:ascii="Book Antiqua" w:hAnsi="Book Antiqua"/>
          <w:color w:val="000000" w:themeColor="text1"/>
          <w:sz w:val="24"/>
        </w:rPr>
      </w:pPr>
      <w:r w:rsidRPr="00E224E9">
        <w:rPr>
          <w:rFonts w:ascii="Book Antiqua" w:hAnsi="標楷體"/>
          <w:color w:val="000000" w:themeColor="text1"/>
          <w:kern w:val="0"/>
          <w:sz w:val="24"/>
        </w:rPr>
        <w:t>營業收入達新臺幣五千萬元以上，或達保險業營業收入百分之十以上者。</w:t>
      </w:r>
    </w:p>
    <w:p w14:paraId="3348D683" w14:textId="77777777" w:rsidR="00603FE5" w:rsidRPr="00E224E9" w:rsidRDefault="00603FE5" w:rsidP="00603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E224E9">
        <w:rPr>
          <w:rFonts w:ascii="Book Antiqua" w:hAnsi="標楷體"/>
          <w:color w:val="000000" w:themeColor="text1"/>
          <w:kern w:val="0"/>
          <w:sz w:val="24"/>
        </w:rPr>
        <w:t>若有</w:t>
      </w:r>
      <w:r w:rsidRPr="00E224E9">
        <w:rPr>
          <w:rFonts w:ascii="Book Antiqua" w:hAnsi="標楷體"/>
          <w:color w:val="000000" w:themeColor="text1"/>
          <w:sz w:val="24"/>
        </w:rPr>
        <w:t>減損之客觀證據時，應就帳面價值超過其可回收金額之部分提列減損損失，</w:t>
      </w:r>
      <w:r w:rsidRPr="00E224E9">
        <w:rPr>
          <w:rFonts w:ascii="Book Antiqua" w:hAnsi="標楷體"/>
          <w:color w:val="000000" w:themeColor="text1"/>
          <w:kern w:val="0"/>
          <w:sz w:val="24"/>
        </w:rPr>
        <w:t>並將累計減損金額列於第</w:t>
      </w:r>
      <w:r w:rsidRPr="00E224E9">
        <w:rPr>
          <w:rFonts w:ascii="Book Antiqua" w:hAnsi="Book Antiqua"/>
          <w:color w:val="000000" w:themeColor="text1"/>
          <w:kern w:val="0"/>
          <w:sz w:val="24"/>
        </w:rPr>
        <w:t>3</w:t>
      </w:r>
      <w:r w:rsidRPr="00E224E9">
        <w:rPr>
          <w:rFonts w:ascii="Book Antiqua" w:hAnsi="標楷體"/>
          <w:color w:val="000000" w:themeColor="text1"/>
          <w:kern w:val="0"/>
          <w:sz w:val="24"/>
        </w:rPr>
        <w:t>欄。</w:t>
      </w:r>
      <w:r w:rsidRPr="00E224E9">
        <w:rPr>
          <w:rFonts w:ascii="Book Antiqua" w:hAnsi="標楷體"/>
          <w:color w:val="000000" w:themeColor="text1"/>
          <w:sz w:val="24"/>
        </w:rPr>
        <w:t>採</w:t>
      </w:r>
      <w:r w:rsidR="00EC6B4C" w:rsidRPr="00E224E9">
        <w:rPr>
          <w:rFonts w:ascii="Book Antiqua" w:hAnsi="標楷體" w:hint="eastAsia"/>
          <w:color w:val="000000" w:themeColor="text1"/>
          <w:sz w:val="24"/>
        </w:rPr>
        <w:t>用</w:t>
      </w:r>
      <w:r w:rsidRPr="00E224E9">
        <w:rPr>
          <w:rFonts w:ascii="Book Antiqua" w:hAnsi="標楷體"/>
          <w:color w:val="000000" w:themeColor="text1"/>
          <w:sz w:val="24"/>
        </w:rPr>
        <w:t>權益法之股權投資有存出作為抵繳保證金情事者，應自本</w:t>
      </w:r>
      <w:r w:rsidR="00EC6B4C" w:rsidRPr="00E224E9">
        <w:rPr>
          <w:rFonts w:ascii="Book Antiqua" w:hAnsi="標楷體" w:hint="eastAsia"/>
          <w:color w:val="000000" w:themeColor="text1"/>
          <w:sz w:val="24"/>
        </w:rPr>
        <w:t>項</w:t>
      </w:r>
      <w:r w:rsidRPr="00E224E9">
        <w:rPr>
          <w:rFonts w:ascii="Book Antiqua" w:hAnsi="標楷體"/>
          <w:color w:val="000000" w:themeColor="text1"/>
          <w:sz w:val="24"/>
        </w:rPr>
        <w:t>目項下減除，列為存出保證金</w:t>
      </w:r>
      <w:r w:rsidR="00EC6B4C" w:rsidRPr="00E224E9">
        <w:rPr>
          <w:rFonts w:ascii="Book Antiqua" w:hAnsi="標楷體" w:hint="eastAsia"/>
          <w:color w:val="000000" w:themeColor="text1"/>
          <w:sz w:val="24"/>
        </w:rPr>
        <w:t>項</w:t>
      </w:r>
      <w:r w:rsidRPr="00E224E9">
        <w:rPr>
          <w:rFonts w:ascii="Book Antiqua" w:hAnsi="標楷體"/>
          <w:color w:val="000000" w:themeColor="text1"/>
          <w:sz w:val="24"/>
        </w:rPr>
        <w:t>目。</w:t>
      </w:r>
    </w:p>
    <w:p w14:paraId="0C5A1F0A"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EC6B4C" w:rsidRPr="00E224E9">
        <w:rPr>
          <w:rFonts w:ascii="Book Antiqua" w:hAnsi="Book Antiqua" w:hint="eastAsia"/>
          <w:color w:val="000000" w:themeColor="text1"/>
          <w:sz w:val="24"/>
          <w:lang w:eastAsia="zh-TW"/>
        </w:rPr>
        <w:t>50</w:t>
      </w:r>
      <w:r w:rsidRPr="00E224E9">
        <w:rPr>
          <w:rFonts w:ascii="Book Antiqua" w:hAnsi="標楷體"/>
          <w:color w:val="000000" w:themeColor="text1"/>
          <w:sz w:val="24"/>
        </w:rPr>
        <w:t>列－其他金融資產</w:t>
      </w:r>
    </w:p>
    <w:p w14:paraId="78657834" w14:textId="77777777" w:rsidR="00065C53" w:rsidRPr="00E224E9" w:rsidRDefault="00065C53">
      <w:pPr>
        <w:pStyle w:val="4"/>
        <w:spacing w:line="440" w:lineRule="exact"/>
        <w:ind w:leftChars="300" w:left="780" w:firstLine="0"/>
        <w:jc w:val="both"/>
        <w:rPr>
          <w:rFonts w:ascii="Book Antiqua" w:hAnsi="Book Antiqua"/>
          <w:color w:val="000000" w:themeColor="text1"/>
          <w:kern w:val="0"/>
          <w:sz w:val="24"/>
        </w:rPr>
      </w:pPr>
      <w:r w:rsidRPr="00E224E9">
        <w:rPr>
          <w:rFonts w:ascii="Book Antiqua" w:hAnsi="標楷體"/>
          <w:color w:val="000000" w:themeColor="text1"/>
          <w:sz w:val="24"/>
        </w:rPr>
        <w:t>金融資產未於資產負債表單獨列示者，應列為其他金融資產。</w:t>
      </w:r>
      <w:r w:rsidR="00EC6B4C" w:rsidRPr="00E224E9">
        <w:rPr>
          <w:rFonts w:ascii="Book Antiqua" w:hAnsi="標楷體" w:hint="eastAsia"/>
          <w:color w:val="000000" w:themeColor="text1"/>
          <w:sz w:val="24"/>
          <w:lang w:eastAsia="zh-TW"/>
        </w:rPr>
        <w:t>其他金融資產應</w:t>
      </w:r>
      <w:r w:rsidR="00EC6B4C" w:rsidRPr="00E224E9">
        <w:rPr>
          <w:rFonts w:ascii="Book Antiqua" w:hAnsi="標楷體" w:hint="eastAsia"/>
          <w:color w:val="000000" w:themeColor="text1"/>
          <w:sz w:val="24"/>
        </w:rPr>
        <w:t>依國際財務報導準則第</w:t>
      </w:r>
      <w:r w:rsidR="00EC6B4C" w:rsidRPr="00E224E9">
        <w:rPr>
          <w:rFonts w:ascii="Book Antiqua" w:hAnsi="標楷體" w:hint="eastAsia"/>
          <w:color w:val="000000" w:themeColor="text1"/>
          <w:sz w:val="24"/>
          <w:lang w:eastAsia="zh-TW"/>
        </w:rPr>
        <w:t>9</w:t>
      </w:r>
      <w:r w:rsidR="00EC6B4C" w:rsidRPr="00E224E9">
        <w:rPr>
          <w:rFonts w:ascii="Book Antiqua" w:hAnsi="標楷體" w:hint="eastAsia"/>
          <w:color w:val="000000" w:themeColor="text1"/>
          <w:sz w:val="24"/>
        </w:rPr>
        <w:t>號認列備抵損失</w:t>
      </w:r>
      <w:r w:rsidRPr="00E224E9">
        <w:rPr>
          <w:rFonts w:ascii="Book Antiqua" w:hAnsi="標楷體"/>
          <w:color w:val="000000" w:themeColor="text1"/>
          <w:sz w:val="24"/>
        </w:rPr>
        <w:t>，</w:t>
      </w:r>
      <w:r w:rsidRPr="00E224E9">
        <w:rPr>
          <w:rFonts w:ascii="Book Antiqua" w:hAnsi="標楷體"/>
          <w:color w:val="000000" w:themeColor="text1"/>
          <w:kern w:val="0"/>
          <w:sz w:val="24"/>
        </w:rPr>
        <w:t>並將</w:t>
      </w:r>
      <w:r w:rsidR="00EC6B4C" w:rsidRPr="00E224E9">
        <w:rPr>
          <w:rFonts w:ascii="Book Antiqua" w:hAnsi="標楷體" w:hint="eastAsia"/>
          <w:color w:val="000000" w:themeColor="text1"/>
          <w:sz w:val="24"/>
        </w:rPr>
        <w:t>備抵損失</w:t>
      </w:r>
      <w:r w:rsidRPr="00E224E9">
        <w:rPr>
          <w:rFonts w:ascii="Book Antiqua" w:hAnsi="標楷體"/>
          <w:color w:val="000000" w:themeColor="text1"/>
          <w:kern w:val="0"/>
          <w:sz w:val="24"/>
        </w:rPr>
        <w:t>金額列於第</w:t>
      </w:r>
      <w:r w:rsidRPr="00E224E9">
        <w:rPr>
          <w:rFonts w:ascii="Book Antiqua" w:hAnsi="Book Antiqua"/>
          <w:color w:val="000000" w:themeColor="text1"/>
          <w:kern w:val="0"/>
          <w:sz w:val="24"/>
        </w:rPr>
        <w:t>3</w:t>
      </w:r>
      <w:r w:rsidRPr="00E224E9">
        <w:rPr>
          <w:rFonts w:ascii="Book Antiqua" w:hAnsi="標楷體"/>
          <w:color w:val="000000" w:themeColor="text1"/>
          <w:kern w:val="0"/>
          <w:sz w:val="24"/>
        </w:rPr>
        <w:t>欄。</w:t>
      </w:r>
    </w:p>
    <w:p w14:paraId="67C15E38" w14:textId="77777777" w:rsidR="00F51D78" w:rsidRPr="00E224E9" w:rsidRDefault="00F51D78" w:rsidP="00F51D78">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lang w:eastAsia="zh-TW"/>
        </w:rPr>
        <w:t>51</w:t>
      </w:r>
      <w:r w:rsidRPr="00E224E9">
        <w:rPr>
          <w:rFonts w:ascii="Book Antiqua" w:hAnsi="標楷體"/>
          <w:color w:val="000000" w:themeColor="text1"/>
          <w:sz w:val="24"/>
        </w:rPr>
        <w:t>列－</w:t>
      </w:r>
      <w:r w:rsidRPr="00E224E9">
        <w:rPr>
          <w:rFonts w:ascii="Book Antiqua" w:hAnsi="標楷體" w:hint="eastAsia"/>
          <w:color w:val="000000" w:themeColor="text1"/>
          <w:sz w:val="24"/>
        </w:rPr>
        <w:t>使用權資產</w:t>
      </w:r>
    </w:p>
    <w:p w14:paraId="004889F3" w14:textId="77777777" w:rsidR="00F51D78" w:rsidRPr="00E224E9" w:rsidRDefault="00F51D78" w:rsidP="00F51D78">
      <w:pPr>
        <w:pStyle w:val="4"/>
        <w:spacing w:line="440" w:lineRule="exact"/>
        <w:ind w:leftChars="300" w:left="780" w:firstLine="0"/>
        <w:jc w:val="both"/>
        <w:rPr>
          <w:rFonts w:ascii="Book Antiqua" w:hAnsi="Book Antiqua"/>
          <w:color w:val="000000" w:themeColor="text1"/>
          <w:kern w:val="0"/>
          <w:sz w:val="24"/>
        </w:rPr>
      </w:pPr>
      <w:r w:rsidRPr="00E224E9">
        <w:rPr>
          <w:rFonts w:ascii="Book Antiqua" w:hAnsi="標楷體" w:hint="eastAsia"/>
          <w:color w:val="000000" w:themeColor="text1"/>
          <w:sz w:val="24"/>
        </w:rPr>
        <w:t>指承租人於租賃期間內對標的資產具有使用控制權之資產。</w:t>
      </w:r>
    </w:p>
    <w:p w14:paraId="79E0EF90" w14:textId="77777777" w:rsidR="00F51D78" w:rsidRPr="00E224E9" w:rsidRDefault="00F51D78" w:rsidP="00F51D78">
      <w:pPr>
        <w:pStyle w:val="4"/>
        <w:spacing w:line="440" w:lineRule="exact"/>
        <w:ind w:leftChars="300" w:left="780" w:firstLine="0"/>
        <w:jc w:val="both"/>
        <w:rPr>
          <w:rFonts w:ascii="Book Antiqua" w:hAnsi="Book Antiqua"/>
          <w:color w:val="000000" w:themeColor="text1"/>
          <w:kern w:val="0"/>
          <w:sz w:val="24"/>
        </w:rPr>
      </w:pPr>
      <w:r w:rsidRPr="00E224E9">
        <w:rPr>
          <w:rFonts w:ascii="Book Antiqua" w:hAnsi="Book Antiqua" w:hint="eastAsia"/>
          <w:color w:val="000000" w:themeColor="text1"/>
          <w:kern w:val="0"/>
          <w:sz w:val="24"/>
        </w:rPr>
        <w:t>使用權資產之會計處理應依國際財務報導準則第</w:t>
      </w:r>
      <w:r w:rsidRPr="00E224E9">
        <w:rPr>
          <w:rFonts w:ascii="Book Antiqua" w:hAnsi="Book Antiqua" w:hint="eastAsia"/>
          <w:color w:val="000000" w:themeColor="text1"/>
          <w:kern w:val="0"/>
          <w:sz w:val="24"/>
          <w:lang w:eastAsia="zh-TW"/>
        </w:rPr>
        <w:t>16</w:t>
      </w:r>
      <w:r w:rsidRPr="00E224E9">
        <w:rPr>
          <w:rFonts w:ascii="Book Antiqua" w:hAnsi="Book Antiqua" w:hint="eastAsia"/>
          <w:color w:val="000000" w:themeColor="text1"/>
          <w:kern w:val="0"/>
          <w:sz w:val="24"/>
        </w:rPr>
        <w:t>號規定辦理</w:t>
      </w:r>
      <w:r w:rsidRPr="00E224E9">
        <w:rPr>
          <w:rFonts w:ascii="Book Antiqua" w:hAnsi="Book Antiqua"/>
          <w:color w:val="000000" w:themeColor="text1"/>
          <w:kern w:val="0"/>
          <w:sz w:val="24"/>
        </w:rPr>
        <w:t>。</w:t>
      </w:r>
    </w:p>
    <w:p w14:paraId="455361AC"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7D5BA1"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2</w:t>
      </w:r>
      <w:r w:rsidRPr="00E224E9">
        <w:rPr>
          <w:rFonts w:ascii="Book Antiqua" w:hAnsi="標楷體"/>
          <w:color w:val="000000" w:themeColor="text1"/>
          <w:sz w:val="24"/>
        </w:rPr>
        <w:t>列－投資</w:t>
      </w:r>
      <w:r w:rsidR="00603FE5" w:rsidRPr="00E224E9">
        <w:rPr>
          <w:rFonts w:ascii="Book Antiqua" w:hAnsi="標楷體" w:hint="eastAsia"/>
          <w:color w:val="000000" w:themeColor="text1"/>
          <w:sz w:val="24"/>
        </w:rPr>
        <w:t>性</w:t>
      </w:r>
      <w:r w:rsidR="00603FE5" w:rsidRPr="00E224E9">
        <w:rPr>
          <w:rFonts w:ascii="Book Antiqua" w:hAnsi="標楷體"/>
          <w:color w:val="000000" w:themeColor="text1"/>
          <w:sz w:val="24"/>
        </w:rPr>
        <w:t>不動產</w:t>
      </w:r>
    </w:p>
    <w:p w14:paraId="2AD6DD2D" w14:textId="77777777" w:rsidR="00065C53" w:rsidRPr="00E224E9" w:rsidRDefault="00065C53">
      <w:pPr>
        <w:pStyle w:val="4"/>
        <w:spacing w:line="440" w:lineRule="exact"/>
        <w:ind w:leftChars="322" w:left="837" w:firstLine="0"/>
        <w:jc w:val="both"/>
        <w:rPr>
          <w:rFonts w:ascii="Book Antiqua" w:hAnsi="Book Antiqua"/>
          <w:color w:val="000000" w:themeColor="text1"/>
          <w:sz w:val="24"/>
        </w:rPr>
      </w:pPr>
      <w:r w:rsidRPr="00E224E9">
        <w:rPr>
          <w:rFonts w:ascii="Book Antiqua" w:hAnsi="標楷體"/>
          <w:color w:val="000000" w:themeColor="text1"/>
          <w:sz w:val="24"/>
        </w:rPr>
        <w:t>依保險法規定所為之不動產投資，包括出租</w:t>
      </w:r>
      <w:r w:rsidR="00EC6B4C" w:rsidRPr="00E224E9">
        <w:rPr>
          <w:rFonts w:ascii="Book Antiqua" w:hAnsi="標楷體" w:hint="eastAsia"/>
          <w:color w:val="000000" w:themeColor="text1"/>
          <w:sz w:val="24"/>
          <w:lang w:eastAsia="zh-TW"/>
        </w:rPr>
        <w:t>（</w:t>
      </w:r>
      <w:r w:rsidRPr="00E224E9">
        <w:rPr>
          <w:rFonts w:ascii="Book Antiqua" w:hAnsi="標楷體"/>
          <w:color w:val="000000" w:themeColor="text1"/>
          <w:sz w:val="24"/>
        </w:rPr>
        <w:t>含待出租、待出售</w:t>
      </w:r>
      <w:r w:rsidR="00EC6B4C" w:rsidRPr="00E224E9">
        <w:rPr>
          <w:rFonts w:ascii="Book Antiqua" w:hAnsi="Book Antiqua" w:hint="eastAsia"/>
          <w:color w:val="000000" w:themeColor="text1"/>
          <w:sz w:val="24"/>
          <w:lang w:eastAsia="zh-TW"/>
        </w:rPr>
        <w:t>）</w:t>
      </w:r>
      <w:r w:rsidRPr="00E224E9">
        <w:rPr>
          <w:rFonts w:ascii="Book Antiqua" w:hAnsi="標楷體"/>
          <w:color w:val="000000" w:themeColor="text1"/>
          <w:sz w:val="24"/>
        </w:rPr>
        <w:t>之土地、房屋取得成本及重估增值、累計折舊</w:t>
      </w:r>
      <w:r w:rsidR="00EC6B4C" w:rsidRPr="00E224E9">
        <w:rPr>
          <w:rFonts w:ascii="Book Antiqua" w:hAnsi="Book Antiqua" w:hint="eastAsia"/>
          <w:color w:val="000000" w:themeColor="text1"/>
          <w:sz w:val="24"/>
          <w:lang w:eastAsia="zh-TW"/>
        </w:rPr>
        <w:t>（</w:t>
      </w:r>
      <w:r w:rsidRPr="00E224E9">
        <w:rPr>
          <w:rFonts w:ascii="Book Antiqua" w:hAnsi="標楷體"/>
          <w:color w:val="000000" w:themeColor="text1"/>
          <w:sz w:val="24"/>
        </w:rPr>
        <w:t>房屋</w:t>
      </w:r>
      <w:r w:rsidR="00EC6B4C" w:rsidRPr="00E224E9">
        <w:rPr>
          <w:rFonts w:ascii="Book Antiqua" w:hAnsi="Book Antiqua" w:hint="eastAsia"/>
          <w:color w:val="000000" w:themeColor="text1"/>
          <w:sz w:val="24"/>
          <w:lang w:eastAsia="zh-TW"/>
        </w:rPr>
        <w:t>）</w:t>
      </w:r>
      <w:r w:rsidRPr="00E224E9">
        <w:rPr>
          <w:rFonts w:ascii="Book Antiqua" w:hAnsi="標楷體"/>
          <w:color w:val="000000" w:themeColor="text1"/>
          <w:sz w:val="24"/>
        </w:rPr>
        <w:t>、累計減損、在建工程及預付房地款等</w:t>
      </w:r>
      <w:r w:rsidR="002F699B" w:rsidRPr="00E224E9">
        <w:rPr>
          <w:rFonts w:ascii="Book Antiqua" w:hAnsi="標楷體" w:hint="eastAsia"/>
          <w:color w:val="000000" w:themeColor="text1"/>
          <w:sz w:val="24"/>
        </w:rPr>
        <w:t>項</w:t>
      </w:r>
      <w:r w:rsidRPr="00E224E9">
        <w:rPr>
          <w:rFonts w:ascii="Book Antiqua" w:hAnsi="標楷體"/>
          <w:color w:val="000000" w:themeColor="text1"/>
          <w:sz w:val="24"/>
        </w:rPr>
        <w:t>目。</w:t>
      </w:r>
    </w:p>
    <w:p w14:paraId="0FEFCB16"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3</w:t>
      </w:r>
      <w:r w:rsidRPr="00E224E9">
        <w:rPr>
          <w:rFonts w:ascii="Book Antiqua" w:hAnsi="標楷體"/>
          <w:color w:val="000000" w:themeColor="text1"/>
          <w:sz w:val="24"/>
        </w:rPr>
        <w:t>列－放款</w:t>
      </w:r>
    </w:p>
    <w:p w14:paraId="7D4EC642" w14:textId="77777777" w:rsidR="00065C53" w:rsidRPr="00E224E9" w:rsidRDefault="00065C53">
      <w:pPr>
        <w:pStyle w:val="4"/>
        <w:spacing w:line="440" w:lineRule="exact"/>
        <w:ind w:leftChars="300" w:left="780" w:firstLine="0"/>
        <w:jc w:val="both"/>
        <w:rPr>
          <w:rFonts w:ascii="Book Antiqua" w:hAnsi="Book Antiqua"/>
          <w:color w:val="000000" w:themeColor="text1"/>
          <w:sz w:val="24"/>
        </w:rPr>
      </w:pPr>
      <w:r w:rsidRPr="00E224E9">
        <w:rPr>
          <w:rFonts w:ascii="Book Antiqua" w:hAnsi="標楷體"/>
          <w:color w:val="000000" w:themeColor="text1"/>
          <w:sz w:val="24"/>
        </w:rPr>
        <w:t>包括壽險貸款、墊繳保費及擔保放款。</w:t>
      </w:r>
    </w:p>
    <w:p w14:paraId="5218C5D1" w14:textId="77777777" w:rsidR="00065C53" w:rsidRPr="00E224E9" w:rsidRDefault="00065C53">
      <w:pPr>
        <w:pStyle w:val="4"/>
        <w:spacing w:line="440" w:lineRule="exact"/>
        <w:ind w:leftChars="300" w:left="780" w:firstLine="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4</w:t>
      </w:r>
      <w:r w:rsidRPr="00E224E9">
        <w:rPr>
          <w:rFonts w:ascii="Book Antiqua" w:hAnsi="標楷體"/>
          <w:color w:val="000000" w:themeColor="text1"/>
          <w:sz w:val="24"/>
        </w:rPr>
        <w:t>列壽險貸款、第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5</w:t>
      </w:r>
      <w:r w:rsidRPr="00E224E9">
        <w:rPr>
          <w:rFonts w:ascii="Book Antiqua" w:hAnsi="標楷體"/>
          <w:color w:val="000000" w:themeColor="text1"/>
          <w:sz w:val="24"/>
        </w:rPr>
        <w:t>列墊繳保費、第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6</w:t>
      </w:r>
      <w:r w:rsidRPr="00E224E9">
        <w:rPr>
          <w:rFonts w:ascii="Book Antiqua" w:hAnsi="標楷體"/>
          <w:color w:val="000000" w:themeColor="text1"/>
          <w:sz w:val="24"/>
        </w:rPr>
        <w:t>列擔保放款及第</w:t>
      </w:r>
      <w:r w:rsidR="002F699B" w:rsidRPr="00E224E9">
        <w:rPr>
          <w:rFonts w:ascii="Book Antiqua" w:hAnsi="標楷體" w:hint="eastAsia"/>
          <w:color w:val="000000" w:themeColor="text1"/>
          <w:sz w:val="24"/>
          <w:lang w:eastAsia="zh-TW"/>
        </w:rPr>
        <w:t>5</w:t>
      </w:r>
      <w:r w:rsidR="00F51D78" w:rsidRPr="00E224E9">
        <w:rPr>
          <w:rFonts w:ascii="Book Antiqua" w:hAnsi="標楷體" w:hint="eastAsia"/>
          <w:color w:val="000000" w:themeColor="text1"/>
          <w:sz w:val="24"/>
          <w:lang w:eastAsia="zh-TW"/>
        </w:rPr>
        <w:t>7</w:t>
      </w:r>
      <w:r w:rsidRPr="00E224E9">
        <w:rPr>
          <w:rFonts w:ascii="Book Antiqua" w:hAnsi="標楷體"/>
          <w:color w:val="000000" w:themeColor="text1"/>
          <w:sz w:val="24"/>
        </w:rPr>
        <w:t>列催收款項金額加總之和。</w:t>
      </w:r>
    </w:p>
    <w:p w14:paraId="1B69B5E0"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4</w:t>
      </w:r>
      <w:r w:rsidRPr="00E224E9">
        <w:rPr>
          <w:rFonts w:ascii="Book Antiqua" w:hAnsi="標楷體"/>
          <w:color w:val="000000" w:themeColor="text1"/>
          <w:sz w:val="24"/>
        </w:rPr>
        <w:t>列－壽險貸款</w:t>
      </w:r>
    </w:p>
    <w:p w14:paraId="417308C6" w14:textId="77777777" w:rsidR="00065C53" w:rsidRPr="00E224E9" w:rsidRDefault="00065C53">
      <w:pPr>
        <w:pStyle w:val="4"/>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係依照保險契約規定，經要保人申請，以保單為質之放款。</w:t>
      </w:r>
    </w:p>
    <w:p w14:paraId="752468D2"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5</w:t>
      </w:r>
      <w:r w:rsidRPr="00E224E9">
        <w:rPr>
          <w:rFonts w:ascii="Book Antiqua" w:hAnsi="標楷體"/>
          <w:color w:val="000000" w:themeColor="text1"/>
          <w:sz w:val="24"/>
        </w:rPr>
        <w:t>列－墊繳保費</w:t>
      </w:r>
    </w:p>
    <w:p w14:paraId="10D638C7" w14:textId="77777777" w:rsidR="00065C53" w:rsidRPr="00E224E9" w:rsidRDefault="00065C53">
      <w:pPr>
        <w:pStyle w:val="4"/>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係依照保險契約之規定，代為墊繳之保險費屬之。</w:t>
      </w:r>
    </w:p>
    <w:p w14:paraId="054CE0C5"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6</w:t>
      </w:r>
      <w:r w:rsidRPr="00E224E9">
        <w:rPr>
          <w:rFonts w:ascii="Book Antiqua" w:hAnsi="標楷體"/>
          <w:color w:val="000000" w:themeColor="text1"/>
          <w:sz w:val="24"/>
        </w:rPr>
        <w:t>列－擔保放款</w:t>
      </w:r>
    </w:p>
    <w:p w14:paraId="71579B10"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kern w:val="0"/>
          <w:sz w:val="24"/>
        </w:rPr>
      </w:pPr>
      <w:r w:rsidRPr="00E224E9">
        <w:rPr>
          <w:rFonts w:ascii="Book Antiqua" w:hAnsi="標楷體"/>
          <w:color w:val="000000" w:themeColor="text1"/>
          <w:kern w:val="0"/>
          <w:sz w:val="24"/>
        </w:rPr>
        <w:lastRenderedPageBreak/>
        <w:t>係依保險法第一百四十六條之三規定或經主管機關專案核准之放款均屬之。包括銀行保證之放款、以不動產、動產、有價證券抵質押之放款及經主管機關專案核准之放款。</w:t>
      </w:r>
    </w:p>
    <w:p w14:paraId="48E4A92D"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sz w:val="24"/>
        </w:rPr>
      </w:pPr>
      <w:r w:rsidRPr="00E224E9">
        <w:rPr>
          <w:rFonts w:ascii="Book Antiqua" w:hAnsi="標楷體"/>
          <w:color w:val="000000" w:themeColor="text1"/>
          <w:sz w:val="24"/>
        </w:rPr>
        <w:t>決</w:t>
      </w:r>
      <w:r w:rsidR="002F699B" w:rsidRPr="00E224E9">
        <w:rPr>
          <w:rFonts w:ascii="Book Antiqua" w:hAnsi="Book Antiqua" w:hint="eastAsia"/>
          <w:color w:val="000000" w:themeColor="text1"/>
          <w:sz w:val="24"/>
        </w:rPr>
        <w:t>（</w:t>
      </w:r>
      <w:r w:rsidRPr="00E224E9">
        <w:rPr>
          <w:rFonts w:ascii="Book Antiqua" w:hAnsi="標楷體"/>
          <w:color w:val="000000" w:themeColor="text1"/>
          <w:sz w:val="24"/>
        </w:rPr>
        <w:t>結</w:t>
      </w:r>
      <w:r w:rsidR="002F699B" w:rsidRPr="00E224E9">
        <w:rPr>
          <w:rFonts w:ascii="Book Antiqua" w:hAnsi="Book Antiqua" w:hint="eastAsia"/>
          <w:color w:val="000000" w:themeColor="text1"/>
          <w:sz w:val="24"/>
        </w:rPr>
        <w:t>）</w:t>
      </w:r>
      <w:r w:rsidRPr="00E224E9">
        <w:rPr>
          <w:rFonts w:ascii="Book Antiqua" w:hAnsi="標楷體"/>
          <w:color w:val="000000" w:themeColor="text1"/>
          <w:sz w:val="24"/>
        </w:rPr>
        <w:t>算時應</w:t>
      </w:r>
      <w:r w:rsidR="001B6698" w:rsidRPr="00E224E9">
        <w:rPr>
          <w:rFonts w:ascii="Book Antiqua" w:hAnsi="標楷體" w:hint="eastAsia"/>
          <w:color w:val="000000" w:themeColor="text1"/>
          <w:sz w:val="24"/>
        </w:rPr>
        <w:t>依國際財務報導準則第</w:t>
      </w:r>
      <w:r w:rsidR="001B6698" w:rsidRPr="00E224E9">
        <w:rPr>
          <w:rFonts w:ascii="Book Antiqua" w:hAnsi="標楷體" w:hint="eastAsia"/>
          <w:color w:val="000000" w:themeColor="text1"/>
          <w:sz w:val="24"/>
        </w:rPr>
        <w:t>9</w:t>
      </w:r>
      <w:r w:rsidR="001B6698" w:rsidRPr="00E224E9">
        <w:rPr>
          <w:rFonts w:ascii="Book Antiqua" w:hAnsi="標楷體" w:hint="eastAsia"/>
          <w:color w:val="000000" w:themeColor="text1"/>
          <w:sz w:val="24"/>
        </w:rPr>
        <w:t>號認列備抵損失</w:t>
      </w:r>
      <w:r w:rsidRPr="00E224E9">
        <w:rPr>
          <w:rFonts w:ascii="Book Antiqua" w:hAnsi="標楷體"/>
          <w:color w:val="000000" w:themeColor="text1"/>
          <w:sz w:val="24"/>
        </w:rPr>
        <w:t>，於第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073B00A3"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2F699B" w:rsidRPr="00E224E9">
        <w:rPr>
          <w:rFonts w:ascii="Book Antiqua" w:hAnsi="標楷體" w:hint="eastAsia"/>
          <w:color w:val="000000" w:themeColor="text1"/>
          <w:sz w:val="24"/>
          <w:lang w:eastAsia="zh-TW"/>
        </w:rPr>
        <w:t>5</w:t>
      </w:r>
      <w:r w:rsidR="00F51D78" w:rsidRPr="00E224E9">
        <w:rPr>
          <w:rFonts w:ascii="Book Antiqua" w:hAnsi="Book Antiqua" w:hint="eastAsia"/>
          <w:color w:val="000000" w:themeColor="text1"/>
          <w:sz w:val="24"/>
        </w:rPr>
        <w:t>7</w:t>
      </w:r>
      <w:r w:rsidRPr="00E224E9">
        <w:rPr>
          <w:rFonts w:ascii="Book Antiqua" w:hAnsi="標楷體"/>
          <w:color w:val="000000" w:themeColor="text1"/>
          <w:sz w:val="24"/>
        </w:rPr>
        <w:t>列－</w:t>
      </w:r>
      <w:r w:rsidRPr="00E224E9">
        <w:rPr>
          <w:rFonts w:ascii="Book Antiqua" w:hAnsi="標楷體"/>
          <w:color w:val="000000" w:themeColor="text1"/>
          <w:kern w:val="0"/>
          <w:sz w:val="24"/>
        </w:rPr>
        <w:t>催收款項</w:t>
      </w:r>
    </w:p>
    <w:p w14:paraId="7D942628" w14:textId="77777777" w:rsidR="00065C53" w:rsidRPr="00E224E9" w:rsidRDefault="00065C53">
      <w:pPr>
        <w:pStyle w:val="4"/>
        <w:spacing w:line="440" w:lineRule="exact"/>
        <w:ind w:leftChars="322" w:left="837" w:firstLine="0"/>
        <w:jc w:val="both"/>
        <w:rPr>
          <w:rFonts w:ascii="Book Antiqua" w:hAnsi="Book Antiqua"/>
          <w:color w:val="000000" w:themeColor="text1"/>
          <w:sz w:val="24"/>
        </w:rPr>
      </w:pPr>
      <w:r w:rsidRPr="00E224E9">
        <w:rPr>
          <w:rFonts w:ascii="Book Antiqua" w:hAnsi="標楷體"/>
          <w:color w:val="000000" w:themeColor="text1"/>
          <w:sz w:val="24"/>
        </w:rPr>
        <w:t>凡逾期放款清償期屆滿後</w:t>
      </w:r>
      <w:r w:rsidRPr="00E224E9">
        <w:rPr>
          <w:rFonts w:ascii="Book Antiqua" w:hAnsi="Book Antiqua"/>
          <w:color w:val="000000" w:themeColor="text1"/>
          <w:sz w:val="24"/>
        </w:rPr>
        <w:t>6</w:t>
      </w:r>
      <w:r w:rsidRPr="00E224E9">
        <w:rPr>
          <w:rFonts w:ascii="Book Antiqua" w:hAnsi="標楷體"/>
          <w:color w:val="000000" w:themeColor="text1"/>
          <w:sz w:val="24"/>
        </w:rPr>
        <w:t>個月內轉入催收款項屬之。</w:t>
      </w:r>
    </w:p>
    <w:p w14:paraId="3788CE88" w14:textId="77777777" w:rsidR="00065C53" w:rsidRPr="00E224E9" w:rsidRDefault="00065C53">
      <w:pPr>
        <w:pStyle w:val="4"/>
        <w:spacing w:line="440" w:lineRule="exact"/>
        <w:ind w:leftChars="322" w:left="837" w:firstLine="0"/>
        <w:jc w:val="both"/>
        <w:rPr>
          <w:rFonts w:ascii="Book Antiqua" w:hAnsi="Book Antiqua"/>
          <w:color w:val="000000" w:themeColor="text1"/>
          <w:sz w:val="24"/>
        </w:rPr>
      </w:pPr>
      <w:r w:rsidRPr="00E224E9">
        <w:rPr>
          <w:rFonts w:ascii="Book Antiqua" w:hAnsi="標楷體"/>
          <w:color w:val="000000" w:themeColor="text1"/>
          <w:sz w:val="24"/>
        </w:rPr>
        <w:t>決</w:t>
      </w:r>
      <w:r w:rsidR="002F699B" w:rsidRPr="00E224E9">
        <w:rPr>
          <w:rFonts w:ascii="Book Antiqua" w:hAnsi="Book Antiqua" w:hint="eastAsia"/>
          <w:color w:val="000000" w:themeColor="text1"/>
          <w:sz w:val="24"/>
        </w:rPr>
        <w:t>（</w:t>
      </w:r>
      <w:r w:rsidRPr="00E224E9">
        <w:rPr>
          <w:rFonts w:ascii="Book Antiqua" w:hAnsi="標楷體"/>
          <w:color w:val="000000" w:themeColor="text1"/>
          <w:sz w:val="24"/>
        </w:rPr>
        <w:t>結</w:t>
      </w:r>
      <w:r w:rsidR="002F699B" w:rsidRPr="00E224E9">
        <w:rPr>
          <w:rFonts w:ascii="Book Antiqua" w:hAnsi="Book Antiqua" w:hint="eastAsia"/>
          <w:color w:val="000000" w:themeColor="text1"/>
          <w:sz w:val="24"/>
        </w:rPr>
        <w:t>）</w:t>
      </w:r>
      <w:r w:rsidRPr="00E224E9">
        <w:rPr>
          <w:rFonts w:ascii="Book Antiqua" w:hAnsi="標楷體"/>
          <w:color w:val="000000" w:themeColor="text1"/>
          <w:sz w:val="24"/>
        </w:rPr>
        <w:t>算時應</w:t>
      </w:r>
      <w:r w:rsidR="001B6698" w:rsidRPr="00E224E9">
        <w:rPr>
          <w:rFonts w:ascii="Book Antiqua" w:hAnsi="標楷體" w:hint="eastAsia"/>
          <w:color w:val="000000" w:themeColor="text1"/>
          <w:sz w:val="24"/>
        </w:rPr>
        <w:t>依國際財務報導準則第</w:t>
      </w:r>
      <w:r w:rsidR="001B6698" w:rsidRPr="00E224E9">
        <w:rPr>
          <w:rFonts w:ascii="Book Antiqua" w:hAnsi="標楷體" w:hint="eastAsia"/>
          <w:color w:val="000000" w:themeColor="text1"/>
          <w:sz w:val="24"/>
          <w:lang w:eastAsia="zh-TW"/>
        </w:rPr>
        <w:t>9</w:t>
      </w:r>
      <w:r w:rsidR="001B6698" w:rsidRPr="00E224E9">
        <w:rPr>
          <w:rFonts w:ascii="Book Antiqua" w:hAnsi="標楷體" w:hint="eastAsia"/>
          <w:color w:val="000000" w:themeColor="text1"/>
          <w:sz w:val="24"/>
        </w:rPr>
        <w:t>號認列備抵損失</w:t>
      </w:r>
      <w:r w:rsidRPr="00E224E9">
        <w:rPr>
          <w:rFonts w:ascii="Book Antiqua" w:hAnsi="標楷體"/>
          <w:color w:val="000000" w:themeColor="text1"/>
          <w:sz w:val="24"/>
        </w:rPr>
        <w:t>，於第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166816F1"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1B6698" w:rsidRPr="00E224E9">
        <w:rPr>
          <w:rFonts w:ascii="Book Antiqua" w:hAnsi="標楷體" w:hint="eastAsia"/>
          <w:color w:val="000000" w:themeColor="text1"/>
          <w:sz w:val="24"/>
          <w:lang w:eastAsia="zh-TW"/>
        </w:rPr>
        <w:t>5</w:t>
      </w:r>
      <w:r w:rsidR="00F51D78" w:rsidRPr="00E224E9">
        <w:rPr>
          <w:rFonts w:ascii="Book Antiqua" w:hAnsi="Book Antiqua"/>
          <w:color w:val="000000" w:themeColor="text1"/>
          <w:sz w:val="24"/>
        </w:rPr>
        <w:t>8</w:t>
      </w:r>
      <w:r w:rsidRPr="00E224E9">
        <w:rPr>
          <w:rFonts w:ascii="Book Antiqua" w:hAnsi="標楷體"/>
          <w:color w:val="000000" w:themeColor="text1"/>
          <w:sz w:val="24"/>
        </w:rPr>
        <w:t>列－</w:t>
      </w:r>
      <w:r w:rsidR="00603FE5" w:rsidRPr="00E224E9">
        <w:rPr>
          <w:rFonts w:ascii="Book Antiqua" w:hAnsi="標楷體" w:hint="eastAsia"/>
          <w:color w:val="000000" w:themeColor="text1"/>
          <w:sz w:val="24"/>
        </w:rPr>
        <w:t>再保險合約資產</w:t>
      </w:r>
    </w:p>
    <w:p w14:paraId="3244E5BB" w14:textId="77777777" w:rsidR="00065C53" w:rsidRPr="00E224E9" w:rsidRDefault="00065C53">
      <w:pPr>
        <w:pStyle w:val="4"/>
        <w:spacing w:line="440" w:lineRule="exact"/>
        <w:ind w:leftChars="322" w:left="837" w:firstLine="0"/>
        <w:jc w:val="both"/>
        <w:rPr>
          <w:rFonts w:ascii="Book Antiqua" w:hAnsi="Book Antiqua"/>
          <w:color w:val="000000" w:themeColor="text1"/>
          <w:sz w:val="24"/>
        </w:rPr>
      </w:pPr>
      <w:r w:rsidRPr="00E224E9">
        <w:rPr>
          <w:rFonts w:ascii="Book Antiqua" w:hAnsi="標楷體"/>
          <w:color w:val="000000" w:themeColor="text1"/>
          <w:sz w:val="24"/>
        </w:rPr>
        <w:t>係分出公司之</w:t>
      </w:r>
      <w:r w:rsidR="00212E75" w:rsidRPr="00E224E9">
        <w:rPr>
          <w:rFonts w:ascii="Book Antiqua" w:hAnsi="標楷體" w:hint="eastAsia"/>
          <w:color w:val="000000" w:themeColor="text1"/>
          <w:sz w:val="24"/>
        </w:rPr>
        <w:t>應攤回再保賠款與給付</w:t>
      </w:r>
      <w:r w:rsidR="00212E75" w:rsidRPr="00E224E9">
        <w:rPr>
          <w:rFonts w:ascii="Book Antiqua" w:hAnsi="標楷體"/>
          <w:color w:val="000000" w:themeColor="text1"/>
          <w:sz w:val="24"/>
        </w:rPr>
        <w:t>、</w:t>
      </w:r>
      <w:r w:rsidR="00212E75" w:rsidRPr="00E224E9">
        <w:rPr>
          <w:rFonts w:ascii="Book Antiqua" w:hAnsi="標楷體" w:hint="eastAsia"/>
          <w:color w:val="000000" w:themeColor="text1"/>
          <w:sz w:val="24"/>
        </w:rPr>
        <w:t>應收再保往來款項</w:t>
      </w:r>
      <w:r w:rsidR="00212E75" w:rsidRPr="00E224E9">
        <w:rPr>
          <w:rFonts w:ascii="Book Antiqua" w:hAnsi="標楷體"/>
          <w:color w:val="000000" w:themeColor="text1"/>
          <w:sz w:val="24"/>
        </w:rPr>
        <w:t>、</w:t>
      </w:r>
      <w:r w:rsidR="00212E75" w:rsidRPr="00E224E9">
        <w:rPr>
          <w:rFonts w:ascii="Book Antiqua" w:hAnsi="標楷體" w:hint="eastAsia"/>
          <w:color w:val="000000" w:themeColor="text1"/>
          <w:sz w:val="24"/>
        </w:rPr>
        <w:t>及再保險準備資產</w:t>
      </w:r>
      <w:r w:rsidRPr="00E224E9">
        <w:rPr>
          <w:rFonts w:ascii="Book Antiqua" w:hAnsi="標楷體"/>
          <w:color w:val="000000" w:themeColor="text1"/>
          <w:sz w:val="24"/>
        </w:rPr>
        <w:t>，依保險法、保險業各種準備金提存辦法、專業再保險業財務業務管理辦法及其相關解釋函令之規定及再保險契約約定，分出公司對再保險人之淨權利，包括</w:t>
      </w:r>
      <w:r w:rsidR="00212E75"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9</w:t>
      </w:r>
      <w:r w:rsidR="00212E75" w:rsidRPr="00E224E9">
        <w:rPr>
          <w:rFonts w:ascii="Book Antiqua" w:hAnsi="標楷體"/>
          <w:color w:val="000000" w:themeColor="text1"/>
          <w:sz w:val="24"/>
        </w:rPr>
        <w:t>列</w:t>
      </w:r>
      <w:r w:rsidR="00212E75" w:rsidRPr="00E224E9">
        <w:rPr>
          <w:rFonts w:ascii="Book Antiqua" w:hAnsi="標楷體" w:hint="eastAsia"/>
          <w:color w:val="000000" w:themeColor="text1"/>
          <w:sz w:val="24"/>
        </w:rPr>
        <w:t>應攤回再保賠款與給付</w:t>
      </w:r>
      <w:r w:rsidR="00212E75" w:rsidRPr="00E224E9">
        <w:rPr>
          <w:rFonts w:ascii="Book Antiqua" w:hAnsi="標楷體"/>
          <w:color w:val="000000" w:themeColor="text1"/>
          <w:sz w:val="24"/>
        </w:rPr>
        <w:t>、第</w:t>
      </w:r>
      <w:r w:rsidR="00F51D78" w:rsidRPr="00E224E9">
        <w:rPr>
          <w:rFonts w:ascii="Book Antiqua" w:hAnsi="Book Antiqua" w:hint="eastAsia"/>
          <w:color w:val="000000" w:themeColor="text1"/>
          <w:sz w:val="24"/>
          <w:lang w:eastAsia="zh-TW"/>
        </w:rPr>
        <w:t>60</w:t>
      </w:r>
      <w:r w:rsidR="00212E75" w:rsidRPr="00E224E9">
        <w:rPr>
          <w:rFonts w:ascii="Book Antiqua" w:hAnsi="標楷體"/>
          <w:color w:val="000000" w:themeColor="text1"/>
          <w:sz w:val="24"/>
        </w:rPr>
        <w:t>列</w:t>
      </w:r>
      <w:r w:rsidR="00212E75" w:rsidRPr="00E224E9">
        <w:rPr>
          <w:rFonts w:ascii="Book Antiqua" w:hAnsi="標楷體" w:hint="eastAsia"/>
          <w:color w:val="000000" w:themeColor="text1"/>
          <w:sz w:val="24"/>
        </w:rPr>
        <w:t>應攤回再保賠款與給付</w:t>
      </w:r>
      <w:r w:rsidR="00212E75" w:rsidRPr="00E224E9">
        <w:rPr>
          <w:rFonts w:ascii="Book Antiqua" w:hAnsi="標楷體" w:hint="eastAsia"/>
          <w:color w:val="000000" w:themeColor="text1"/>
          <w:sz w:val="24"/>
        </w:rPr>
        <w:t>--</w:t>
      </w:r>
      <w:r w:rsidR="00212E75" w:rsidRPr="00E224E9">
        <w:rPr>
          <w:rFonts w:ascii="Book Antiqua" w:hAnsi="標楷體" w:hint="eastAsia"/>
          <w:color w:val="000000" w:themeColor="text1"/>
          <w:sz w:val="24"/>
        </w:rPr>
        <w:t>催收款項</w:t>
      </w:r>
      <w:r w:rsidR="00212E75"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1</w:t>
      </w:r>
      <w:r w:rsidR="00212E75" w:rsidRPr="00E224E9">
        <w:rPr>
          <w:rFonts w:ascii="Book Antiqua" w:hAnsi="標楷體"/>
          <w:color w:val="000000" w:themeColor="text1"/>
          <w:sz w:val="24"/>
        </w:rPr>
        <w:t>列</w:t>
      </w:r>
      <w:r w:rsidR="00212E75" w:rsidRPr="00E224E9">
        <w:rPr>
          <w:rFonts w:ascii="Book Antiqua" w:hAnsi="標楷體" w:hint="eastAsia"/>
          <w:color w:val="000000" w:themeColor="text1"/>
          <w:sz w:val="24"/>
        </w:rPr>
        <w:t>應收再保往來款項</w:t>
      </w:r>
      <w:r w:rsidR="00212E75"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2</w:t>
      </w:r>
      <w:r w:rsidR="00212E75" w:rsidRPr="00E224E9">
        <w:rPr>
          <w:rFonts w:ascii="Book Antiqua" w:hAnsi="標楷體"/>
          <w:color w:val="000000" w:themeColor="text1"/>
          <w:sz w:val="24"/>
        </w:rPr>
        <w:t>列</w:t>
      </w:r>
      <w:r w:rsidR="00212E75" w:rsidRPr="00E224E9">
        <w:rPr>
          <w:rFonts w:ascii="Book Antiqua" w:hAnsi="標楷體" w:hint="eastAsia"/>
          <w:color w:val="000000" w:themeColor="text1"/>
          <w:sz w:val="24"/>
        </w:rPr>
        <w:t>應收再保往來款項</w:t>
      </w:r>
      <w:r w:rsidR="00212E75" w:rsidRPr="00E224E9">
        <w:rPr>
          <w:rFonts w:ascii="Book Antiqua" w:hAnsi="標楷體" w:hint="eastAsia"/>
          <w:color w:val="000000" w:themeColor="text1"/>
          <w:sz w:val="24"/>
        </w:rPr>
        <w:t>--</w:t>
      </w:r>
      <w:r w:rsidR="00212E75" w:rsidRPr="00E224E9">
        <w:rPr>
          <w:rFonts w:ascii="Book Antiqua" w:hAnsi="標楷體" w:hint="eastAsia"/>
          <w:color w:val="000000" w:themeColor="text1"/>
          <w:sz w:val="24"/>
        </w:rPr>
        <w:t>催收款項</w:t>
      </w:r>
      <w:r w:rsidR="00212E75" w:rsidRPr="00E224E9">
        <w:rPr>
          <w:rFonts w:ascii="Book Antiqua" w:hAnsi="標楷體"/>
          <w:color w:val="000000" w:themeColor="text1"/>
          <w:sz w:val="24"/>
        </w:rPr>
        <w:t>、</w:t>
      </w:r>
      <w:r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3</w:t>
      </w:r>
      <w:r w:rsidRPr="00E224E9">
        <w:rPr>
          <w:rFonts w:ascii="Book Antiqua" w:hAnsi="標楷體"/>
          <w:color w:val="000000" w:themeColor="text1"/>
          <w:sz w:val="24"/>
        </w:rPr>
        <w:t>列分出未滿期保費準備、第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4</w:t>
      </w:r>
      <w:r w:rsidRPr="00E224E9">
        <w:rPr>
          <w:rFonts w:ascii="Book Antiqua" w:hAnsi="標楷體"/>
          <w:color w:val="000000" w:themeColor="text1"/>
          <w:sz w:val="24"/>
        </w:rPr>
        <w:t>列分出賠款準備、第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5</w:t>
      </w:r>
      <w:r w:rsidRPr="00E224E9">
        <w:rPr>
          <w:rFonts w:ascii="Book Antiqua" w:hAnsi="標楷體"/>
          <w:color w:val="000000" w:themeColor="text1"/>
          <w:sz w:val="24"/>
        </w:rPr>
        <w:t>列分出責任準備、第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6</w:t>
      </w:r>
      <w:r w:rsidRPr="00E224E9">
        <w:rPr>
          <w:rFonts w:ascii="Book Antiqua" w:hAnsi="標楷體"/>
          <w:color w:val="000000" w:themeColor="text1"/>
          <w:sz w:val="24"/>
        </w:rPr>
        <w:t>列分出保費不足準備及第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7</w:t>
      </w:r>
      <w:r w:rsidRPr="00E224E9">
        <w:rPr>
          <w:rFonts w:ascii="Book Antiqua" w:hAnsi="標楷體"/>
          <w:color w:val="000000" w:themeColor="text1"/>
          <w:sz w:val="24"/>
        </w:rPr>
        <w:t>列分出負債適足準備。</w:t>
      </w:r>
    </w:p>
    <w:p w14:paraId="182E0A08" w14:textId="77777777" w:rsidR="00065C53" w:rsidRPr="00E224E9" w:rsidRDefault="00065C53" w:rsidP="00F3152E">
      <w:pPr>
        <w:pStyle w:val="4"/>
        <w:spacing w:line="440" w:lineRule="exact"/>
        <w:ind w:leftChars="327" w:left="850" w:firstLine="0"/>
        <w:jc w:val="both"/>
        <w:rPr>
          <w:rFonts w:ascii="Book Antiqua" w:hAnsi="Book Antiqua"/>
          <w:color w:val="000000" w:themeColor="text1"/>
          <w:kern w:val="0"/>
          <w:sz w:val="24"/>
        </w:rPr>
      </w:pPr>
      <w:r w:rsidRPr="00E224E9">
        <w:rPr>
          <w:rFonts w:ascii="Book Antiqua" w:hAnsi="標楷體"/>
          <w:color w:val="000000" w:themeColor="text1"/>
          <w:sz w:val="24"/>
        </w:rPr>
        <w:t>各項再保險</w:t>
      </w:r>
      <w:r w:rsidR="001B6698" w:rsidRPr="00E224E9">
        <w:rPr>
          <w:rFonts w:ascii="Book Antiqua" w:hAnsi="標楷體" w:hint="eastAsia"/>
          <w:color w:val="000000" w:themeColor="text1"/>
          <w:sz w:val="24"/>
          <w:lang w:eastAsia="zh-TW"/>
        </w:rPr>
        <w:t>合約</w:t>
      </w:r>
      <w:r w:rsidRPr="00E224E9">
        <w:rPr>
          <w:rFonts w:ascii="Book Antiqua" w:hAnsi="標楷體"/>
          <w:color w:val="000000" w:themeColor="text1"/>
          <w:sz w:val="24"/>
        </w:rPr>
        <w:t>資產</w:t>
      </w:r>
      <w:r w:rsidR="001B6698" w:rsidRPr="00E224E9">
        <w:rPr>
          <w:rFonts w:ascii="Book Antiqua" w:hAnsi="標楷體"/>
          <w:color w:val="000000" w:themeColor="text1"/>
          <w:sz w:val="24"/>
        </w:rPr>
        <w:t>應</w:t>
      </w:r>
      <w:r w:rsidR="001B6698" w:rsidRPr="00E224E9">
        <w:rPr>
          <w:rFonts w:ascii="Book Antiqua" w:hAnsi="標楷體" w:hint="eastAsia"/>
          <w:color w:val="000000" w:themeColor="text1"/>
          <w:sz w:val="24"/>
        </w:rPr>
        <w:t>依國際財務報導準則第</w:t>
      </w:r>
      <w:r w:rsidR="001B6698" w:rsidRPr="00E224E9">
        <w:rPr>
          <w:rFonts w:ascii="Book Antiqua" w:hAnsi="標楷體" w:hint="eastAsia"/>
          <w:color w:val="000000" w:themeColor="text1"/>
          <w:sz w:val="24"/>
          <w:lang w:eastAsia="zh-TW"/>
        </w:rPr>
        <w:t>9</w:t>
      </w:r>
      <w:r w:rsidR="001B6698" w:rsidRPr="00E224E9">
        <w:rPr>
          <w:rFonts w:ascii="Book Antiqua" w:hAnsi="標楷體" w:hint="eastAsia"/>
          <w:color w:val="000000" w:themeColor="text1"/>
          <w:sz w:val="24"/>
        </w:rPr>
        <w:t>號認列備抵損失</w:t>
      </w:r>
      <w:r w:rsidRPr="00E224E9">
        <w:rPr>
          <w:rFonts w:ascii="Book Antiqua" w:hAnsi="標楷體"/>
          <w:color w:val="000000" w:themeColor="text1"/>
          <w:sz w:val="24"/>
        </w:rPr>
        <w:t>，</w:t>
      </w:r>
      <w:r w:rsidRPr="00E224E9">
        <w:rPr>
          <w:rFonts w:ascii="Book Antiqua" w:hAnsi="標楷體"/>
          <w:color w:val="000000" w:themeColor="text1"/>
          <w:kern w:val="0"/>
          <w:sz w:val="24"/>
        </w:rPr>
        <w:t>並將</w:t>
      </w:r>
      <w:r w:rsidR="001B6698" w:rsidRPr="00E224E9">
        <w:rPr>
          <w:rFonts w:ascii="Book Antiqua" w:hAnsi="標楷體" w:hint="eastAsia"/>
          <w:color w:val="000000" w:themeColor="text1"/>
          <w:sz w:val="24"/>
        </w:rPr>
        <w:t>備抵損失</w:t>
      </w:r>
      <w:r w:rsidRPr="00E224E9">
        <w:rPr>
          <w:rFonts w:ascii="Book Antiqua" w:hAnsi="標楷體"/>
          <w:color w:val="000000" w:themeColor="text1"/>
          <w:kern w:val="0"/>
          <w:sz w:val="24"/>
        </w:rPr>
        <w:t>金額列於第</w:t>
      </w:r>
      <w:r w:rsidRPr="00E224E9">
        <w:rPr>
          <w:rFonts w:ascii="Book Antiqua" w:hAnsi="Book Antiqua"/>
          <w:color w:val="000000" w:themeColor="text1"/>
          <w:kern w:val="0"/>
          <w:sz w:val="24"/>
        </w:rPr>
        <w:t>3</w:t>
      </w:r>
      <w:r w:rsidRPr="00E224E9">
        <w:rPr>
          <w:rFonts w:ascii="Book Antiqua" w:hAnsi="標楷體"/>
          <w:color w:val="000000" w:themeColor="text1"/>
          <w:kern w:val="0"/>
          <w:sz w:val="24"/>
        </w:rPr>
        <w:t>欄。</w:t>
      </w:r>
    </w:p>
    <w:p w14:paraId="3943993E"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8</w:t>
      </w:r>
      <w:r w:rsidRPr="00E224E9">
        <w:rPr>
          <w:rFonts w:ascii="Book Antiqua" w:hAnsi="標楷體"/>
          <w:color w:val="000000" w:themeColor="text1"/>
          <w:sz w:val="24"/>
        </w:rPr>
        <w:t>列－</w:t>
      </w:r>
      <w:r w:rsidR="00212E75" w:rsidRPr="00E224E9">
        <w:rPr>
          <w:rFonts w:ascii="Book Antiqua" w:hAnsi="標楷體" w:hint="eastAsia"/>
          <w:color w:val="000000" w:themeColor="text1"/>
          <w:sz w:val="24"/>
        </w:rPr>
        <w:t>不動產及設備</w:t>
      </w:r>
    </w:p>
    <w:p w14:paraId="715AAC2C" w14:textId="77777777" w:rsidR="00065C53" w:rsidRPr="00E224E9" w:rsidRDefault="00065C53">
      <w:pPr>
        <w:pStyle w:val="HTML"/>
        <w:spacing w:line="440" w:lineRule="exact"/>
        <w:ind w:leftChars="346" w:left="900"/>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3E8C0D38"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除土地外，固定資產應於估計使用或開採年限內，以合理而有系統之方法，按期提列折舊，並依其性質轉作各期費用，不得間斷或減列。</w:t>
      </w:r>
    </w:p>
    <w:p w14:paraId="1DE3F34A"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累計折舊及累計減損之金額，按各主要折舊性資產分類，於第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4CF91E78"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1B6698" w:rsidRPr="00E224E9">
        <w:rPr>
          <w:rFonts w:ascii="Book Antiqua" w:hAnsi="標楷體" w:hint="eastAsia"/>
          <w:color w:val="000000" w:themeColor="text1"/>
          <w:sz w:val="24"/>
          <w:lang w:eastAsia="zh-TW"/>
        </w:rPr>
        <w:t>6</w:t>
      </w:r>
      <w:r w:rsidR="00F51D78" w:rsidRPr="00E224E9">
        <w:rPr>
          <w:rFonts w:ascii="Book Antiqua" w:hAnsi="Book Antiqua" w:hint="eastAsia"/>
          <w:color w:val="000000" w:themeColor="text1"/>
          <w:sz w:val="24"/>
        </w:rPr>
        <w:t>9</w:t>
      </w:r>
      <w:r w:rsidRPr="00E224E9">
        <w:rPr>
          <w:rFonts w:ascii="Book Antiqua" w:hAnsi="標楷體"/>
          <w:color w:val="000000" w:themeColor="text1"/>
          <w:sz w:val="24"/>
        </w:rPr>
        <w:t>列至第</w:t>
      </w:r>
      <w:r w:rsidRPr="00E224E9">
        <w:rPr>
          <w:rFonts w:ascii="Book Antiqua" w:hAnsi="Book Antiqua" w:hint="eastAsia"/>
          <w:color w:val="000000" w:themeColor="text1"/>
          <w:sz w:val="24"/>
        </w:rPr>
        <w:t>7</w:t>
      </w:r>
      <w:r w:rsidR="001B6698" w:rsidRPr="00E224E9">
        <w:rPr>
          <w:rFonts w:ascii="Book Antiqua" w:hAnsi="Book Antiqua" w:hint="eastAsia"/>
          <w:color w:val="000000" w:themeColor="text1"/>
          <w:sz w:val="24"/>
          <w:lang w:eastAsia="zh-TW"/>
        </w:rPr>
        <w:t>4</w:t>
      </w:r>
      <w:r w:rsidRPr="00E224E9">
        <w:rPr>
          <w:rFonts w:ascii="Book Antiqua" w:hAnsi="標楷體"/>
          <w:color w:val="000000" w:themeColor="text1"/>
          <w:sz w:val="24"/>
        </w:rPr>
        <w:t>列各項固定資產金額之加總。</w:t>
      </w:r>
    </w:p>
    <w:p w14:paraId="0C12D177" w14:textId="77777777" w:rsidR="00065C53" w:rsidRPr="00E224E9" w:rsidRDefault="00065C53">
      <w:pPr>
        <w:pStyle w:val="HTML"/>
        <w:spacing w:line="440" w:lineRule="exact"/>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第</w:t>
      </w:r>
      <w:r w:rsidR="001B6698" w:rsidRPr="00E224E9">
        <w:rPr>
          <w:rFonts w:ascii="Book Antiqua" w:eastAsia="標楷體" w:hAnsi="Book Antiqua" w:cs="Times New Roman" w:hint="eastAsia"/>
          <w:color w:val="000000" w:themeColor="text1"/>
          <w:sz w:val="24"/>
          <w:szCs w:val="24"/>
        </w:rPr>
        <w:t>70</w:t>
      </w:r>
      <w:r w:rsidR="00F51D78" w:rsidRPr="00E224E9">
        <w:rPr>
          <w:rFonts w:ascii="Book Antiqua" w:eastAsia="標楷體" w:hAnsi="Book Antiqua" w:cs="Times New Roman" w:hint="eastAsia"/>
          <w:color w:val="000000" w:themeColor="text1"/>
          <w:sz w:val="24"/>
          <w:szCs w:val="24"/>
        </w:rPr>
        <w:t>-1</w:t>
      </w:r>
      <w:r w:rsidRPr="00E224E9">
        <w:rPr>
          <w:rFonts w:ascii="Book Antiqua" w:eastAsia="標楷體" w:hAnsi="標楷體" w:cs="Times New Roman"/>
          <w:color w:val="000000" w:themeColor="text1"/>
          <w:sz w:val="24"/>
          <w:szCs w:val="24"/>
        </w:rPr>
        <w:t>列－租賃權益改良</w:t>
      </w:r>
    </w:p>
    <w:p w14:paraId="48FA7CF9" w14:textId="77777777" w:rsidR="00065C53" w:rsidRPr="00E224E9" w:rsidRDefault="00065C53">
      <w:pPr>
        <w:pStyle w:val="HTML"/>
        <w:spacing w:line="440" w:lineRule="exact"/>
        <w:ind w:firstLineChars="375" w:firstLine="900"/>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承租之資產若屬營業租賃性質者，在租賃標的物上所為之改良屬之。</w:t>
      </w:r>
    </w:p>
    <w:p w14:paraId="4C9945E1"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224E9">
        <w:rPr>
          <w:rFonts w:ascii="Book Antiqua" w:hAnsi="標楷體"/>
          <w:color w:val="000000" w:themeColor="text1"/>
          <w:kern w:val="0"/>
          <w:sz w:val="24"/>
        </w:rPr>
        <w:t>租賃權益改良應按其估計耐用年限或租賃期間之較短者，以合理而有系統之方法提列折舊，並依其性質轉作各期費用，不得間斷或減列。</w:t>
      </w:r>
    </w:p>
    <w:p w14:paraId="2F1AB862"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75</w:t>
      </w:r>
      <w:r w:rsidRPr="00E224E9">
        <w:rPr>
          <w:rFonts w:ascii="Book Antiqua" w:hAnsi="標楷體"/>
          <w:color w:val="000000" w:themeColor="text1"/>
          <w:sz w:val="24"/>
        </w:rPr>
        <w:t>列－無形資產</w:t>
      </w:r>
    </w:p>
    <w:p w14:paraId="2F2053CE" w14:textId="77777777" w:rsidR="00065C53" w:rsidRPr="00E224E9" w:rsidRDefault="00065C53">
      <w:pPr>
        <w:pStyle w:val="HTML"/>
        <w:spacing w:line="440" w:lineRule="exact"/>
        <w:ind w:leftChars="346" w:left="900"/>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lastRenderedPageBreak/>
        <w:t>係指無實體形式之非貨幣性資產，並同時符合具有可辨認性、可被企業控制及具有未來經濟效益。</w:t>
      </w:r>
    </w:p>
    <w:p w14:paraId="063BD544" w14:textId="77777777" w:rsidR="00065C53" w:rsidRPr="00E224E9" w:rsidRDefault="00065C53">
      <w:pPr>
        <w:pStyle w:val="4"/>
        <w:spacing w:line="440" w:lineRule="exact"/>
        <w:ind w:leftChars="346" w:left="900" w:firstLine="0"/>
        <w:jc w:val="both"/>
        <w:rPr>
          <w:rFonts w:ascii="Book Antiqua" w:hAnsi="標楷體"/>
          <w:color w:val="000000" w:themeColor="text1"/>
          <w:sz w:val="24"/>
        </w:rPr>
      </w:pPr>
      <w:r w:rsidRPr="00E224E9">
        <w:rPr>
          <w:rFonts w:ascii="Book Antiqua" w:hAnsi="標楷體"/>
          <w:color w:val="000000" w:themeColor="text1"/>
          <w:sz w:val="24"/>
        </w:rPr>
        <w:t>本列之金額為第</w:t>
      </w:r>
      <w:r w:rsidR="001B6698" w:rsidRPr="00E224E9">
        <w:rPr>
          <w:rFonts w:ascii="Book Antiqua" w:hAnsi="Book Antiqua" w:hint="eastAsia"/>
          <w:color w:val="000000" w:themeColor="text1"/>
          <w:sz w:val="24"/>
          <w:lang w:eastAsia="zh-TW"/>
        </w:rPr>
        <w:t>76</w:t>
      </w:r>
      <w:r w:rsidRPr="00E224E9">
        <w:rPr>
          <w:rFonts w:ascii="Book Antiqua" w:hAnsi="標楷體"/>
          <w:color w:val="000000" w:themeColor="text1"/>
          <w:sz w:val="24"/>
        </w:rPr>
        <w:t>列至</w:t>
      </w:r>
      <w:r w:rsidR="001B6698" w:rsidRPr="00E224E9">
        <w:rPr>
          <w:rFonts w:ascii="Book Antiqua" w:hAnsi="標楷體" w:hint="eastAsia"/>
          <w:color w:val="000000" w:themeColor="text1"/>
          <w:sz w:val="24"/>
          <w:lang w:eastAsia="zh-TW"/>
        </w:rPr>
        <w:t>7</w:t>
      </w:r>
      <w:r w:rsidRPr="00E224E9">
        <w:rPr>
          <w:rFonts w:ascii="Book Antiqua" w:hAnsi="Book Antiqua"/>
          <w:color w:val="000000" w:themeColor="text1"/>
          <w:sz w:val="24"/>
        </w:rPr>
        <w:t>9</w:t>
      </w:r>
      <w:r w:rsidRPr="00E224E9">
        <w:rPr>
          <w:rFonts w:ascii="Book Antiqua" w:hAnsi="標楷體"/>
          <w:color w:val="000000" w:themeColor="text1"/>
          <w:sz w:val="24"/>
        </w:rPr>
        <w:t>列之各項無形資產金額加總之和。</w:t>
      </w:r>
    </w:p>
    <w:p w14:paraId="4071337F" w14:textId="77777777" w:rsidR="00212E75" w:rsidRPr="00E224E9" w:rsidRDefault="00212E75" w:rsidP="00212E75">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1B6698" w:rsidRPr="00E224E9">
        <w:rPr>
          <w:rFonts w:ascii="Book Antiqua" w:hAnsi="標楷體" w:hint="eastAsia"/>
          <w:color w:val="000000" w:themeColor="text1"/>
          <w:sz w:val="24"/>
          <w:lang w:eastAsia="zh-TW"/>
        </w:rPr>
        <w:t>80</w:t>
      </w:r>
      <w:r w:rsidRPr="00E224E9">
        <w:rPr>
          <w:rFonts w:ascii="Book Antiqua" w:hAnsi="標楷體"/>
          <w:color w:val="000000" w:themeColor="text1"/>
          <w:sz w:val="24"/>
        </w:rPr>
        <w:t>列－遞延所得稅資產</w:t>
      </w:r>
    </w:p>
    <w:p w14:paraId="51D165E7" w14:textId="77777777" w:rsidR="00212E75" w:rsidRPr="00E224E9" w:rsidRDefault="00212E75" w:rsidP="00F3152E">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凡可減除暫時性差異，虧損後抵及留抵次期之所得稅抵減所產生之未來可實現所得稅利益金額屬之。</w:t>
      </w:r>
      <w:r w:rsidRPr="00E224E9">
        <w:rPr>
          <w:rFonts w:ascii="Book Antiqua" w:hAnsi="Book Antiqua"/>
          <w:color w:val="000000" w:themeColor="text1"/>
          <w:sz w:val="24"/>
        </w:rPr>
        <w:t xml:space="preserve">  </w:t>
      </w:r>
    </w:p>
    <w:p w14:paraId="693F35CB" w14:textId="77777777" w:rsidR="00212E75" w:rsidRPr="00E224E9" w:rsidRDefault="00212E75" w:rsidP="00212E75">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應合理估計未來可能之課稅金額評估遞延所得稅資產可實現金額相對提列適切備抵金額，於第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38FF95A5"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81</w:t>
      </w:r>
      <w:r w:rsidRPr="00E224E9">
        <w:rPr>
          <w:rFonts w:ascii="Book Antiqua" w:hAnsi="標楷體"/>
          <w:color w:val="000000" w:themeColor="text1"/>
          <w:sz w:val="24"/>
        </w:rPr>
        <w:t>列－其他資產</w:t>
      </w:r>
    </w:p>
    <w:p w14:paraId="401CC02B"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不能歸屬於以上各類之資產。</w:t>
      </w:r>
    </w:p>
    <w:p w14:paraId="2A051AA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C82BB7" w:rsidRPr="00E224E9">
        <w:rPr>
          <w:rFonts w:ascii="Book Antiqua" w:hAnsi="Book Antiqua" w:hint="eastAsia"/>
          <w:color w:val="000000" w:themeColor="text1"/>
          <w:sz w:val="24"/>
          <w:lang w:eastAsia="zh-TW"/>
        </w:rPr>
        <w:t>82</w:t>
      </w:r>
      <w:r w:rsidRPr="00E224E9">
        <w:rPr>
          <w:rFonts w:ascii="Book Antiqua" w:hAnsi="標楷體"/>
          <w:color w:val="000000" w:themeColor="text1"/>
          <w:sz w:val="24"/>
        </w:rPr>
        <w:t>列至第</w:t>
      </w:r>
      <w:r w:rsidR="00C82BB7" w:rsidRPr="00E224E9">
        <w:rPr>
          <w:rFonts w:ascii="Book Antiqua" w:hAnsi="Book Antiqua" w:hint="eastAsia"/>
          <w:color w:val="000000" w:themeColor="text1"/>
          <w:sz w:val="24"/>
          <w:lang w:eastAsia="zh-TW"/>
        </w:rPr>
        <w:t>91</w:t>
      </w:r>
      <w:r w:rsidRPr="00E224E9">
        <w:rPr>
          <w:rFonts w:ascii="Book Antiqua" w:hAnsi="標楷體"/>
          <w:color w:val="000000" w:themeColor="text1"/>
          <w:sz w:val="24"/>
        </w:rPr>
        <w:t>列金額之加總。</w:t>
      </w:r>
    </w:p>
    <w:p w14:paraId="20DD054A" w14:textId="77777777" w:rsidR="00065C53" w:rsidRPr="00E224E9" w:rsidRDefault="00065C53">
      <w:pPr>
        <w:pStyle w:val="4"/>
        <w:tabs>
          <w:tab w:val="left" w:pos="1260"/>
        </w:tabs>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82</w:t>
      </w:r>
      <w:r w:rsidRPr="00E224E9">
        <w:rPr>
          <w:rFonts w:ascii="Book Antiqua" w:hAnsi="標楷體"/>
          <w:color w:val="000000" w:themeColor="text1"/>
          <w:sz w:val="24"/>
        </w:rPr>
        <w:t>列－預付款項</w:t>
      </w:r>
    </w:p>
    <w:p w14:paraId="5A20A253" w14:textId="77777777" w:rsidR="00065C53" w:rsidRPr="00E224E9" w:rsidRDefault="00065C53">
      <w:pPr>
        <w:pStyle w:val="4"/>
        <w:spacing w:line="440" w:lineRule="exact"/>
        <w:ind w:leftChars="300" w:left="780" w:firstLine="0"/>
        <w:jc w:val="both"/>
        <w:rPr>
          <w:rFonts w:ascii="Book Antiqua" w:hAnsi="Book Antiqua"/>
          <w:color w:val="000000" w:themeColor="text1"/>
          <w:sz w:val="24"/>
        </w:rPr>
      </w:pPr>
      <w:r w:rsidRPr="00E224E9">
        <w:rPr>
          <w:rFonts w:ascii="Book Antiqua" w:hAnsi="標楷體"/>
          <w:color w:val="000000" w:themeColor="text1"/>
          <w:sz w:val="24"/>
        </w:rPr>
        <w:t>包括預付費用、用品盤存及其他預付款等。</w:t>
      </w:r>
    </w:p>
    <w:p w14:paraId="31003E11" w14:textId="77777777" w:rsidR="00065C53" w:rsidRPr="00E224E9" w:rsidRDefault="00065C53">
      <w:pPr>
        <w:pStyle w:val="4"/>
        <w:spacing w:line="440" w:lineRule="exact"/>
        <w:ind w:leftChars="300" w:left="780" w:firstLine="0"/>
        <w:jc w:val="both"/>
        <w:rPr>
          <w:rFonts w:ascii="Book Antiqua" w:hAnsi="Book Antiqua"/>
          <w:color w:val="000000" w:themeColor="text1"/>
          <w:sz w:val="24"/>
        </w:rPr>
      </w:pPr>
      <w:r w:rsidRPr="00E224E9">
        <w:rPr>
          <w:rFonts w:ascii="Book Antiqua" w:hAnsi="標楷體"/>
          <w:color w:val="000000" w:themeColor="text1"/>
          <w:sz w:val="24"/>
        </w:rPr>
        <w:t>因購置固定資產而依約預付之款項及備供營業使用之未完工程營造款，應列入固定資產項下，不得列為預付款項。</w:t>
      </w:r>
    </w:p>
    <w:p w14:paraId="7159EBF0"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88</w:t>
      </w:r>
      <w:r w:rsidRPr="00E224E9">
        <w:rPr>
          <w:rFonts w:ascii="Book Antiqua" w:hAnsi="標楷體"/>
          <w:color w:val="000000" w:themeColor="text1"/>
          <w:sz w:val="24"/>
        </w:rPr>
        <w:t>列－存出再保責任準備金</w:t>
      </w:r>
    </w:p>
    <w:p w14:paraId="21BD4742"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係因分進再保業務，依據再保合約規定存出予各分進同業之履約保證金。</w:t>
      </w:r>
    </w:p>
    <w:p w14:paraId="75636632"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92</w:t>
      </w:r>
      <w:r w:rsidRPr="00E224E9">
        <w:rPr>
          <w:rFonts w:ascii="Book Antiqua" w:hAnsi="標楷體"/>
          <w:color w:val="000000" w:themeColor="text1"/>
          <w:sz w:val="24"/>
        </w:rPr>
        <w:t>列－分離帳戶保險商品資產</w:t>
      </w:r>
    </w:p>
    <w:p w14:paraId="0154875A"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C82BB7" w:rsidRPr="00E224E9">
        <w:rPr>
          <w:rFonts w:ascii="Book Antiqua" w:hAnsi="Book Antiqua" w:hint="eastAsia"/>
          <w:color w:val="000000" w:themeColor="text1"/>
          <w:sz w:val="24"/>
          <w:lang w:eastAsia="zh-TW"/>
        </w:rPr>
        <w:t>93</w:t>
      </w:r>
      <w:r w:rsidRPr="00E224E9">
        <w:rPr>
          <w:rFonts w:ascii="Book Antiqua" w:hAnsi="標楷體"/>
          <w:color w:val="000000" w:themeColor="text1"/>
          <w:sz w:val="24"/>
        </w:rPr>
        <w:t>列投資型保險商品資產金額及第</w:t>
      </w:r>
      <w:r w:rsidR="00C82BB7" w:rsidRPr="00E224E9">
        <w:rPr>
          <w:rFonts w:ascii="Book Antiqua" w:hAnsi="Book Antiqua" w:hint="eastAsia"/>
          <w:color w:val="000000" w:themeColor="text1"/>
          <w:sz w:val="24"/>
          <w:lang w:eastAsia="zh-TW"/>
        </w:rPr>
        <w:t>94</w:t>
      </w:r>
      <w:r w:rsidRPr="00E224E9">
        <w:rPr>
          <w:rFonts w:ascii="Book Antiqua" w:hAnsi="標楷體"/>
          <w:color w:val="000000" w:themeColor="text1"/>
          <w:sz w:val="24"/>
        </w:rPr>
        <w:t>列勞退年金保險商品資產金額加總之和。</w:t>
      </w:r>
    </w:p>
    <w:p w14:paraId="22D92C7D"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93</w:t>
      </w:r>
      <w:r w:rsidRPr="00E224E9">
        <w:rPr>
          <w:rFonts w:ascii="Book Antiqua" w:hAnsi="標楷體"/>
          <w:color w:val="000000" w:themeColor="text1"/>
          <w:sz w:val="24"/>
        </w:rPr>
        <w:t>列－投資型保險商品資產</w:t>
      </w:r>
    </w:p>
    <w:p w14:paraId="008C7202"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凡投資型保險商品之各項資產總和皆屬之。</w:t>
      </w:r>
    </w:p>
    <w:p w14:paraId="26FE775B"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94</w:t>
      </w:r>
      <w:r w:rsidRPr="00E224E9">
        <w:rPr>
          <w:rFonts w:ascii="Book Antiqua" w:hAnsi="標楷體"/>
          <w:color w:val="000000" w:themeColor="text1"/>
          <w:sz w:val="24"/>
        </w:rPr>
        <w:t>列－勞退年金保險商品資產</w:t>
      </w:r>
    </w:p>
    <w:p w14:paraId="0B3597DF"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凡「勞退企業年金保險」及「勞退個人年金保險」商品之各項資產總和皆屬之。</w:t>
      </w:r>
    </w:p>
    <w:p w14:paraId="220FF704"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98</w:t>
      </w:r>
      <w:r w:rsidRPr="00E224E9">
        <w:rPr>
          <w:rFonts w:ascii="Book Antiqua" w:hAnsi="標楷體"/>
          <w:color w:val="000000" w:themeColor="text1"/>
          <w:sz w:val="24"/>
        </w:rPr>
        <w:t>列－資產總計</w:t>
      </w:r>
    </w:p>
    <w:p w14:paraId="59842659"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1</w:t>
      </w:r>
      <w:r w:rsidRPr="00E224E9">
        <w:rPr>
          <w:rFonts w:ascii="Book Antiqua" w:hAnsi="標楷體"/>
          <w:color w:val="000000" w:themeColor="text1"/>
          <w:sz w:val="24"/>
        </w:rPr>
        <w:t>列現金及約當現金金額、第</w:t>
      </w:r>
      <w:r w:rsidRPr="00E224E9">
        <w:rPr>
          <w:rFonts w:ascii="Book Antiqua" w:hAnsi="Book Antiqua"/>
          <w:color w:val="000000" w:themeColor="text1"/>
          <w:sz w:val="24"/>
        </w:rPr>
        <w:t>2</w:t>
      </w:r>
      <w:r w:rsidRPr="00E224E9">
        <w:rPr>
          <w:rFonts w:ascii="Book Antiqua" w:hAnsi="標楷體"/>
          <w:color w:val="000000" w:themeColor="text1"/>
          <w:sz w:val="24"/>
        </w:rPr>
        <w:t>列應收款項金額、</w:t>
      </w:r>
      <w:r w:rsidR="00212E75" w:rsidRPr="00E224E9">
        <w:rPr>
          <w:rFonts w:ascii="Book Antiqua" w:hAnsi="標楷體"/>
          <w:color w:val="000000" w:themeColor="text1"/>
          <w:sz w:val="24"/>
        </w:rPr>
        <w:t>第</w:t>
      </w:r>
      <w:r w:rsidR="00212E75" w:rsidRPr="00E224E9">
        <w:rPr>
          <w:rFonts w:ascii="Book Antiqua" w:hAnsi="Book Antiqua" w:hint="eastAsia"/>
          <w:color w:val="000000" w:themeColor="text1"/>
          <w:sz w:val="24"/>
        </w:rPr>
        <w:t>14</w:t>
      </w:r>
      <w:r w:rsidR="00212E75" w:rsidRPr="00E224E9">
        <w:rPr>
          <w:rFonts w:ascii="Book Antiqua" w:hAnsi="標楷體"/>
          <w:color w:val="000000" w:themeColor="text1"/>
          <w:sz w:val="24"/>
        </w:rPr>
        <w:t>列</w:t>
      </w:r>
      <w:r w:rsidR="00212E75" w:rsidRPr="00E224E9">
        <w:rPr>
          <w:rFonts w:ascii="Book Antiqua" w:hAnsi="標楷體" w:hint="eastAsia"/>
          <w:color w:val="000000" w:themeColor="text1"/>
          <w:sz w:val="24"/>
        </w:rPr>
        <w:t>當期所得稅資產</w:t>
      </w:r>
      <w:r w:rsidR="00212E75" w:rsidRPr="00E224E9">
        <w:rPr>
          <w:rFonts w:ascii="Book Antiqua" w:hAnsi="標楷體"/>
          <w:color w:val="000000" w:themeColor="text1"/>
          <w:sz w:val="24"/>
        </w:rPr>
        <w:t>金額、</w:t>
      </w:r>
      <w:r w:rsidRPr="00E224E9">
        <w:rPr>
          <w:rFonts w:ascii="Book Antiqua" w:hAnsi="標楷體"/>
          <w:color w:val="000000" w:themeColor="text1"/>
          <w:sz w:val="24"/>
        </w:rPr>
        <w:t>第</w:t>
      </w:r>
      <w:r w:rsidRPr="00E224E9">
        <w:rPr>
          <w:rFonts w:ascii="Book Antiqua" w:hAnsi="Book Antiqua"/>
          <w:color w:val="000000" w:themeColor="text1"/>
          <w:sz w:val="24"/>
        </w:rPr>
        <w:t>1</w:t>
      </w:r>
      <w:r w:rsidR="00212E75" w:rsidRPr="00E224E9">
        <w:rPr>
          <w:rFonts w:ascii="Book Antiqua" w:hAnsi="Book Antiqua" w:hint="eastAsia"/>
          <w:color w:val="000000" w:themeColor="text1"/>
          <w:sz w:val="24"/>
        </w:rPr>
        <w:t>5</w:t>
      </w:r>
      <w:r w:rsidRPr="00E224E9">
        <w:rPr>
          <w:rFonts w:ascii="Book Antiqua" w:hAnsi="標楷體"/>
          <w:color w:val="000000" w:themeColor="text1"/>
          <w:sz w:val="24"/>
        </w:rPr>
        <w:t>列待出售資產金額、第</w:t>
      </w:r>
      <w:r w:rsidRPr="00E224E9">
        <w:rPr>
          <w:rFonts w:ascii="Book Antiqua" w:hAnsi="Book Antiqua"/>
          <w:color w:val="000000" w:themeColor="text1"/>
          <w:sz w:val="24"/>
        </w:rPr>
        <w:t>1</w:t>
      </w:r>
      <w:r w:rsidR="00212E75" w:rsidRPr="00E224E9">
        <w:rPr>
          <w:rFonts w:ascii="Book Antiqua" w:hAnsi="Book Antiqua" w:hint="eastAsia"/>
          <w:color w:val="000000" w:themeColor="text1"/>
          <w:sz w:val="24"/>
        </w:rPr>
        <w:t>6</w:t>
      </w:r>
      <w:r w:rsidRPr="00E224E9">
        <w:rPr>
          <w:rFonts w:ascii="Book Antiqua" w:hAnsi="標楷體"/>
          <w:color w:val="000000" w:themeColor="text1"/>
          <w:sz w:val="24"/>
        </w:rPr>
        <w:t>列</w:t>
      </w:r>
      <w:r w:rsidR="00C82BB7" w:rsidRPr="00E224E9">
        <w:rPr>
          <w:rFonts w:ascii="Book Antiqua" w:hAnsi="標楷體" w:hint="eastAsia"/>
          <w:color w:val="000000" w:themeColor="text1"/>
          <w:sz w:val="24"/>
          <w:lang w:eastAsia="zh-TW"/>
        </w:rPr>
        <w:t>待出售資產、第</w:t>
      </w:r>
      <w:r w:rsidR="00C82BB7" w:rsidRPr="00E224E9">
        <w:rPr>
          <w:rFonts w:ascii="Book Antiqua" w:hAnsi="標楷體" w:hint="eastAsia"/>
          <w:color w:val="000000" w:themeColor="text1"/>
          <w:sz w:val="24"/>
          <w:lang w:eastAsia="zh-TW"/>
        </w:rPr>
        <w:t>17</w:t>
      </w:r>
      <w:r w:rsidR="00C82BB7" w:rsidRPr="00E224E9">
        <w:rPr>
          <w:rFonts w:ascii="Book Antiqua" w:hAnsi="標楷體" w:hint="eastAsia"/>
          <w:color w:val="000000" w:themeColor="text1"/>
          <w:sz w:val="24"/>
          <w:lang w:eastAsia="zh-TW"/>
        </w:rPr>
        <w:t>列</w:t>
      </w:r>
      <w:r w:rsidR="00212E75" w:rsidRPr="00E224E9">
        <w:rPr>
          <w:rFonts w:ascii="Book Antiqua" w:hAnsi="標楷體" w:hint="eastAsia"/>
          <w:color w:val="000000" w:themeColor="text1"/>
          <w:sz w:val="24"/>
        </w:rPr>
        <w:t>透過損益按公允價值衡量之金融資產</w:t>
      </w:r>
      <w:r w:rsidRPr="00E224E9">
        <w:rPr>
          <w:rFonts w:ascii="Book Antiqua" w:hAnsi="標楷體"/>
          <w:color w:val="000000" w:themeColor="text1"/>
          <w:sz w:val="24"/>
        </w:rPr>
        <w:t>金額、</w:t>
      </w:r>
      <w:r w:rsidR="00212E75" w:rsidRPr="00E224E9">
        <w:rPr>
          <w:rFonts w:ascii="Book Antiqua" w:hAnsi="標楷體"/>
          <w:color w:val="000000" w:themeColor="text1"/>
          <w:sz w:val="24"/>
        </w:rPr>
        <w:t>第</w:t>
      </w:r>
      <w:r w:rsidR="00212E75" w:rsidRPr="00E224E9">
        <w:rPr>
          <w:rFonts w:ascii="Book Antiqua" w:hAnsi="Book Antiqua" w:hint="eastAsia"/>
          <w:color w:val="000000" w:themeColor="text1"/>
          <w:sz w:val="24"/>
        </w:rPr>
        <w:t>2</w:t>
      </w:r>
      <w:r w:rsidR="00C82BB7" w:rsidRPr="00E224E9">
        <w:rPr>
          <w:rFonts w:ascii="Book Antiqua" w:hAnsi="Book Antiqua" w:hint="eastAsia"/>
          <w:color w:val="000000" w:themeColor="text1"/>
          <w:sz w:val="24"/>
          <w:lang w:eastAsia="zh-TW"/>
        </w:rPr>
        <w:t>8</w:t>
      </w:r>
      <w:r w:rsidR="00212E75" w:rsidRPr="00E224E9">
        <w:rPr>
          <w:rFonts w:ascii="Book Antiqua" w:hAnsi="標楷體"/>
          <w:color w:val="000000" w:themeColor="text1"/>
          <w:sz w:val="24"/>
        </w:rPr>
        <w:t>列</w:t>
      </w:r>
      <w:r w:rsidR="00C82BB7" w:rsidRPr="00E224E9">
        <w:rPr>
          <w:rFonts w:ascii="Book Antiqua" w:hAnsi="標楷體" w:hint="eastAsia"/>
          <w:color w:val="000000" w:themeColor="text1"/>
          <w:sz w:val="24"/>
          <w:lang w:eastAsia="zh-TW"/>
        </w:rPr>
        <w:t>透過其他綜合損益按公允價值衡量</w:t>
      </w:r>
      <w:r w:rsidR="00C82BB7" w:rsidRPr="00E224E9">
        <w:rPr>
          <w:rFonts w:ascii="Book Antiqua" w:hAnsi="標楷體" w:hint="eastAsia"/>
          <w:color w:val="000000" w:themeColor="text1"/>
          <w:sz w:val="24"/>
        </w:rPr>
        <w:t>之</w:t>
      </w:r>
      <w:r w:rsidR="00212E75" w:rsidRPr="00E224E9">
        <w:rPr>
          <w:rFonts w:ascii="Book Antiqua" w:hAnsi="標楷體" w:hint="eastAsia"/>
          <w:color w:val="000000" w:themeColor="text1"/>
          <w:sz w:val="24"/>
        </w:rPr>
        <w:t>金融資產金額</w:t>
      </w:r>
      <w:r w:rsidR="00212E75" w:rsidRPr="00E224E9">
        <w:rPr>
          <w:rFonts w:ascii="Book Antiqua" w:hAnsi="標楷體"/>
          <w:color w:val="000000" w:themeColor="text1"/>
          <w:sz w:val="24"/>
        </w:rPr>
        <w:t>、第</w:t>
      </w:r>
      <w:r w:rsidR="00212E75" w:rsidRPr="00E224E9">
        <w:rPr>
          <w:rFonts w:ascii="Book Antiqua" w:hAnsi="Book Antiqua" w:hint="eastAsia"/>
          <w:color w:val="000000" w:themeColor="text1"/>
          <w:sz w:val="24"/>
        </w:rPr>
        <w:t>38</w:t>
      </w:r>
      <w:r w:rsidR="00212E75" w:rsidRPr="00E224E9">
        <w:rPr>
          <w:rFonts w:ascii="Book Antiqua" w:hAnsi="標楷體"/>
          <w:color w:val="000000" w:themeColor="text1"/>
          <w:sz w:val="24"/>
        </w:rPr>
        <w:t>列</w:t>
      </w:r>
      <w:r w:rsidR="00C82BB7" w:rsidRPr="00E224E9">
        <w:rPr>
          <w:rFonts w:ascii="Book Antiqua" w:hAnsi="標楷體" w:hint="eastAsia"/>
          <w:color w:val="000000" w:themeColor="text1"/>
          <w:sz w:val="24"/>
        </w:rPr>
        <w:t>按攤銷後成本衡量</w:t>
      </w:r>
      <w:r w:rsidR="00212E75" w:rsidRPr="00E224E9">
        <w:rPr>
          <w:rFonts w:ascii="Book Antiqua" w:hAnsi="標楷體" w:hint="eastAsia"/>
          <w:color w:val="000000" w:themeColor="text1"/>
          <w:sz w:val="24"/>
        </w:rPr>
        <w:t>之金融資產金額</w:t>
      </w:r>
      <w:r w:rsidR="00212E75" w:rsidRPr="00E224E9">
        <w:rPr>
          <w:rFonts w:ascii="Book Antiqua" w:hAnsi="標楷體"/>
          <w:color w:val="000000" w:themeColor="text1"/>
          <w:sz w:val="24"/>
        </w:rPr>
        <w:t>、</w:t>
      </w:r>
      <w:r w:rsidR="00C82BB7"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48</w:t>
      </w:r>
      <w:r w:rsidR="00C82BB7" w:rsidRPr="00E224E9">
        <w:rPr>
          <w:rFonts w:ascii="Book Antiqua" w:hAnsi="標楷體"/>
          <w:color w:val="000000" w:themeColor="text1"/>
          <w:sz w:val="24"/>
        </w:rPr>
        <w:t>列</w:t>
      </w:r>
      <w:r w:rsidR="00C82BB7" w:rsidRPr="00E224E9">
        <w:rPr>
          <w:rFonts w:ascii="Book Antiqua" w:hAnsi="標楷體" w:hint="eastAsia"/>
          <w:color w:val="000000" w:themeColor="text1"/>
          <w:sz w:val="24"/>
        </w:rPr>
        <w:t>避險之金融資產金額</w:t>
      </w:r>
      <w:r w:rsidR="00C82BB7" w:rsidRPr="00E224E9">
        <w:rPr>
          <w:rFonts w:ascii="Book Antiqua" w:hAnsi="標楷體"/>
          <w:color w:val="000000" w:themeColor="text1"/>
          <w:sz w:val="24"/>
        </w:rPr>
        <w:t>、</w:t>
      </w:r>
      <w:r w:rsidR="00363048"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49</w:t>
      </w:r>
      <w:r w:rsidR="00363048" w:rsidRPr="00E224E9">
        <w:rPr>
          <w:rFonts w:ascii="Book Antiqua" w:hAnsi="標楷體"/>
          <w:color w:val="000000" w:themeColor="text1"/>
          <w:sz w:val="24"/>
        </w:rPr>
        <w:t>列</w:t>
      </w:r>
      <w:r w:rsidR="00363048" w:rsidRPr="00E224E9">
        <w:rPr>
          <w:rFonts w:ascii="Book Antiqua" w:hAnsi="標楷體" w:hint="eastAsia"/>
          <w:color w:val="000000" w:themeColor="text1"/>
          <w:sz w:val="24"/>
        </w:rPr>
        <w:t>採</w:t>
      </w:r>
      <w:r w:rsidR="000122B5" w:rsidRPr="00E224E9">
        <w:rPr>
          <w:rFonts w:ascii="Book Antiqua" w:hAnsi="標楷體" w:hint="eastAsia"/>
          <w:color w:val="000000" w:themeColor="text1"/>
          <w:sz w:val="24"/>
          <w:lang w:eastAsia="zh-TW"/>
        </w:rPr>
        <w:t>用</w:t>
      </w:r>
      <w:r w:rsidR="00363048" w:rsidRPr="00E224E9">
        <w:rPr>
          <w:rFonts w:ascii="Book Antiqua" w:hAnsi="標楷體" w:hint="eastAsia"/>
          <w:color w:val="000000" w:themeColor="text1"/>
          <w:sz w:val="24"/>
        </w:rPr>
        <w:t>權益法之投資金額</w:t>
      </w:r>
      <w:r w:rsidR="00363048" w:rsidRPr="00E224E9">
        <w:rPr>
          <w:rFonts w:ascii="Book Antiqua" w:hAnsi="標楷體"/>
          <w:color w:val="000000" w:themeColor="text1"/>
          <w:sz w:val="24"/>
        </w:rPr>
        <w:t>、第</w:t>
      </w:r>
      <w:r w:rsidR="000122B5" w:rsidRPr="00E224E9">
        <w:rPr>
          <w:rFonts w:ascii="Book Antiqua" w:hAnsi="Book Antiqua" w:hint="eastAsia"/>
          <w:color w:val="000000" w:themeColor="text1"/>
          <w:sz w:val="24"/>
          <w:lang w:eastAsia="zh-TW"/>
        </w:rPr>
        <w:t>50</w:t>
      </w:r>
      <w:r w:rsidR="00363048" w:rsidRPr="00E224E9">
        <w:rPr>
          <w:rFonts w:ascii="Book Antiqua" w:hAnsi="標楷體"/>
          <w:color w:val="000000" w:themeColor="text1"/>
          <w:sz w:val="24"/>
        </w:rPr>
        <w:t>列</w:t>
      </w:r>
      <w:r w:rsidR="00363048" w:rsidRPr="00E224E9">
        <w:rPr>
          <w:rFonts w:ascii="Book Antiqua" w:hAnsi="標楷體" w:hint="eastAsia"/>
          <w:color w:val="000000" w:themeColor="text1"/>
          <w:sz w:val="24"/>
        </w:rPr>
        <w:t>其他金融資產金額</w:t>
      </w:r>
      <w:r w:rsidR="00C5330C" w:rsidRPr="00E224E9">
        <w:rPr>
          <w:rFonts w:ascii="Book Antiqua" w:hAnsi="標楷體"/>
          <w:color w:val="000000" w:themeColor="text1"/>
          <w:sz w:val="24"/>
        </w:rPr>
        <w:t>、第</w:t>
      </w:r>
      <w:r w:rsidR="00C5330C" w:rsidRPr="00E224E9">
        <w:rPr>
          <w:rFonts w:ascii="Book Antiqua" w:hAnsi="Book Antiqua" w:hint="eastAsia"/>
          <w:color w:val="000000" w:themeColor="text1"/>
          <w:sz w:val="24"/>
          <w:lang w:eastAsia="zh-TW"/>
        </w:rPr>
        <w:t>51</w:t>
      </w:r>
      <w:r w:rsidR="00C5330C" w:rsidRPr="00E224E9">
        <w:rPr>
          <w:rFonts w:ascii="Book Antiqua" w:hAnsi="標楷體"/>
          <w:color w:val="000000" w:themeColor="text1"/>
          <w:sz w:val="24"/>
        </w:rPr>
        <w:t>列</w:t>
      </w:r>
      <w:r w:rsidR="00C5330C" w:rsidRPr="00E224E9">
        <w:rPr>
          <w:rFonts w:ascii="Book Antiqua" w:hAnsi="標楷體" w:hint="eastAsia"/>
          <w:color w:val="000000" w:themeColor="text1"/>
          <w:sz w:val="24"/>
          <w:lang w:eastAsia="zh-TW"/>
        </w:rPr>
        <w:t>使用權資產</w:t>
      </w:r>
      <w:r w:rsidR="00C5330C" w:rsidRPr="00E224E9">
        <w:rPr>
          <w:rFonts w:ascii="Book Antiqua" w:hAnsi="標楷體" w:hint="eastAsia"/>
          <w:color w:val="000000" w:themeColor="text1"/>
          <w:sz w:val="24"/>
        </w:rPr>
        <w:t>金額</w:t>
      </w:r>
      <w:r w:rsidR="00363048" w:rsidRPr="00E224E9">
        <w:rPr>
          <w:rFonts w:ascii="Book Antiqua" w:hAnsi="標楷體"/>
          <w:color w:val="000000" w:themeColor="text1"/>
          <w:sz w:val="24"/>
        </w:rPr>
        <w:t>、第</w:t>
      </w:r>
      <w:r w:rsidR="000122B5" w:rsidRPr="00E224E9">
        <w:rPr>
          <w:rFonts w:ascii="Book Antiqua" w:hAnsi="Book Antiqua" w:hint="eastAsia"/>
          <w:color w:val="000000" w:themeColor="text1"/>
          <w:sz w:val="24"/>
          <w:lang w:eastAsia="zh-TW"/>
        </w:rPr>
        <w:t>5</w:t>
      </w:r>
      <w:r w:rsidR="00C5330C" w:rsidRPr="00E224E9">
        <w:rPr>
          <w:rFonts w:ascii="Book Antiqua" w:hAnsi="Book Antiqua" w:hint="eastAsia"/>
          <w:color w:val="000000" w:themeColor="text1"/>
          <w:sz w:val="24"/>
          <w:lang w:eastAsia="zh-TW"/>
        </w:rPr>
        <w:t>2</w:t>
      </w:r>
      <w:r w:rsidR="00363048" w:rsidRPr="00E224E9">
        <w:rPr>
          <w:rFonts w:ascii="Book Antiqua" w:hAnsi="標楷體"/>
          <w:color w:val="000000" w:themeColor="text1"/>
          <w:sz w:val="24"/>
        </w:rPr>
        <w:t>列</w:t>
      </w:r>
      <w:r w:rsidR="00363048" w:rsidRPr="00E224E9">
        <w:rPr>
          <w:rFonts w:ascii="Book Antiqua" w:hAnsi="標楷體" w:hint="eastAsia"/>
          <w:color w:val="000000" w:themeColor="text1"/>
          <w:sz w:val="24"/>
        </w:rPr>
        <w:t>投資性不動產金額</w:t>
      </w:r>
      <w:r w:rsidR="00363048" w:rsidRPr="00E224E9">
        <w:rPr>
          <w:rFonts w:ascii="Book Antiqua" w:hAnsi="標楷體"/>
          <w:color w:val="000000" w:themeColor="text1"/>
          <w:sz w:val="24"/>
        </w:rPr>
        <w:t>、第</w:t>
      </w:r>
      <w:r w:rsidR="00363048" w:rsidRPr="00E224E9">
        <w:rPr>
          <w:rFonts w:ascii="Book Antiqua" w:hAnsi="Book Antiqua" w:hint="eastAsia"/>
          <w:color w:val="000000" w:themeColor="text1"/>
          <w:sz w:val="24"/>
        </w:rPr>
        <w:t>5</w:t>
      </w:r>
      <w:r w:rsidR="00F51D78" w:rsidRPr="00E224E9">
        <w:rPr>
          <w:rFonts w:ascii="Book Antiqua" w:hAnsi="Book Antiqua" w:hint="eastAsia"/>
          <w:color w:val="000000" w:themeColor="text1"/>
          <w:sz w:val="24"/>
          <w:lang w:eastAsia="zh-TW"/>
        </w:rPr>
        <w:t>3</w:t>
      </w:r>
      <w:r w:rsidR="00363048" w:rsidRPr="00E224E9">
        <w:rPr>
          <w:rFonts w:ascii="Book Antiqua" w:hAnsi="標楷體"/>
          <w:color w:val="000000" w:themeColor="text1"/>
          <w:sz w:val="24"/>
        </w:rPr>
        <w:t>列</w:t>
      </w:r>
      <w:r w:rsidR="00363048" w:rsidRPr="00E224E9">
        <w:rPr>
          <w:rFonts w:ascii="Book Antiqua" w:hAnsi="標楷體" w:hint="eastAsia"/>
          <w:color w:val="000000" w:themeColor="text1"/>
          <w:sz w:val="24"/>
        </w:rPr>
        <w:t>放款金額</w:t>
      </w:r>
      <w:r w:rsidR="00363048" w:rsidRPr="00E224E9">
        <w:rPr>
          <w:rFonts w:ascii="Book Antiqua" w:hAnsi="標楷體"/>
          <w:color w:val="000000" w:themeColor="text1"/>
          <w:sz w:val="24"/>
        </w:rPr>
        <w:t>、</w:t>
      </w:r>
      <w:r w:rsidRPr="00E224E9">
        <w:rPr>
          <w:rFonts w:ascii="Book Antiqua" w:hAnsi="標楷體"/>
          <w:color w:val="000000" w:themeColor="text1"/>
          <w:sz w:val="24"/>
        </w:rPr>
        <w:t>第</w:t>
      </w:r>
      <w:r w:rsidR="000122B5" w:rsidRPr="00E224E9">
        <w:rPr>
          <w:rFonts w:ascii="Book Antiqua" w:hAnsi="標楷體" w:hint="eastAsia"/>
          <w:color w:val="000000" w:themeColor="text1"/>
          <w:sz w:val="24"/>
          <w:lang w:eastAsia="zh-TW"/>
        </w:rPr>
        <w:t>5</w:t>
      </w:r>
      <w:r w:rsidR="00F51D78" w:rsidRPr="00E224E9">
        <w:rPr>
          <w:rFonts w:ascii="Book Antiqua" w:hAnsi="標楷體" w:hint="eastAsia"/>
          <w:color w:val="000000" w:themeColor="text1"/>
          <w:sz w:val="24"/>
          <w:lang w:eastAsia="zh-TW"/>
        </w:rPr>
        <w:t>8</w:t>
      </w:r>
      <w:r w:rsidRPr="00E224E9">
        <w:rPr>
          <w:rFonts w:ascii="Book Antiqua" w:hAnsi="標楷體"/>
          <w:color w:val="000000" w:themeColor="text1"/>
          <w:sz w:val="24"/>
        </w:rPr>
        <w:t>列</w:t>
      </w:r>
      <w:r w:rsidRPr="00E224E9">
        <w:rPr>
          <w:rFonts w:ascii="Book Antiqua" w:hAnsi="標楷體"/>
          <w:color w:val="000000" w:themeColor="text1"/>
          <w:sz w:val="24"/>
        </w:rPr>
        <w:lastRenderedPageBreak/>
        <w:t>再保</w:t>
      </w:r>
      <w:r w:rsidR="00363048" w:rsidRPr="00E224E9">
        <w:rPr>
          <w:rFonts w:ascii="Book Antiqua" w:hAnsi="標楷體" w:hint="eastAsia"/>
          <w:color w:val="000000" w:themeColor="text1"/>
          <w:sz w:val="24"/>
        </w:rPr>
        <w:t>合</w:t>
      </w:r>
      <w:r w:rsidR="005B7B9E" w:rsidRPr="00E224E9">
        <w:rPr>
          <w:rFonts w:ascii="Book Antiqua" w:hAnsi="標楷體" w:hint="eastAsia"/>
          <w:color w:val="000000" w:themeColor="text1"/>
          <w:sz w:val="24"/>
          <w:lang w:eastAsia="zh-TW"/>
        </w:rPr>
        <w:t>約</w:t>
      </w:r>
      <w:r w:rsidR="00363048" w:rsidRPr="00E224E9">
        <w:rPr>
          <w:rFonts w:ascii="Book Antiqua" w:hAnsi="標楷體" w:hint="eastAsia"/>
          <w:color w:val="000000" w:themeColor="text1"/>
          <w:sz w:val="24"/>
        </w:rPr>
        <w:t>資產</w:t>
      </w:r>
      <w:r w:rsidRPr="00E224E9">
        <w:rPr>
          <w:rFonts w:ascii="Book Antiqua" w:hAnsi="標楷體"/>
          <w:color w:val="000000" w:themeColor="text1"/>
          <w:sz w:val="24"/>
        </w:rPr>
        <w:t>金額、第</w:t>
      </w:r>
      <w:r w:rsidR="000122B5" w:rsidRPr="00E224E9">
        <w:rPr>
          <w:rFonts w:ascii="Book Antiqua" w:hAnsi="標楷體" w:hint="eastAsia"/>
          <w:color w:val="000000" w:themeColor="text1"/>
          <w:sz w:val="24"/>
          <w:lang w:eastAsia="zh-TW"/>
        </w:rPr>
        <w:t>6</w:t>
      </w:r>
      <w:r w:rsidR="00F51D78" w:rsidRPr="00E224E9">
        <w:rPr>
          <w:rFonts w:ascii="Book Antiqua" w:hAnsi="標楷體" w:hint="eastAsia"/>
          <w:color w:val="000000" w:themeColor="text1"/>
          <w:sz w:val="24"/>
          <w:lang w:eastAsia="zh-TW"/>
        </w:rPr>
        <w:t>8</w:t>
      </w:r>
      <w:r w:rsidRPr="00E224E9">
        <w:rPr>
          <w:rFonts w:ascii="Book Antiqua" w:hAnsi="標楷體"/>
          <w:color w:val="000000" w:themeColor="text1"/>
          <w:sz w:val="24"/>
        </w:rPr>
        <w:t>列</w:t>
      </w:r>
      <w:r w:rsidR="00363048" w:rsidRPr="00E224E9">
        <w:rPr>
          <w:rFonts w:ascii="Book Antiqua" w:hAnsi="標楷體" w:hint="eastAsia"/>
          <w:color w:val="000000" w:themeColor="text1"/>
          <w:sz w:val="24"/>
        </w:rPr>
        <w:t>不動產及設備</w:t>
      </w:r>
      <w:r w:rsidRPr="00E224E9">
        <w:rPr>
          <w:rFonts w:ascii="Book Antiqua" w:hAnsi="標楷體"/>
          <w:color w:val="000000" w:themeColor="text1"/>
          <w:sz w:val="24"/>
        </w:rPr>
        <w:t>金額、第</w:t>
      </w:r>
      <w:r w:rsidR="000122B5" w:rsidRPr="00E224E9">
        <w:rPr>
          <w:rFonts w:ascii="Book Antiqua" w:hAnsi="Book Antiqua" w:hint="eastAsia"/>
          <w:color w:val="000000" w:themeColor="text1"/>
          <w:sz w:val="24"/>
          <w:lang w:eastAsia="zh-TW"/>
        </w:rPr>
        <w:t>75</w:t>
      </w:r>
      <w:r w:rsidRPr="00E224E9">
        <w:rPr>
          <w:rFonts w:ascii="Book Antiqua" w:hAnsi="標楷體"/>
          <w:color w:val="000000" w:themeColor="text1"/>
          <w:sz w:val="24"/>
        </w:rPr>
        <w:t>列無形資產金額、</w:t>
      </w:r>
      <w:r w:rsidR="00363048" w:rsidRPr="00E224E9">
        <w:rPr>
          <w:rFonts w:ascii="Book Antiqua" w:hAnsi="標楷體"/>
          <w:color w:val="000000" w:themeColor="text1"/>
          <w:sz w:val="24"/>
        </w:rPr>
        <w:t>第</w:t>
      </w:r>
      <w:r w:rsidR="000122B5" w:rsidRPr="00E224E9">
        <w:rPr>
          <w:rFonts w:ascii="Book Antiqua" w:hAnsi="Book Antiqua" w:hint="eastAsia"/>
          <w:color w:val="000000" w:themeColor="text1"/>
          <w:sz w:val="24"/>
          <w:lang w:eastAsia="zh-TW"/>
        </w:rPr>
        <w:t>80</w:t>
      </w:r>
      <w:r w:rsidR="00363048" w:rsidRPr="00E224E9">
        <w:rPr>
          <w:rFonts w:ascii="Book Antiqua" w:hAnsi="標楷體"/>
          <w:color w:val="000000" w:themeColor="text1"/>
          <w:sz w:val="24"/>
        </w:rPr>
        <w:t>列</w:t>
      </w:r>
      <w:r w:rsidR="00363048" w:rsidRPr="00E224E9">
        <w:rPr>
          <w:rFonts w:ascii="Book Antiqua" w:hAnsi="標楷體" w:hint="eastAsia"/>
          <w:color w:val="000000" w:themeColor="text1"/>
          <w:sz w:val="24"/>
        </w:rPr>
        <w:t>遞延所得稅資產</w:t>
      </w:r>
      <w:r w:rsidR="00363048" w:rsidRPr="00E224E9">
        <w:rPr>
          <w:rFonts w:ascii="Book Antiqua" w:hAnsi="標楷體"/>
          <w:color w:val="000000" w:themeColor="text1"/>
          <w:sz w:val="24"/>
        </w:rPr>
        <w:t>金額、</w:t>
      </w:r>
      <w:r w:rsidRPr="00E224E9">
        <w:rPr>
          <w:rFonts w:ascii="Book Antiqua" w:hAnsi="標楷體"/>
          <w:color w:val="000000" w:themeColor="text1"/>
          <w:sz w:val="24"/>
        </w:rPr>
        <w:t>第</w:t>
      </w:r>
      <w:r w:rsidR="000122B5" w:rsidRPr="00E224E9">
        <w:rPr>
          <w:rFonts w:ascii="Book Antiqua" w:hAnsi="Book Antiqua" w:hint="eastAsia"/>
          <w:color w:val="000000" w:themeColor="text1"/>
          <w:sz w:val="24"/>
          <w:lang w:eastAsia="zh-TW"/>
        </w:rPr>
        <w:t>81</w:t>
      </w:r>
      <w:r w:rsidRPr="00E224E9">
        <w:rPr>
          <w:rFonts w:ascii="Book Antiqua" w:hAnsi="標楷體"/>
          <w:color w:val="000000" w:themeColor="text1"/>
          <w:sz w:val="24"/>
        </w:rPr>
        <w:t>列其他資產金額以及第</w:t>
      </w:r>
      <w:r w:rsidR="000122B5" w:rsidRPr="00E224E9">
        <w:rPr>
          <w:rFonts w:ascii="Book Antiqua" w:hAnsi="Book Antiqua" w:hint="eastAsia"/>
          <w:color w:val="000000" w:themeColor="text1"/>
          <w:sz w:val="24"/>
          <w:lang w:eastAsia="zh-TW"/>
        </w:rPr>
        <w:t>92</w:t>
      </w:r>
      <w:r w:rsidRPr="00E224E9">
        <w:rPr>
          <w:rFonts w:ascii="Book Antiqua" w:hAnsi="標楷體"/>
          <w:color w:val="000000" w:themeColor="text1"/>
          <w:sz w:val="24"/>
        </w:rPr>
        <w:t>列分離帳戶保險商品資產金額加總之和。</w:t>
      </w:r>
    </w:p>
    <w:p w14:paraId="3DC012A0" w14:textId="77777777" w:rsidR="00065C53" w:rsidRPr="00E224E9" w:rsidRDefault="00065C53" w:rsidP="004373AD">
      <w:pPr>
        <w:numPr>
          <w:ilvl w:val="0"/>
          <w:numId w:val="6"/>
        </w:numPr>
        <w:tabs>
          <w:tab w:val="num" w:pos="855"/>
        </w:tabs>
        <w:spacing w:line="440" w:lineRule="exact"/>
        <w:ind w:left="540" w:hanging="540"/>
        <w:jc w:val="both"/>
        <w:rPr>
          <w:rFonts w:ascii="Book Antiqua" w:hAnsi="Book Antiqua"/>
          <w:color w:val="000000" w:themeColor="text1"/>
          <w:sz w:val="24"/>
        </w:rPr>
      </w:pPr>
      <w:r w:rsidRPr="00E224E9">
        <w:rPr>
          <w:rFonts w:ascii="Book Antiqua" w:hAnsi="Book Antiqua"/>
          <w:color w:val="000000" w:themeColor="text1"/>
          <w:sz w:val="24"/>
        </w:rPr>
        <w:br w:type="page"/>
      </w:r>
      <w:r w:rsidRPr="00E224E9">
        <w:rPr>
          <w:rFonts w:ascii="Book Antiqua" w:hAnsi="標楷體"/>
          <w:color w:val="000000" w:themeColor="text1"/>
          <w:sz w:val="24"/>
        </w:rPr>
        <w:lastRenderedPageBreak/>
        <w:t>負債及股東權益</w:t>
      </w:r>
    </w:p>
    <w:p w14:paraId="0C976C5B" w14:textId="77777777" w:rsidR="00065C53" w:rsidRPr="00E224E9" w:rsidRDefault="00065C53" w:rsidP="004373AD">
      <w:pPr>
        <w:numPr>
          <w:ilvl w:val="0"/>
          <w:numId w:val="36"/>
        </w:numPr>
        <w:spacing w:line="440" w:lineRule="exact"/>
        <w:jc w:val="both"/>
        <w:rPr>
          <w:rFonts w:ascii="Book Antiqua" w:hAnsi="Book Antiqua"/>
          <w:color w:val="000000" w:themeColor="text1"/>
          <w:sz w:val="24"/>
        </w:rPr>
      </w:pPr>
      <w:r w:rsidRPr="00E224E9">
        <w:rPr>
          <w:rFonts w:ascii="Book Antiqua" w:hAnsi="標楷體"/>
          <w:color w:val="000000" w:themeColor="text1"/>
          <w:sz w:val="24"/>
        </w:rPr>
        <w:t>各項負債及股東權益</w:t>
      </w:r>
      <w:r w:rsidR="000122B5" w:rsidRPr="00E224E9">
        <w:rPr>
          <w:rFonts w:ascii="Book Antiqua" w:hAnsi="標楷體" w:hint="eastAsia"/>
          <w:color w:val="000000" w:themeColor="text1"/>
          <w:sz w:val="24"/>
        </w:rPr>
        <w:t>項</w:t>
      </w:r>
      <w:r w:rsidRPr="00E224E9">
        <w:rPr>
          <w:rFonts w:ascii="Book Antiqua" w:hAnsi="標楷體"/>
          <w:color w:val="000000" w:themeColor="text1"/>
          <w:sz w:val="24"/>
        </w:rPr>
        <w:t>目金額分別以下列四欄表示：</w:t>
      </w:r>
    </w:p>
    <w:p w14:paraId="2824859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14</w:t>
      </w:r>
      <w:r w:rsidRPr="00E224E9">
        <w:rPr>
          <w:rFonts w:ascii="Book Antiqua" w:hAnsi="標楷體"/>
          <w:color w:val="000000" w:themeColor="text1"/>
          <w:sz w:val="24"/>
        </w:rPr>
        <w:t>欄－本期帳載金額</w:t>
      </w:r>
    </w:p>
    <w:p w14:paraId="1C2519D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係指保險業依「保險業財務報告編製準則」所編製之財務報表，其資產負債表所帳列各項負債及股東權益</w:t>
      </w:r>
      <w:r w:rsidR="000122B5" w:rsidRPr="00E224E9">
        <w:rPr>
          <w:rFonts w:ascii="Book Antiqua" w:hAnsi="標楷體" w:hint="eastAsia"/>
          <w:color w:val="000000" w:themeColor="text1"/>
          <w:sz w:val="24"/>
        </w:rPr>
        <w:t>項</w:t>
      </w:r>
      <w:r w:rsidRPr="00E224E9">
        <w:rPr>
          <w:rFonts w:ascii="Book Antiqua" w:hAnsi="標楷體"/>
          <w:color w:val="000000" w:themeColor="text1"/>
          <w:sz w:val="24"/>
        </w:rPr>
        <w:t>目的金額。</w:t>
      </w:r>
    </w:p>
    <w:p w14:paraId="565C305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15</w:t>
      </w:r>
      <w:r w:rsidRPr="00E224E9">
        <w:rPr>
          <w:rFonts w:ascii="Book Antiqua" w:hAnsi="標楷體"/>
          <w:color w:val="000000" w:themeColor="text1"/>
          <w:sz w:val="24"/>
        </w:rPr>
        <w:t>欄－上期帳載金額</w:t>
      </w:r>
    </w:p>
    <w:p w14:paraId="29B7ED3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本欄須與上期各項負債及股東權益</w:t>
      </w:r>
      <w:r w:rsidR="000122B5" w:rsidRPr="00E224E9">
        <w:rPr>
          <w:rFonts w:ascii="Book Antiqua" w:hAnsi="標楷體" w:hint="eastAsia"/>
          <w:color w:val="000000" w:themeColor="text1"/>
          <w:sz w:val="24"/>
        </w:rPr>
        <w:t>項</w:t>
      </w:r>
      <w:r w:rsidRPr="00E224E9">
        <w:rPr>
          <w:rFonts w:ascii="Book Antiqua" w:hAnsi="標楷體"/>
          <w:color w:val="000000" w:themeColor="text1"/>
          <w:sz w:val="24"/>
        </w:rPr>
        <w:t>目之帳載金額相一致。</w:t>
      </w:r>
    </w:p>
    <w:p w14:paraId="101384B6"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所稱本期及上期於填報月報資料時係指當月份及上月份餘額；於填報</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年報時係指當</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年度及上</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年度餘額。</w:t>
      </w:r>
    </w:p>
    <w:p w14:paraId="57D70305"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16</w:t>
      </w:r>
      <w:r w:rsidRPr="00E224E9">
        <w:rPr>
          <w:rFonts w:ascii="Book Antiqua" w:hAnsi="標楷體"/>
          <w:color w:val="000000" w:themeColor="text1"/>
          <w:sz w:val="24"/>
        </w:rPr>
        <w:t>欄－帳載負債比較增減金額</w:t>
      </w:r>
    </w:p>
    <w:p w14:paraId="6E9BCCE7"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14</w:t>
      </w:r>
      <w:r w:rsidRPr="00E224E9">
        <w:rPr>
          <w:rFonts w:ascii="Book Antiqua" w:hAnsi="標楷體"/>
          <w:color w:val="000000" w:themeColor="text1"/>
          <w:sz w:val="24"/>
        </w:rPr>
        <w:t>欄減除第</w:t>
      </w:r>
      <w:r w:rsidRPr="00E224E9">
        <w:rPr>
          <w:rFonts w:ascii="Book Antiqua" w:hAnsi="Book Antiqua"/>
          <w:color w:val="000000" w:themeColor="text1"/>
          <w:sz w:val="24"/>
        </w:rPr>
        <w:t>15</w:t>
      </w:r>
      <w:r w:rsidRPr="00E224E9">
        <w:rPr>
          <w:rFonts w:ascii="Book Antiqua" w:hAnsi="標楷體"/>
          <w:color w:val="000000" w:themeColor="text1"/>
          <w:sz w:val="24"/>
        </w:rPr>
        <w:t>欄後的金額。</w:t>
      </w:r>
    </w:p>
    <w:p w14:paraId="6A109DF2"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17</w:t>
      </w:r>
      <w:r w:rsidRPr="00E224E9">
        <w:rPr>
          <w:rFonts w:ascii="Book Antiqua" w:hAnsi="標楷體"/>
          <w:color w:val="000000" w:themeColor="text1"/>
          <w:sz w:val="24"/>
        </w:rPr>
        <w:t>欄－帳載負債比較增減</w:t>
      </w:r>
      <w:r w:rsidRPr="00E224E9">
        <w:rPr>
          <w:rFonts w:ascii="Book Antiqua" w:hAnsi="Book Antiqua"/>
          <w:color w:val="000000" w:themeColor="text1"/>
          <w:sz w:val="24"/>
        </w:rPr>
        <w:t>%</w:t>
      </w:r>
    </w:p>
    <w:p w14:paraId="1A8839A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16</w:t>
      </w:r>
      <w:r w:rsidRPr="00E224E9">
        <w:rPr>
          <w:rFonts w:ascii="Book Antiqua" w:hAnsi="標楷體"/>
          <w:color w:val="000000" w:themeColor="text1"/>
          <w:sz w:val="24"/>
        </w:rPr>
        <w:t>欄除以第</w:t>
      </w:r>
      <w:r w:rsidRPr="00E224E9">
        <w:rPr>
          <w:rFonts w:ascii="Book Antiqua" w:hAnsi="Book Antiqua"/>
          <w:color w:val="000000" w:themeColor="text1"/>
          <w:sz w:val="24"/>
        </w:rPr>
        <w:t>15</w:t>
      </w:r>
      <w:r w:rsidRPr="00E224E9">
        <w:rPr>
          <w:rFonts w:ascii="Book Antiqua" w:hAnsi="標楷體"/>
          <w:color w:val="000000" w:themeColor="text1"/>
          <w:sz w:val="24"/>
        </w:rPr>
        <w:t>欄後之比例。</w:t>
      </w:r>
    </w:p>
    <w:p w14:paraId="7717EB31" w14:textId="77777777" w:rsidR="00065C53" w:rsidRPr="00E224E9" w:rsidRDefault="00065C53">
      <w:pPr>
        <w:spacing w:line="440" w:lineRule="exact"/>
        <w:jc w:val="both"/>
        <w:rPr>
          <w:rFonts w:ascii="Book Antiqua" w:hAnsi="Book Antiqua"/>
          <w:color w:val="000000" w:themeColor="text1"/>
          <w:sz w:val="24"/>
        </w:rPr>
      </w:pPr>
    </w:p>
    <w:p w14:paraId="6BA6B3DB" w14:textId="77777777" w:rsidR="00065C53" w:rsidRPr="00E224E9" w:rsidRDefault="00065C53" w:rsidP="004373AD">
      <w:pPr>
        <w:numPr>
          <w:ilvl w:val="0"/>
          <w:numId w:val="36"/>
        </w:numPr>
        <w:spacing w:line="440" w:lineRule="exact"/>
        <w:jc w:val="both"/>
        <w:rPr>
          <w:rFonts w:ascii="Book Antiqua" w:hAnsi="Book Antiqua"/>
          <w:color w:val="000000" w:themeColor="text1"/>
          <w:sz w:val="24"/>
        </w:rPr>
      </w:pPr>
      <w:r w:rsidRPr="00E224E9">
        <w:rPr>
          <w:rFonts w:ascii="Book Antiqua" w:hAnsi="標楷體"/>
          <w:color w:val="000000" w:themeColor="text1"/>
          <w:sz w:val="24"/>
        </w:rPr>
        <w:t>資產負債表之負債及股東權益</w:t>
      </w:r>
      <w:r w:rsidR="000122B5" w:rsidRPr="00E224E9">
        <w:rPr>
          <w:rFonts w:ascii="Book Antiqua" w:hAnsi="標楷體" w:hint="eastAsia"/>
          <w:color w:val="000000" w:themeColor="text1"/>
          <w:sz w:val="24"/>
        </w:rPr>
        <w:t>項</w:t>
      </w:r>
      <w:r w:rsidRPr="00E224E9">
        <w:rPr>
          <w:rFonts w:ascii="Book Antiqua" w:hAnsi="標楷體"/>
          <w:color w:val="000000" w:themeColor="text1"/>
          <w:sz w:val="24"/>
        </w:rPr>
        <w:t>目分類及其帳項內涵，除下列註明項目外，應依照「保險業財務報告編製準則」辦理。</w:t>
      </w:r>
    </w:p>
    <w:p w14:paraId="754EB88A" w14:textId="77777777" w:rsidR="007E5203" w:rsidRPr="00E224E9" w:rsidRDefault="007E5203" w:rsidP="007E5203">
      <w:pPr>
        <w:spacing w:line="440" w:lineRule="exact"/>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標楷體"/>
          <w:color w:val="000000" w:themeColor="text1"/>
          <w:sz w:val="24"/>
        </w:rPr>
        <w:t>1</w:t>
      </w:r>
      <w:r w:rsidRPr="00E224E9">
        <w:rPr>
          <w:rFonts w:ascii="Book Antiqua" w:hAnsi="標楷體"/>
          <w:color w:val="000000" w:themeColor="text1"/>
          <w:sz w:val="24"/>
        </w:rPr>
        <w:t>列－</w:t>
      </w:r>
      <w:r w:rsidRPr="00E224E9">
        <w:rPr>
          <w:rFonts w:ascii="Book Antiqua" w:hAnsi="標楷體" w:hint="eastAsia"/>
          <w:color w:val="000000" w:themeColor="text1"/>
          <w:sz w:val="24"/>
        </w:rPr>
        <w:t>短期債務</w:t>
      </w:r>
    </w:p>
    <w:p w14:paraId="680A7A32" w14:textId="77777777" w:rsidR="007E5203" w:rsidRPr="00E224E9" w:rsidRDefault="007E5203" w:rsidP="007E5203">
      <w:pPr>
        <w:pStyle w:val="4"/>
        <w:spacing w:line="440" w:lineRule="exact"/>
        <w:ind w:leftChars="346" w:left="900" w:firstLine="0"/>
        <w:jc w:val="both"/>
        <w:rPr>
          <w:rFonts w:ascii="Book Antiqua" w:hAnsi="標楷體"/>
          <w:color w:val="000000" w:themeColor="text1"/>
          <w:sz w:val="24"/>
        </w:rPr>
      </w:pPr>
      <w:r w:rsidRPr="00E224E9">
        <w:rPr>
          <w:rFonts w:ascii="Book Antiqua" w:hAnsi="標楷體" w:hint="eastAsia"/>
          <w:color w:val="000000" w:themeColor="text1"/>
          <w:sz w:val="24"/>
        </w:rPr>
        <w:t>係各項短期債務，包括向銀行短期借入之款項</w:t>
      </w:r>
      <w:r w:rsidRPr="00E224E9">
        <w:rPr>
          <w:rFonts w:ascii="標楷體" w:hAnsi="標楷體" w:hint="eastAsia"/>
          <w:color w:val="000000" w:themeColor="text1"/>
          <w:sz w:val="24"/>
        </w:rPr>
        <w:t>、</w:t>
      </w:r>
      <w:r w:rsidRPr="00E224E9">
        <w:rPr>
          <w:rFonts w:ascii="Book Antiqua" w:hAnsi="標楷體" w:hint="eastAsia"/>
          <w:color w:val="000000" w:themeColor="text1"/>
          <w:sz w:val="24"/>
        </w:rPr>
        <w:t>附買回票券及債券負債及其他短期借款</w:t>
      </w:r>
      <w:r w:rsidRPr="00E224E9">
        <w:rPr>
          <w:rFonts w:ascii="Book Antiqua" w:hAnsi="標楷體"/>
          <w:color w:val="000000" w:themeColor="text1"/>
          <w:sz w:val="24"/>
        </w:rPr>
        <w:t>。</w:t>
      </w:r>
    </w:p>
    <w:p w14:paraId="74FEB7F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2</w:t>
      </w:r>
      <w:r w:rsidRPr="00E224E9">
        <w:rPr>
          <w:rFonts w:ascii="Book Antiqua" w:hAnsi="標楷體"/>
          <w:color w:val="000000" w:themeColor="text1"/>
          <w:sz w:val="24"/>
        </w:rPr>
        <w:t>列－應付款項</w:t>
      </w:r>
    </w:p>
    <w:p w14:paraId="6AE361FA"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本列應付款項金額為第</w:t>
      </w:r>
      <w:r w:rsidRPr="00E224E9">
        <w:rPr>
          <w:rFonts w:ascii="Book Antiqua" w:hAnsi="Book Antiqua"/>
          <w:color w:val="000000" w:themeColor="text1"/>
          <w:sz w:val="24"/>
        </w:rPr>
        <w:t>3</w:t>
      </w:r>
      <w:r w:rsidRPr="00E224E9">
        <w:rPr>
          <w:rFonts w:ascii="Book Antiqua" w:hAnsi="標楷體"/>
          <w:color w:val="000000" w:themeColor="text1"/>
          <w:sz w:val="24"/>
        </w:rPr>
        <w:t>列至第</w:t>
      </w:r>
      <w:r w:rsidR="007E5203" w:rsidRPr="00E224E9">
        <w:rPr>
          <w:rFonts w:ascii="Book Antiqua" w:hAnsi="Book Antiqua" w:hint="eastAsia"/>
          <w:color w:val="000000" w:themeColor="text1"/>
          <w:sz w:val="24"/>
        </w:rPr>
        <w:t>9</w:t>
      </w:r>
      <w:r w:rsidRPr="00E224E9">
        <w:rPr>
          <w:rFonts w:ascii="Book Antiqua" w:hAnsi="標楷體"/>
          <w:color w:val="000000" w:themeColor="text1"/>
          <w:sz w:val="24"/>
        </w:rPr>
        <w:t>列各應付款項項目加總之和。</w:t>
      </w:r>
    </w:p>
    <w:p w14:paraId="3032B45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3</w:t>
      </w:r>
      <w:r w:rsidRPr="00E224E9">
        <w:rPr>
          <w:rFonts w:ascii="Book Antiqua" w:hAnsi="標楷體"/>
          <w:color w:val="000000" w:themeColor="text1"/>
          <w:sz w:val="24"/>
        </w:rPr>
        <w:t>列－應付票據</w:t>
      </w:r>
      <w:r w:rsidRPr="00E224E9">
        <w:rPr>
          <w:rFonts w:ascii="Book Antiqua" w:hAnsi="Book Antiqua"/>
          <w:color w:val="000000" w:themeColor="text1"/>
          <w:sz w:val="24"/>
        </w:rPr>
        <w:t>—</w:t>
      </w:r>
      <w:r w:rsidRPr="00E224E9">
        <w:rPr>
          <w:rFonts w:ascii="Book Antiqua" w:hAnsi="標楷體"/>
          <w:color w:val="000000" w:themeColor="text1"/>
          <w:sz w:val="24"/>
        </w:rPr>
        <w:t>非關係人</w:t>
      </w:r>
    </w:p>
    <w:p w14:paraId="243C9B69"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係應付之各種票據。應付票據應按現值評價。但因營業而發生，且到期日在一年以內者，得按面值評價。</w:t>
      </w:r>
    </w:p>
    <w:p w14:paraId="4422DB05"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t>第</w:t>
      </w:r>
      <w:r w:rsidR="007E5203" w:rsidRPr="00E224E9">
        <w:rPr>
          <w:rFonts w:ascii="Book Antiqua" w:hAnsi="Book Antiqua" w:hint="eastAsia"/>
          <w:color w:val="000000" w:themeColor="text1"/>
          <w:sz w:val="24"/>
        </w:rPr>
        <w:t>4</w:t>
      </w:r>
      <w:r w:rsidRPr="00E224E9">
        <w:rPr>
          <w:rFonts w:ascii="Book Antiqua"/>
          <w:color w:val="000000" w:themeColor="text1"/>
          <w:sz w:val="24"/>
        </w:rPr>
        <w:t>列－應付票據</w:t>
      </w:r>
      <w:r w:rsidRPr="00E224E9">
        <w:rPr>
          <w:rFonts w:ascii="Book Antiqua" w:hAnsi="Book Antiqua"/>
          <w:color w:val="000000" w:themeColor="text1"/>
          <w:sz w:val="24"/>
        </w:rPr>
        <w:t>--</w:t>
      </w:r>
      <w:r w:rsidRPr="00E224E9">
        <w:rPr>
          <w:rFonts w:ascii="Book Antiqua"/>
          <w:color w:val="000000" w:themeColor="text1"/>
          <w:sz w:val="24"/>
        </w:rPr>
        <w:t>關係人</w:t>
      </w:r>
    </w:p>
    <w:p w14:paraId="08391A6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關係人之應付票據，不論因營業或非營業而發生者，如金額重大，均應單獨列示。</w:t>
      </w:r>
    </w:p>
    <w:p w14:paraId="11B75F47" w14:textId="77777777" w:rsidR="00065C53" w:rsidRPr="00E224E9" w:rsidRDefault="001A36A1">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關係人之定義及分類請詳「</w:t>
      </w:r>
      <w:r w:rsidRPr="00E224E9">
        <w:rPr>
          <w:rFonts w:ascii="Book Antiqua" w:hAnsi="標楷體" w:hint="eastAsia"/>
          <w:color w:val="000000" w:themeColor="text1"/>
          <w:sz w:val="24"/>
          <w:lang w:eastAsia="zh-TW"/>
        </w:rPr>
        <w:t>三</w:t>
      </w:r>
      <w:r w:rsidR="00065C53" w:rsidRPr="00E224E9">
        <w:rPr>
          <w:rFonts w:ascii="Book Antiqua" w:hAnsi="標楷體"/>
          <w:color w:val="000000" w:themeColor="text1"/>
          <w:sz w:val="24"/>
        </w:rPr>
        <w:t>、關係人之定義及分類說明」。</w:t>
      </w:r>
    </w:p>
    <w:p w14:paraId="42CEE98E"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5</w:t>
      </w:r>
      <w:r w:rsidRPr="00E224E9">
        <w:rPr>
          <w:rFonts w:ascii="Book Antiqua" w:hAnsi="標楷體"/>
          <w:color w:val="000000" w:themeColor="text1"/>
          <w:sz w:val="24"/>
        </w:rPr>
        <w:t>列－應付保險賠款與給付</w:t>
      </w:r>
    </w:p>
    <w:p w14:paraId="16E2C05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係直接簽單業務之賠款，已進行賠款給付程序，惟被保險人尚未領取之保險賠款與給付屬之。</w:t>
      </w:r>
    </w:p>
    <w:p w14:paraId="13FA3FB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6</w:t>
      </w:r>
      <w:r w:rsidRPr="00E224E9">
        <w:rPr>
          <w:rFonts w:ascii="Book Antiqua" w:hAnsi="標楷體"/>
          <w:color w:val="000000" w:themeColor="text1"/>
          <w:sz w:val="24"/>
        </w:rPr>
        <w:t>列－應付再保賠款與給付</w:t>
      </w:r>
    </w:p>
    <w:p w14:paraId="026C505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lastRenderedPageBreak/>
        <w:t>係因分進再保業務應攤付之再保賠款與給付屬之。應付再保賠款與給付應依分入再保合約及其未達期間以合理有系統之方法妥為估計。</w:t>
      </w:r>
    </w:p>
    <w:p w14:paraId="1051E34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7</w:t>
      </w:r>
      <w:r w:rsidRPr="00E224E9">
        <w:rPr>
          <w:rFonts w:ascii="Book Antiqua" w:hAnsi="標楷體"/>
          <w:color w:val="000000" w:themeColor="text1"/>
          <w:sz w:val="24"/>
        </w:rPr>
        <w:t>列－應付佣金</w:t>
      </w:r>
    </w:p>
    <w:p w14:paraId="308A03CD"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凡因直接簽單業務，依權責發生制應付之各項佣金、代理費、手續費皆屬之。</w:t>
      </w:r>
      <w:r w:rsidRPr="00E224E9">
        <w:rPr>
          <w:rFonts w:ascii="Book Antiqua" w:hAnsi="Book Antiqua"/>
          <w:color w:val="000000" w:themeColor="text1"/>
          <w:sz w:val="24"/>
        </w:rPr>
        <w:t xml:space="preserve">       </w:t>
      </w:r>
    </w:p>
    <w:p w14:paraId="39C09F7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8</w:t>
      </w:r>
      <w:r w:rsidRPr="00E224E9">
        <w:rPr>
          <w:rFonts w:ascii="Book Antiqua" w:hAnsi="標楷體"/>
          <w:color w:val="000000" w:themeColor="text1"/>
          <w:sz w:val="24"/>
        </w:rPr>
        <w:t>列－應付再保往來款項</w:t>
      </w:r>
    </w:p>
    <w:p w14:paraId="2DB3A4AD"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係與保險同業間因分出入再保業務發生之相互往來之應付款項，包括決</w:t>
      </w:r>
      <w:r w:rsidRPr="00E224E9">
        <w:rPr>
          <w:rFonts w:ascii="Book Antiqua" w:hAnsi="Book Antiqua"/>
          <w:color w:val="000000" w:themeColor="text1"/>
          <w:sz w:val="24"/>
        </w:rPr>
        <w:t>(</w:t>
      </w:r>
      <w:r w:rsidRPr="00E224E9">
        <w:rPr>
          <w:rFonts w:ascii="Book Antiqua" w:hAnsi="標楷體"/>
          <w:color w:val="000000" w:themeColor="text1"/>
          <w:sz w:val="24"/>
        </w:rPr>
        <w:t>結</w:t>
      </w:r>
      <w:r w:rsidRPr="00E224E9">
        <w:rPr>
          <w:rFonts w:ascii="Book Antiqua" w:hAnsi="Book Antiqua"/>
          <w:color w:val="000000" w:themeColor="text1"/>
          <w:sz w:val="24"/>
        </w:rPr>
        <w:t>)</w:t>
      </w:r>
      <w:r w:rsidRPr="00E224E9">
        <w:rPr>
          <w:rFonts w:ascii="Book Antiqua" w:hAnsi="標楷體"/>
          <w:color w:val="000000" w:themeColor="text1"/>
          <w:sz w:val="24"/>
        </w:rPr>
        <w:t>算時按合理且有系統之方法估計之分出入再保業務款項。</w:t>
      </w:r>
    </w:p>
    <w:p w14:paraId="5FC15D02"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9</w:t>
      </w:r>
      <w:r w:rsidRPr="00E224E9">
        <w:rPr>
          <w:rFonts w:ascii="Book Antiqua" w:hAnsi="標楷體"/>
          <w:color w:val="000000" w:themeColor="text1"/>
          <w:sz w:val="24"/>
        </w:rPr>
        <w:t>列－其他應付款</w:t>
      </w:r>
    </w:p>
    <w:p w14:paraId="1819FF9A"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不屬於第</w:t>
      </w:r>
      <w:r w:rsidRPr="00E224E9">
        <w:rPr>
          <w:rFonts w:ascii="Book Antiqua" w:hAnsi="Book Antiqua"/>
          <w:color w:val="000000" w:themeColor="text1"/>
          <w:sz w:val="24"/>
        </w:rPr>
        <w:t>2</w:t>
      </w:r>
      <w:r w:rsidRPr="00E224E9">
        <w:rPr>
          <w:rFonts w:ascii="Book Antiqua" w:hAnsi="標楷體"/>
          <w:color w:val="000000" w:themeColor="text1"/>
          <w:sz w:val="24"/>
        </w:rPr>
        <w:t>列至第</w:t>
      </w:r>
      <w:r w:rsidRPr="00E224E9">
        <w:rPr>
          <w:rFonts w:ascii="Book Antiqua" w:hAnsi="Book Antiqua"/>
          <w:color w:val="000000" w:themeColor="text1"/>
          <w:sz w:val="24"/>
        </w:rPr>
        <w:t>7</w:t>
      </w:r>
      <w:r w:rsidRPr="00E224E9">
        <w:rPr>
          <w:rFonts w:ascii="Book Antiqua" w:hAnsi="標楷體"/>
          <w:color w:val="000000" w:themeColor="text1"/>
          <w:sz w:val="24"/>
        </w:rPr>
        <w:t>列之其他應付款項。</w:t>
      </w:r>
    </w:p>
    <w:p w14:paraId="386F83AC" w14:textId="77777777" w:rsidR="00065C53" w:rsidRPr="00E224E9" w:rsidRDefault="00065C53">
      <w:pPr>
        <w:pStyle w:val="HTML"/>
        <w:spacing w:line="440" w:lineRule="exact"/>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第</w:t>
      </w:r>
      <w:r w:rsidR="007E5203" w:rsidRPr="00E224E9">
        <w:rPr>
          <w:rFonts w:ascii="Book Antiqua" w:hAnsi="Book Antiqua" w:hint="eastAsia"/>
          <w:color w:val="000000" w:themeColor="text1"/>
          <w:sz w:val="24"/>
        </w:rPr>
        <w:t>11</w:t>
      </w:r>
      <w:r w:rsidRPr="00E224E9">
        <w:rPr>
          <w:rFonts w:ascii="Book Antiqua" w:eastAsia="標楷體" w:hAnsi="標楷體" w:cs="Times New Roman"/>
          <w:color w:val="000000" w:themeColor="text1"/>
          <w:sz w:val="24"/>
          <w:szCs w:val="24"/>
        </w:rPr>
        <w:t>列－與待出售資產直接相關之負債</w:t>
      </w:r>
    </w:p>
    <w:p w14:paraId="291B3753" w14:textId="77777777" w:rsidR="00065C53" w:rsidRPr="00E224E9" w:rsidRDefault="00065C53">
      <w:pPr>
        <w:pStyle w:val="4"/>
        <w:spacing w:line="440" w:lineRule="exact"/>
        <w:ind w:leftChars="346" w:left="900" w:firstLine="0"/>
        <w:jc w:val="both"/>
        <w:rPr>
          <w:rFonts w:ascii="Book Antiqua" w:hAnsi="Book Antiqua"/>
          <w:color w:val="000000" w:themeColor="text1"/>
          <w:kern w:val="0"/>
          <w:sz w:val="24"/>
        </w:rPr>
      </w:pPr>
      <w:r w:rsidRPr="00E224E9">
        <w:rPr>
          <w:rFonts w:ascii="Book Antiqua" w:hAnsi="標楷體"/>
          <w:color w:val="000000" w:themeColor="text1"/>
          <w:kern w:val="0"/>
          <w:sz w:val="24"/>
        </w:rPr>
        <w:t>係於目前狀況下，可依一般條件及商業慣例立即出售，且高度很有可能於一年內完成出售之待出售處分群組內之負債。</w:t>
      </w:r>
    </w:p>
    <w:p w14:paraId="14263CD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7148CF" w:rsidRPr="00E224E9">
        <w:rPr>
          <w:rFonts w:ascii="Book Antiqua" w:hAnsi="Book Antiqua" w:hint="eastAsia"/>
          <w:color w:val="000000" w:themeColor="text1"/>
          <w:sz w:val="24"/>
        </w:rPr>
        <w:t>3</w:t>
      </w:r>
      <w:r w:rsidRPr="00E224E9">
        <w:rPr>
          <w:rFonts w:ascii="Book Antiqua" w:hAnsi="標楷體"/>
          <w:color w:val="000000" w:themeColor="text1"/>
          <w:sz w:val="24"/>
        </w:rPr>
        <w:t>列－</w:t>
      </w:r>
      <w:r w:rsidR="007E5203" w:rsidRPr="00E224E9">
        <w:rPr>
          <w:rFonts w:ascii="Book Antiqua" w:hAnsi="標楷體" w:hint="eastAsia"/>
          <w:color w:val="000000" w:themeColor="text1"/>
          <w:sz w:val="24"/>
        </w:rPr>
        <w:t>透過損益按公允價值衡量之金融負債</w:t>
      </w:r>
    </w:p>
    <w:p w14:paraId="19F8440B" w14:textId="77777777" w:rsidR="007E5203" w:rsidRPr="00E224E9" w:rsidRDefault="007E5203" w:rsidP="007E5203">
      <w:pPr>
        <w:spacing w:line="440" w:lineRule="exact"/>
        <w:ind w:firstLineChars="346" w:firstLine="830"/>
        <w:jc w:val="both"/>
        <w:rPr>
          <w:rFonts w:ascii="Book Antiqua" w:hAnsi="Book Antiqua"/>
          <w:color w:val="000000" w:themeColor="text1"/>
          <w:sz w:val="24"/>
        </w:rPr>
      </w:pPr>
      <w:r w:rsidRPr="00E224E9">
        <w:rPr>
          <w:rFonts w:ascii="Book Antiqua" w:hAnsi="標楷體"/>
          <w:color w:val="000000" w:themeColor="text1"/>
          <w:sz w:val="24"/>
        </w:rPr>
        <w:t>係指</w:t>
      </w:r>
      <w:r w:rsidR="007148CF" w:rsidRPr="00E224E9">
        <w:rPr>
          <w:rFonts w:ascii="Book Antiqua" w:hAnsi="標楷體" w:hint="eastAsia"/>
          <w:color w:val="000000" w:themeColor="text1"/>
          <w:sz w:val="24"/>
        </w:rPr>
        <w:t>符合</w:t>
      </w:r>
      <w:r w:rsidRPr="00E224E9">
        <w:rPr>
          <w:rFonts w:ascii="Book Antiqua" w:hAnsi="標楷體"/>
          <w:color w:val="000000" w:themeColor="text1"/>
          <w:sz w:val="24"/>
        </w:rPr>
        <w:t>下列條件之一者：</w:t>
      </w:r>
    </w:p>
    <w:p w14:paraId="64572838" w14:textId="77777777" w:rsidR="007E5203" w:rsidRPr="00E224E9" w:rsidRDefault="007148CF" w:rsidP="004373AD">
      <w:pPr>
        <w:widowControl/>
        <w:numPr>
          <w:ilvl w:val="0"/>
          <w:numId w:val="31"/>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E224E9">
        <w:rPr>
          <w:rFonts w:ascii="Book Antiqua" w:hAnsi="標楷體" w:hint="eastAsia"/>
          <w:color w:val="000000" w:themeColor="text1"/>
          <w:kern w:val="0"/>
          <w:sz w:val="24"/>
        </w:rPr>
        <w:t>持有供</w:t>
      </w:r>
      <w:r w:rsidR="007E5203" w:rsidRPr="00E224E9">
        <w:rPr>
          <w:rFonts w:ascii="Book Antiqua" w:hAnsi="標楷體"/>
          <w:color w:val="000000" w:themeColor="text1"/>
          <w:kern w:val="0"/>
          <w:sz w:val="24"/>
        </w:rPr>
        <w:t>交易金融</w:t>
      </w:r>
      <w:r w:rsidR="007E5203" w:rsidRPr="00E224E9">
        <w:rPr>
          <w:rFonts w:ascii="Book Antiqua" w:hAnsi="標楷體" w:hint="eastAsia"/>
          <w:color w:val="000000" w:themeColor="text1"/>
          <w:kern w:val="0"/>
          <w:sz w:val="24"/>
        </w:rPr>
        <w:t>負債</w:t>
      </w:r>
      <w:r w:rsidR="007E5203" w:rsidRPr="00E224E9">
        <w:rPr>
          <w:rFonts w:ascii="Book Antiqua" w:hAnsi="標楷體"/>
          <w:color w:val="000000" w:themeColor="text1"/>
          <w:kern w:val="0"/>
          <w:sz w:val="24"/>
        </w:rPr>
        <w:t>。</w:t>
      </w:r>
    </w:p>
    <w:p w14:paraId="7EAEDE75" w14:textId="77777777" w:rsidR="007E5203" w:rsidRPr="00E224E9" w:rsidRDefault="007148CF"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224E9">
        <w:rPr>
          <w:rFonts w:ascii="Book Antiqua" w:hAnsi="標楷體" w:hint="eastAsia"/>
          <w:color w:val="000000" w:themeColor="text1"/>
          <w:kern w:val="0"/>
          <w:sz w:val="24"/>
        </w:rPr>
        <w:t>其發生主要目的為近期內再買回</w:t>
      </w:r>
      <w:r w:rsidR="005E2E33" w:rsidRPr="00E224E9">
        <w:rPr>
          <w:rFonts w:ascii="Book Antiqua" w:hAnsi="標楷體"/>
          <w:color w:val="000000" w:themeColor="text1"/>
          <w:kern w:val="0"/>
          <w:sz w:val="24"/>
        </w:rPr>
        <w:t>。</w:t>
      </w:r>
    </w:p>
    <w:p w14:paraId="159920D9" w14:textId="77777777" w:rsidR="007E5203" w:rsidRPr="00E224E9"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224E9">
        <w:rPr>
          <w:rFonts w:ascii="Book Antiqua" w:hAnsi="標楷體" w:hint="eastAsia"/>
          <w:color w:val="000000" w:themeColor="text1"/>
          <w:kern w:val="0"/>
          <w:sz w:val="24"/>
        </w:rPr>
        <w:t>於原始認列時即屬合併管理之</w:t>
      </w:r>
      <w:r w:rsidR="007148CF" w:rsidRPr="00E224E9">
        <w:rPr>
          <w:rFonts w:ascii="Book Antiqua" w:hAnsi="標楷體" w:hint="eastAsia"/>
          <w:color w:val="000000" w:themeColor="text1"/>
          <w:kern w:val="0"/>
          <w:sz w:val="24"/>
        </w:rPr>
        <w:t>一組</w:t>
      </w:r>
      <w:r w:rsidRPr="00E224E9">
        <w:rPr>
          <w:rFonts w:ascii="Book Antiqua" w:hAnsi="標楷體" w:hint="eastAsia"/>
          <w:color w:val="000000" w:themeColor="text1"/>
          <w:kern w:val="0"/>
          <w:sz w:val="24"/>
        </w:rPr>
        <w:t>可辨認金融工具</w:t>
      </w:r>
      <w:r w:rsidR="007148CF" w:rsidRPr="00E224E9">
        <w:rPr>
          <w:rFonts w:ascii="Book Antiqua" w:hAnsi="標楷體" w:hint="eastAsia"/>
          <w:color w:val="000000" w:themeColor="text1"/>
          <w:kern w:val="0"/>
          <w:sz w:val="24"/>
        </w:rPr>
        <w:t>投資</w:t>
      </w:r>
      <w:r w:rsidRPr="00E224E9">
        <w:rPr>
          <w:rFonts w:ascii="Book Antiqua" w:hAnsi="標楷體" w:hint="eastAsia"/>
          <w:color w:val="000000" w:themeColor="text1"/>
          <w:kern w:val="0"/>
          <w:sz w:val="24"/>
        </w:rPr>
        <w:t>組合之部分，且有證據顯示近期</w:t>
      </w:r>
      <w:r w:rsidR="007148CF" w:rsidRPr="00E224E9">
        <w:rPr>
          <w:rFonts w:ascii="Book Antiqua" w:hAnsi="標楷體" w:hint="eastAsia"/>
          <w:color w:val="000000" w:themeColor="text1"/>
          <w:kern w:val="0"/>
          <w:sz w:val="24"/>
        </w:rPr>
        <w:t>該</w:t>
      </w:r>
      <w:r w:rsidRPr="00E224E9">
        <w:rPr>
          <w:rFonts w:ascii="Book Antiqua" w:hAnsi="標楷體" w:hint="eastAsia"/>
          <w:color w:val="000000" w:themeColor="text1"/>
          <w:kern w:val="0"/>
          <w:sz w:val="24"/>
        </w:rPr>
        <w:t>組合</w:t>
      </w:r>
      <w:r w:rsidR="007148CF" w:rsidRPr="00E224E9">
        <w:rPr>
          <w:rFonts w:ascii="Book Antiqua" w:hAnsi="標楷體" w:hint="eastAsia"/>
          <w:color w:val="000000" w:themeColor="text1"/>
          <w:kern w:val="0"/>
          <w:sz w:val="24"/>
        </w:rPr>
        <w:t>實際上</w:t>
      </w:r>
      <w:r w:rsidRPr="00E224E9">
        <w:rPr>
          <w:rFonts w:ascii="Book Antiqua" w:hAnsi="標楷體" w:hint="eastAsia"/>
          <w:color w:val="000000" w:themeColor="text1"/>
          <w:kern w:val="0"/>
          <w:sz w:val="24"/>
        </w:rPr>
        <w:t>為短期獲利之操作模式</w:t>
      </w:r>
      <w:r w:rsidRPr="00E224E9">
        <w:rPr>
          <w:rFonts w:ascii="Book Antiqua" w:hAnsi="標楷體"/>
          <w:color w:val="000000" w:themeColor="text1"/>
          <w:kern w:val="0"/>
          <w:sz w:val="24"/>
        </w:rPr>
        <w:t>。</w:t>
      </w:r>
    </w:p>
    <w:p w14:paraId="2E8DDF81" w14:textId="77777777" w:rsidR="007E5203" w:rsidRPr="00E224E9"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224E9">
        <w:rPr>
          <w:rFonts w:ascii="Book Antiqua" w:hAnsi="標楷體" w:hint="eastAsia"/>
          <w:color w:val="000000" w:themeColor="text1"/>
          <w:kern w:val="0"/>
          <w:sz w:val="24"/>
        </w:rPr>
        <w:t>除財務保證合約或被指定且為有效避險工具外之衍生</w:t>
      </w:r>
      <w:r w:rsidR="005E2E33" w:rsidRPr="00E224E9">
        <w:rPr>
          <w:rFonts w:ascii="Book Antiqua" w:hAnsi="標楷體" w:hint="eastAsia"/>
          <w:color w:val="000000" w:themeColor="text1"/>
          <w:kern w:val="0"/>
          <w:sz w:val="24"/>
        </w:rPr>
        <w:t>商品</w:t>
      </w:r>
      <w:r w:rsidRPr="00E224E9">
        <w:rPr>
          <w:rFonts w:ascii="Book Antiqua" w:hAnsi="標楷體" w:hint="eastAsia"/>
          <w:color w:val="000000" w:themeColor="text1"/>
          <w:kern w:val="0"/>
          <w:sz w:val="24"/>
        </w:rPr>
        <w:t>金融</w:t>
      </w:r>
      <w:r w:rsidR="00D75EFF" w:rsidRPr="00E224E9">
        <w:rPr>
          <w:rFonts w:ascii="Book Antiqua" w:hAnsi="標楷體" w:hint="eastAsia"/>
          <w:color w:val="000000" w:themeColor="text1"/>
          <w:kern w:val="0"/>
          <w:sz w:val="24"/>
        </w:rPr>
        <w:t>負債</w:t>
      </w:r>
      <w:r w:rsidRPr="00E224E9">
        <w:rPr>
          <w:rFonts w:ascii="Book Antiqua" w:hAnsi="標楷體"/>
          <w:color w:val="000000" w:themeColor="text1"/>
          <w:kern w:val="0"/>
          <w:sz w:val="24"/>
        </w:rPr>
        <w:t>。</w:t>
      </w:r>
    </w:p>
    <w:p w14:paraId="13C413F5" w14:textId="77777777" w:rsidR="007148CF" w:rsidRPr="00E224E9" w:rsidRDefault="00D75EFF" w:rsidP="004373AD">
      <w:pPr>
        <w:widowControl/>
        <w:numPr>
          <w:ilvl w:val="0"/>
          <w:numId w:val="31"/>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E224E9">
        <w:rPr>
          <w:rFonts w:ascii="Book Antiqua" w:hAnsi="標楷體" w:hint="eastAsia"/>
          <w:color w:val="000000" w:themeColor="text1"/>
          <w:kern w:val="0"/>
          <w:sz w:val="24"/>
        </w:rPr>
        <w:t>指定透過損益按公允價值衡量之金融負債</w:t>
      </w:r>
      <w:r w:rsidR="007148CF" w:rsidRPr="00E224E9">
        <w:rPr>
          <w:rFonts w:ascii="Book Antiqua" w:hAnsi="標楷體"/>
          <w:color w:val="000000" w:themeColor="text1"/>
          <w:kern w:val="0"/>
          <w:sz w:val="24"/>
        </w:rPr>
        <w:t>。</w:t>
      </w:r>
    </w:p>
    <w:p w14:paraId="643E6B67" w14:textId="77777777" w:rsidR="00065C53" w:rsidRPr="00E224E9" w:rsidRDefault="005E2E33" w:rsidP="00F3152E">
      <w:pPr>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60"/>
        <w:jc w:val="both"/>
        <w:rPr>
          <w:rFonts w:ascii="Book Antiqua" w:hAnsi="Book Antiqua"/>
          <w:color w:val="000000" w:themeColor="text1"/>
          <w:kern w:val="0"/>
          <w:sz w:val="24"/>
        </w:rPr>
      </w:pPr>
      <w:r w:rsidRPr="00E224E9">
        <w:rPr>
          <w:rFonts w:ascii="Book Antiqua" w:hAnsi="標楷體" w:hint="eastAsia"/>
          <w:color w:val="000000" w:themeColor="text1"/>
          <w:sz w:val="24"/>
        </w:rPr>
        <w:t>透過損益按公允價值衡量之金融負債</w:t>
      </w:r>
      <w:r w:rsidR="00065C53" w:rsidRPr="00E224E9">
        <w:rPr>
          <w:rFonts w:ascii="Book Antiqua" w:hAnsi="標楷體"/>
          <w:color w:val="000000" w:themeColor="text1"/>
          <w:kern w:val="0"/>
          <w:sz w:val="24"/>
        </w:rPr>
        <w:t>應按</w:t>
      </w:r>
      <w:r w:rsidR="005D7451" w:rsidRPr="00E224E9">
        <w:rPr>
          <w:rFonts w:ascii="Book Antiqua" w:hAnsi="標楷體"/>
          <w:color w:val="000000" w:themeColor="text1"/>
          <w:kern w:val="0"/>
          <w:sz w:val="24"/>
        </w:rPr>
        <w:t>公允價值</w:t>
      </w:r>
      <w:r w:rsidR="00065C53" w:rsidRPr="00E224E9">
        <w:rPr>
          <w:rFonts w:ascii="Book Antiqua" w:hAnsi="標楷體"/>
          <w:color w:val="000000" w:themeColor="text1"/>
          <w:kern w:val="0"/>
          <w:sz w:val="24"/>
        </w:rPr>
        <w:t>衡量。屬股票及存託憑證於證券交易所上市或於櫃買中心櫃檯買賣者，其</w:t>
      </w:r>
      <w:r w:rsidR="005D7451" w:rsidRPr="00E224E9">
        <w:rPr>
          <w:rFonts w:ascii="Book Antiqua" w:hAnsi="標楷體"/>
          <w:color w:val="000000" w:themeColor="text1"/>
          <w:kern w:val="0"/>
          <w:sz w:val="24"/>
        </w:rPr>
        <w:t>公允價值</w:t>
      </w:r>
      <w:r w:rsidR="00065C53" w:rsidRPr="00E224E9">
        <w:rPr>
          <w:rFonts w:ascii="Book Antiqua" w:hAnsi="標楷體"/>
          <w:color w:val="000000" w:themeColor="text1"/>
          <w:kern w:val="0"/>
          <w:sz w:val="24"/>
        </w:rPr>
        <w:t>係指資產負債表日之收盤價。</w:t>
      </w:r>
    </w:p>
    <w:p w14:paraId="49AB409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D75EFF" w:rsidRPr="00E224E9">
        <w:rPr>
          <w:rFonts w:ascii="Book Antiqua" w:hAnsi="Book Antiqua" w:hint="eastAsia"/>
          <w:color w:val="000000" w:themeColor="text1"/>
          <w:sz w:val="24"/>
        </w:rPr>
        <w:t>4</w:t>
      </w:r>
      <w:r w:rsidRPr="00E224E9">
        <w:rPr>
          <w:rFonts w:ascii="Book Antiqua" w:hAnsi="標楷體"/>
          <w:color w:val="000000" w:themeColor="text1"/>
          <w:sz w:val="24"/>
        </w:rPr>
        <w:t>列－避險之金融負債</w:t>
      </w:r>
    </w:p>
    <w:p w14:paraId="49DA739E"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224E9">
        <w:rPr>
          <w:rFonts w:ascii="Book Antiqua" w:hAnsi="標楷體"/>
          <w:color w:val="000000" w:themeColor="text1"/>
          <w:kern w:val="0"/>
          <w:sz w:val="24"/>
        </w:rPr>
        <w:t>係依避險會計指定且為有效避險工具之金融負債，應以</w:t>
      </w:r>
      <w:r w:rsidR="005D7451" w:rsidRPr="00E224E9">
        <w:rPr>
          <w:rFonts w:ascii="Book Antiqua" w:hAnsi="標楷體"/>
          <w:color w:val="000000" w:themeColor="text1"/>
          <w:kern w:val="0"/>
          <w:sz w:val="24"/>
        </w:rPr>
        <w:t>公允價值</w:t>
      </w:r>
      <w:r w:rsidRPr="00E224E9">
        <w:rPr>
          <w:rFonts w:ascii="Book Antiqua" w:hAnsi="標楷體"/>
          <w:color w:val="000000" w:themeColor="text1"/>
          <w:kern w:val="0"/>
          <w:sz w:val="24"/>
        </w:rPr>
        <w:t>衡量。</w:t>
      </w:r>
    </w:p>
    <w:p w14:paraId="5C925129" w14:textId="77777777" w:rsidR="00065C53" w:rsidRPr="00E224E9" w:rsidRDefault="00065C53">
      <w:pPr>
        <w:pStyle w:val="HTML"/>
        <w:spacing w:line="440" w:lineRule="exact"/>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第</w:t>
      </w:r>
      <w:r w:rsidRPr="00E224E9">
        <w:rPr>
          <w:rFonts w:ascii="Book Antiqua" w:eastAsia="標楷體" w:hAnsi="Book Antiqua" w:cs="Times New Roman"/>
          <w:color w:val="000000" w:themeColor="text1"/>
          <w:sz w:val="24"/>
          <w:szCs w:val="24"/>
        </w:rPr>
        <w:t>1</w:t>
      </w:r>
      <w:r w:rsidR="00D75EFF" w:rsidRPr="00E224E9">
        <w:rPr>
          <w:rFonts w:ascii="Book Antiqua" w:eastAsia="標楷體" w:hAnsi="Book Antiqua" w:cs="Times New Roman" w:hint="eastAsia"/>
          <w:color w:val="000000" w:themeColor="text1"/>
          <w:sz w:val="24"/>
          <w:szCs w:val="24"/>
        </w:rPr>
        <w:t>6</w:t>
      </w:r>
      <w:r w:rsidRPr="00E224E9">
        <w:rPr>
          <w:rFonts w:ascii="Book Antiqua" w:eastAsia="標楷體" w:hAnsi="標楷體" w:cs="Times New Roman"/>
          <w:color w:val="000000" w:themeColor="text1"/>
          <w:sz w:val="24"/>
          <w:szCs w:val="24"/>
        </w:rPr>
        <w:t>列－特別股負債</w:t>
      </w:r>
    </w:p>
    <w:p w14:paraId="744066C9" w14:textId="77777777" w:rsidR="00065C53" w:rsidRPr="00E224E9" w:rsidRDefault="00065C53">
      <w:pPr>
        <w:pStyle w:val="HTML"/>
        <w:spacing w:line="440" w:lineRule="exact"/>
        <w:ind w:firstLineChars="375" w:firstLine="900"/>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係發行符合</w:t>
      </w:r>
      <w:r w:rsidR="00D75EFF" w:rsidRPr="00E224E9">
        <w:rPr>
          <w:rFonts w:ascii="Book Antiqua" w:eastAsia="標楷體" w:hAnsi="標楷體" w:cs="Times New Roman" w:hint="eastAsia"/>
          <w:color w:val="000000" w:themeColor="text1"/>
          <w:sz w:val="24"/>
          <w:szCs w:val="24"/>
        </w:rPr>
        <w:t>國際</w:t>
      </w:r>
      <w:r w:rsidRPr="00E224E9">
        <w:rPr>
          <w:rFonts w:ascii="Book Antiqua" w:eastAsia="標楷體" w:hAnsi="標楷體" w:cs="Times New Roman"/>
          <w:color w:val="000000" w:themeColor="text1"/>
          <w:sz w:val="24"/>
          <w:szCs w:val="24"/>
        </w:rPr>
        <w:t>會計準則第</w:t>
      </w:r>
      <w:r w:rsidR="00D75EFF" w:rsidRPr="00E224E9">
        <w:rPr>
          <w:rFonts w:ascii="Book Antiqua" w:eastAsia="標楷體" w:hAnsi="標楷體" w:cs="Times New Roman" w:hint="eastAsia"/>
          <w:color w:val="000000" w:themeColor="text1"/>
          <w:sz w:val="24"/>
          <w:szCs w:val="24"/>
        </w:rPr>
        <w:t>32</w:t>
      </w:r>
      <w:r w:rsidRPr="00E224E9">
        <w:rPr>
          <w:rFonts w:ascii="Book Antiqua" w:eastAsia="標楷體" w:hAnsi="標楷體" w:cs="Times New Roman"/>
          <w:color w:val="000000" w:themeColor="text1"/>
          <w:sz w:val="24"/>
          <w:szCs w:val="24"/>
        </w:rPr>
        <w:t>號規定具金融負債性質之特別股。</w:t>
      </w:r>
    </w:p>
    <w:p w14:paraId="65B42581" w14:textId="77777777" w:rsidR="00065C53" w:rsidRPr="00E224E9" w:rsidRDefault="00065C53">
      <w:pPr>
        <w:pStyle w:val="HTML"/>
        <w:spacing w:line="440" w:lineRule="exact"/>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第</w:t>
      </w:r>
      <w:r w:rsidRPr="00E224E9">
        <w:rPr>
          <w:rFonts w:ascii="Book Antiqua" w:eastAsia="標楷體" w:hAnsi="Book Antiqua" w:cs="Times New Roman"/>
          <w:color w:val="000000" w:themeColor="text1"/>
          <w:sz w:val="24"/>
          <w:szCs w:val="24"/>
        </w:rPr>
        <w:t>1</w:t>
      </w:r>
      <w:r w:rsidR="00D75EFF" w:rsidRPr="00E224E9">
        <w:rPr>
          <w:rFonts w:ascii="Book Antiqua" w:eastAsia="標楷體" w:hAnsi="Book Antiqua" w:cs="Times New Roman" w:hint="eastAsia"/>
          <w:color w:val="000000" w:themeColor="text1"/>
          <w:sz w:val="24"/>
          <w:szCs w:val="24"/>
        </w:rPr>
        <w:t>7</w:t>
      </w:r>
      <w:r w:rsidRPr="00E224E9">
        <w:rPr>
          <w:rFonts w:ascii="Book Antiqua" w:eastAsia="標楷體" w:hAnsi="標楷體" w:cs="Times New Roman"/>
          <w:color w:val="000000" w:themeColor="text1"/>
          <w:sz w:val="24"/>
          <w:szCs w:val="24"/>
        </w:rPr>
        <w:t>列－其他金融負債</w:t>
      </w:r>
    </w:p>
    <w:p w14:paraId="4B0FA2B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kern w:val="0"/>
          <w:sz w:val="24"/>
        </w:rPr>
        <w:t>係未單獨列示負債項目之金融負債屬之。</w:t>
      </w:r>
    </w:p>
    <w:p w14:paraId="31E188E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D75EFF" w:rsidRPr="00E224E9">
        <w:rPr>
          <w:rFonts w:ascii="Book Antiqua" w:hAnsi="Book Antiqua" w:hint="eastAsia"/>
          <w:color w:val="000000" w:themeColor="text1"/>
          <w:sz w:val="24"/>
        </w:rPr>
        <w:t>19</w:t>
      </w:r>
      <w:r w:rsidRPr="00E224E9">
        <w:rPr>
          <w:rFonts w:ascii="Book Antiqua" w:hAnsi="標楷體"/>
          <w:color w:val="000000" w:themeColor="text1"/>
          <w:sz w:val="24"/>
        </w:rPr>
        <w:t>列－</w:t>
      </w:r>
      <w:r w:rsidR="005E2E33" w:rsidRPr="00E224E9">
        <w:rPr>
          <w:rFonts w:ascii="Book Antiqua" w:hAnsi="標楷體" w:hint="eastAsia"/>
          <w:color w:val="000000" w:themeColor="text1"/>
          <w:sz w:val="24"/>
        </w:rPr>
        <w:t>保險</w:t>
      </w:r>
      <w:r w:rsidRPr="00E224E9">
        <w:rPr>
          <w:rFonts w:ascii="Book Antiqua" w:hAnsi="標楷體"/>
          <w:color w:val="000000" w:themeColor="text1"/>
          <w:sz w:val="24"/>
        </w:rPr>
        <w:t>負債</w:t>
      </w:r>
      <w:r w:rsidRPr="00E224E9">
        <w:rPr>
          <w:rFonts w:ascii="Book Antiqua" w:hAnsi="Book Antiqua"/>
          <w:color w:val="000000" w:themeColor="text1"/>
          <w:sz w:val="24"/>
        </w:rPr>
        <w:t>-</w:t>
      </w:r>
      <w:r w:rsidRPr="00E224E9">
        <w:rPr>
          <w:rFonts w:ascii="Book Antiqua" w:hAnsi="標楷體"/>
          <w:color w:val="000000" w:themeColor="text1"/>
          <w:sz w:val="24"/>
        </w:rPr>
        <w:t>帳載</w:t>
      </w:r>
    </w:p>
    <w:p w14:paraId="344D60D4"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係為營業及負債提列之各項準備。</w:t>
      </w:r>
    </w:p>
    <w:p w14:paraId="1788823B"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lastRenderedPageBreak/>
        <w:t>本列</w:t>
      </w:r>
      <w:r w:rsidR="00434A7A" w:rsidRPr="00E224E9">
        <w:rPr>
          <w:rFonts w:ascii="Book Antiqua" w:hAnsi="標楷體" w:hint="eastAsia"/>
          <w:color w:val="000000" w:themeColor="text1"/>
          <w:sz w:val="24"/>
        </w:rPr>
        <w:t>保險</w:t>
      </w:r>
      <w:r w:rsidR="00434A7A" w:rsidRPr="00E224E9">
        <w:rPr>
          <w:rFonts w:ascii="Book Antiqua" w:hAnsi="標楷體"/>
          <w:color w:val="000000" w:themeColor="text1"/>
          <w:sz w:val="24"/>
        </w:rPr>
        <w:t>負債</w:t>
      </w:r>
      <w:r w:rsidR="00434A7A" w:rsidRPr="00E224E9">
        <w:rPr>
          <w:rFonts w:ascii="Book Antiqua" w:hAnsi="Book Antiqua"/>
          <w:color w:val="000000" w:themeColor="text1"/>
          <w:sz w:val="24"/>
        </w:rPr>
        <w:t>-</w:t>
      </w:r>
      <w:r w:rsidR="00434A7A" w:rsidRPr="00E224E9">
        <w:rPr>
          <w:rFonts w:ascii="Book Antiqua" w:hAnsi="標楷體"/>
          <w:color w:val="000000" w:themeColor="text1"/>
          <w:sz w:val="24"/>
        </w:rPr>
        <w:t>帳載</w:t>
      </w:r>
      <w:r w:rsidRPr="00E224E9">
        <w:rPr>
          <w:rFonts w:ascii="Book Antiqua" w:hAnsi="標楷體"/>
          <w:color w:val="000000" w:themeColor="text1"/>
          <w:sz w:val="24"/>
        </w:rPr>
        <w:t>金額為第</w:t>
      </w:r>
      <w:r w:rsidR="005E2E33" w:rsidRPr="00E224E9">
        <w:rPr>
          <w:rFonts w:ascii="Book Antiqua" w:hAnsi="Book Antiqua" w:hint="eastAsia"/>
          <w:color w:val="000000" w:themeColor="text1"/>
          <w:sz w:val="24"/>
        </w:rPr>
        <w:t>2</w:t>
      </w:r>
      <w:r w:rsidR="00D75EFF" w:rsidRPr="00E224E9">
        <w:rPr>
          <w:rFonts w:ascii="Book Antiqua" w:hAnsi="Book Antiqua" w:hint="eastAsia"/>
          <w:color w:val="000000" w:themeColor="text1"/>
          <w:sz w:val="24"/>
          <w:lang w:eastAsia="zh-TW"/>
        </w:rPr>
        <w:t>1</w:t>
      </w:r>
      <w:r w:rsidRPr="00E224E9">
        <w:rPr>
          <w:rFonts w:ascii="Book Antiqua" w:hAnsi="標楷體"/>
          <w:color w:val="000000" w:themeColor="text1"/>
          <w:sz w:val="24"/>
        </w:rPr>
        <w:t>列至第</w:t>
      </w:r>
      <w:r w:rsidR="00D75EFF" w:rsidRPr="00E224E9">
        <w:rPr>
          <w:rFonts w:ascii="Book Antiqua" w:hAnsi="Book Antiqua" w:hint="eastAsia"/>
          <w:color w:val="000000" w:themeColor="text1"/>
          <w:sz w:val="24"/>
          <w:lang w:eastAsia="zh-TW"/>
        </w:rPr>
        <w:t>27</w:t>
      </w:r>
      <w:r w:rsidRPr="00E224E9">
        <w:rPr>
          <w:rFonts w:ascii="Book Antiqua" w:hAnsi="標楷體"/>
          <w:color w:val="000000" w:themeColor="text1"/>
          <w:sz w:val="24"/>
        </w:rPr>
        <w:t>列各項準備金</w:t>
      </w:r>
      <w:r w:rsidR="00D75EFF" w:rsidRPr="00E224E9">
        <w:rPr>
          <w:rFonts w:ascii="Book Antiqua" w:hAnsi="標楷體" w:hint="eastAsia"/>
          <w:color w:val="000000" w:themeColor="text1"/>
          <w:sz w:val="24"/>
          <w:lang w:eastAsia="zh-TW"/>
        </w:rPr>
        <w:t>項</w:t>
      </w:r>
      <w:r w:rsidRPr="00E224E9">
        <w:rPr>
          <w:rFonts w:ascii="Book Antiqua" w:hAnsi="標楷體"/>
          <w:color w:val="000000" w:themeColor="text1"/>
          <w:sz w:val="24"/>
        </w:rPr>
        <w:t>目帳載金額加總之和。</w:t>
      </w:r>
    </w:p>
    <w:p w14:paraId="6AF8C369"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E2E33" w:rsidRPr="00E224E9">
        <w:rPr>
          <w:rFonts w:ascii="Book Antiqua" w:hAnsi="Book Antiqua" w:hint="eastAsia"/>
          <w:color w:val="000000" w:themeColor="text1"/>
          <w:sz w:val="24"/>
        </w:rPr>
        <w:t>2</w:t>
      </w:r>
      <w:r w:rsidR="00D75EFF" w:rsidRPr="00E224E9">
        <w:rPr>
          <w:rFonts w:ascii="Book Antiqua" w:hAnsi="Book Antiqua" w:hint="eastAsia"/>
          <w:color w:val="000000" w:themeColor="text1"/>
          <w:sz w:val="24"/>
        </w:rPr>
        <w:t>0</w:t>
      </w:r>
      <w:r w:rsidRPr="00E224E9">
        <w:rPr>
          <w:rFonts w:ascii="Book Antiqua" w:hAnsi="標楷體"/>
          <w:color w:val="000000" w:themeColor="text1"/>
          <w:sz w:val="24"/>
        </w:rPr>
        <w:t>列－</w:t>
      </w:r>
      <w:r w:rsidR="00FD6BD1" w:rsidRPr="00E224E9">
        <w:rPr>
          <w:rFonts w:ascii="Book Antiqua" w:hAnsi="標楷體" w:hint="eastAsia"/>
          <w:color w:val="000000" w:themeColor="text1"/>
          <w:sz w:val="24"/>
        </w:rPr>
        <w:t>保險</w:t>
      </w:r>
      <w:r w:rsidR="00FD6BD1" w:rsidRPr="00E224E9">
        <w:rPr>
          <w:rFonts w:ascii="Book Antiqua" w:hAnsi="標楷體"/>
          <w:color w:val="000000" w:themeColor="text1"/>
          <w:sz w:val="24"/>
        </w:rPr>
        <w:t>負債</w:t>
      </w:r>
      <w:r w:rsidRPr="00E224E9">
        <w:rPr>
          <w:rFonts w:ascii="Book Antiqua" w:hAnsi="Book Antiqua"/>
          <w:color w:val="000000" w:themeColor="text1"/>
          <w:sz w:val="24"/>
        </w:rPr>
        <w:t>-</w:t>
      </w:r>
      <w:r w:rsidRPr="00E224E9">
        <w:rPr>
          <w:rFonts w:ascii="Book Antiqua" w:hAnsi="標楷體"/>
          <w:color w:val="000000" w:themeColor="text1"/>
          <w:sz w:val="24"/>
        </w:rPr>
        <w:t>認許</w:t>
      </w:r>
    </w:p>
    <w:p w14:paraId="646D72E7"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本列係第</w:t>
      </w:r>
      <w:r w:rsidR="00D75EFF" w:rsidRPr="00E224E9">
        <w:rPr>
          <w:rFonts w:ascii="Book Antiqua" w:hAnsi="Book Antiqua" w:hint="eastAsia"/>
          <w:color w:val="000000" w:themeColor="text1"/>
          <w:sz w:val="24"/>
          <w:lang w:eastAsia="zh-TW"/>
        </w:rPr>
        <w:t>19</w:t>
      </w:r>
      <w:r w:rsidRPr="00E224E9">
        <w:rPr>
          <w:rFonts w:ascii="Book Antiqua" w:hAnsi="標楷體"/>
          <w:color w:val="000000" w:themeColor="text1"/>
          <w:sz w:val="24"/>
        </w:rPr>
        <w:t>列</w:t>
      </w:r>
      <w:r w:rsidR="00434A7A" w:rsidRPr="00E224E9">
        <w:rPr>
          <w:rFonts w:ascii="Book Antiqua" w:hAnsi="標楷體" w:hint="eastAsia"/>
          <w:color w:val="000000" w:themeColor="text1"/>
          <w:sz w:val="24"/>
        </w:rPr>
        <w:t>保險</w:t>
      </w:r>
      <w:r w:rsidR="00434A7A" w:rsidRPr="00E224E9">
        <w:rPr>
          <w:rFonts w:ascii="Book Antiqua" w:hAnsi="標楷體"/>
          <w:color w:val="000000" w:themeColor="text1"/>
          <w:sz w:val="24"/>
        </w:rPr>
        <w:t>負債</w:t>
      </w:r>
      <w:r w:rsidR="00434A7A" w:rsidRPr="00E224E9">
        <w:rPr>
          <w:rFonts w:ascii="Book Antiqua" w:hAnsi="Book Antiqua"/>
          <w:color w:val="000000" w:themeColor="text1"/>
          <w:sz w:val="24"/>
        </w:rPr>
        <w:t>-</w:t>
      </w:r>
      <w:r w:rsidR="00434A7A" w:rsidRPr="00E224E9">
        <w:rPr>
          <w:rFonts w:ascii="Book Antiqua" w:hAnsi="標楷體"/>
          <w:color w:val="000000" w:themeColor="text1"/>
          <w:sz w:val="24"/>
        </w:rPr>
        <w:t>帳載</w:t>
      </w:r>
      <w:r w:rsidRPr="00E224E9">
        <w:rPr>
          <w:rFonts w:ascii="Book Antiqua" w:hAnsi="標楷體"/>
          <w:color w:val="000000" w:themeColor="text1"/>
          <w:sz w:val="24"/>
        </w:rPr>
        <w:t>金額與第</w:t>
      </w:r>
      <w:r w:rsidR="00D75EFF" w:rsidRPr="00E224E9">
        <w:rPr>
          <w:rFonts w:ascii="Book Antiqua" w:hAnsi="Book Antiqua" w:hint="eastAsia"/>
          <w:color w:val="000000" w:themeColor="text1"/>
          <w:sz w:val="24"/>
          <w:lang w:eastAsia="zh-TW"/>
        </w:rPr>
        <w:t>28</w:t>
      </w:r>
      <w:r w:rsidRPr="00E224E9">
        <w:rPr>
          <w:rFonts w:ascii="Book Antiqua" w:hAnsi="標楷體"/>
          <w:color w:val="000000" w:themeColor="text1"/>
          <w:sz w:val="24"/>
        </w:rPr>
        <w:t>列未適格再保險準備加總之和。</w:t>
      </w:r>
    </w:p>
    <w:p w14:paraId="55DDE72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434A7A" w:rsidRPr="00E224E9">
        <w:rPr>
          <w:rFonts w:ascii="Book Antiqua" w:hAnsi="Book Antiqua" w:hint="eastAsia"/>
          <w:color w:val="000000" w:themeColor="text1"/>
          <w:sz w:val="24"/>
        </w:rPr>
        <w:t>1</w:t>
      </w:r>
      <w:r w:rsidRPr="00E224E9">
        <w:rPr>
          <w:rFonts w:ascii="Book Antiqua" w:hAnsi="標楷體"/>
          <w:color w:val="000000" w:themeColor="text1"/>
          <w:sz w:val="24"/>
        </w:rPr>
        <w:t>列－未滿期保費準備</w:t>
      </w:r>
    </w:p>
    <w:p w14:paraId="3CF997D6"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係決﹙結﹚算時，依照保險法、保險業各種準備金提存辦法及其相關解釋函令之規定，提存尚未滿期之保險費作為責任準備者。</w:t>
      </w:r>
    </w:p>
    <w:p w14:paraId="4E42D052"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E2E33" w:rsidRPr="00E224E9">
        <w:rPr>
          <w:rFonts w:ascii="Book Antiqua" w:hAnsi="Book Antiqua" w:hint="eastAsia"/>
          <w:color w:val="000000" w:themeColor="text1"/>
          <w:sz w:val="24"/>
        </w:rPr>
        <w:t>2</w:t>
      </w:r>
      <w:r w:rsidR="00434A7A" w:rsidRPr="00E224E9">
        <w:rPr>
          <w:rFonts w:ascii="Book Antiqua" w:hAnsi="Book Antiqua" w:hint="eastAsia"/>
          <w:color w:val="000000" w:themeColor="text1"/>
          <w:sz w:val="24"/>
        </w:rPr>
        <w:t>2</w:t>
      </w:r>
      <w:r w:rsidRPr="00E224E9">
        <w:rPr>
          <w:rFonts w:ascii="Book Antiqua" w:hAnsi="標楷體"/>
          <w:color w:val="000000" w:themeColor="text1"/>
          <w:sz w:val="24"/>
        </w:rPr>
        <w:t>列－賠款準備</w:t>
      </w:r>
    </w:p>
    <w:p w14:paraId="743EC2FC" w14:textId="77777777" w:rsidR="00065C53" w:rsidRPr="00E224E9" w:rsidRDefault="00065C53">
      <w:pPr>
        <w:pStyle w:val="af4"/>
        <w:ind w:leftChars="346" w:left="902" w:firstLineChars="0" w:hanging="2"/>
        <w:rPr>
          <w:rFonts w:ascii="Book Antiqua" w:hAnsi="Book Antiqua" w:cs="Times New Roman"/>
          <w:color w:val="000000" w:themeColor="text1"/>
          <w:szCs w:val="24"/>
        </w:rPr>
      </w:pPr>
      <w:r w:rsidRPr="00E224E9">
        <w:rPr>
          <w:rFonts w:ascii="Book Antiqua" w:hAnsi="標楷體" w:cs="Times New Roman"/>
          <w:color w:val="000000" w:themeColor="text1"/>
          <w:szCs w:val="24"/>
        </w:rPr>
        <w:t>係決﹙結﹚算時，依照保險法、保險業各種準備金提存辦法及其相關解釋函令之規定，提存之賠款準備者。</w:t>
      </w:r>
    </w:p>
    <w:p w14:paraId="26CB3EA6"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E2E33" w:rsidRPr="00E224E9">
        <w:rPr>
          <w:rFonts w:ascii="Book Antiqua" w:hAnsi="Book Antiqua" w:hint="eastAsia"/>
          <w:color w:val="000000" w:themeColor="text1"/>
          <w:sz w:val="24"/>
        </w:rPr>
        <w:t>2</w:t>
      </w:r>
      <w:r w:rsidR="00434A7A" w:rsidRPr="00E224E9">
        <w:rPr>
          <w:rFonts w:ascii="Book Antiqua" w:hAnsi="Book Antiqua" w:hint="eastAsia"/>
          <w:color w:val="000000" w:themeColor="text1"/>
          <w:sz w:val="24"/>
        </w:rPr>
        <w:t>3</w:t>
      </w:r>
      <w:r w:rsidRPr="00E224E9">
        <w:rPr>
          <w:rFonts w:ascii="Book Antiqua" w:hAnsi="標楷體"/>
          <w:color w:val="000000" w:themeColor="text1"/>
          <w:sz w:val="24"/>
        </w:rPr>
        <w:t>列－壽險責任準備</w:t>
      </w:r>
    </w:p>
    <w:p w14:paraId="5E2F3EF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係決﹙結﹚算時，依照保險法、保險業各種準備金提存辦法及其相關解釋函令之規定提存之壽險責任準備者。</w:t>
      </w:r>
    </w:p>
    <w:p w14:paraId="558E9F2E"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E2E33" w:rsidRPr="00E224E9">
        <w:rPr>
          <w:rFonts w:ascii="Book Antiqua" w:hAnsi="Book Antiqua" w:hint="eastAsia"/>
          <w:color w:val="000000" w:themeColor="text1"/>
          <w:sz w:val="24"/>
        </w:rPr>
        <w:t>2</w:t>
      </w:r>
      <w:r w:rsidR="00434A7A" w:rsidRPr="00E224E9">
        <w:rPr>
          <w:rFonts w:ascii="Book Antiqua" w:hAnsi="Book Antiqua" w:hint="eastAsia"/>
          <w:color w:val="000000" w:themeColor="text1"/>
          <w:sz w:val="24"/>
        </w:rPr>
        <w:t>4</w:t>
      </w:r>
      <w:r w:rsidRPr="00E224E9">
        <w:rPr>
          <w:rFonts w:ascii="Book Antiqua" w:hAnsi="標楷體"/>
          <w:color w:val="000000" w:themeColor="text1"/>
          <w:sz w:val="24"/>
        </w:rPr>
        <w:t>列－特別準備</w:t>
      </w:r>
    </w:p>
    <w:p w14:paraId="5B7D9CAC" w14:textId="77777777" w:rsidR="00065C53" w:rsidRPr="00E224E9" w:rsidRDefault="00065C53">
      <w:pPr>
        <w:pStyle w:val="af4"/>
        <w:ind w:leftChars="346" w:left="902" w:firstLineChars="0" w:hanging="2"/>
        <w:rPr>
          <w:rFonts w:ascii="Book Antiqua" w:hAnsi="Book Antiqua" w:cs="Times New Roman"/>
          <w:color w:val="000000" w:themeColor="text1"/>
        </w:rPr>
      </w:pPr>
      <w:r w:rsidRPr="00E224E9">
        <w:rPr>
          <w:rFonts w:ascii="Book Antiqua" w:hAnsi="標楷體" w:cs="Times New Roman"/>
          <w:color w:val="000000" w:themeColor="text1"/>
        </w:rPr>
        <w:t>係決﹙結﹚算時，依照保險法、保險業各種準備金提存辦法及其相關解釋函令之規定，提存之特別準備者。</w:t>
      </w:r>
    </w:p>
    <w:p w14:paraId="7CF0611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E2E33" w:rsidRPr="00E224E9">
        <w:rPr>
          <w:rFonts w:ascii="Book Antiqua" w:hAnsi="Book Antiqua" w:hint="eastAsia"/>
          <w:color w:val="000000" w:themeColor="text1"/>
          <w:sz w:val="24"/>
        </w:rPr>
        <w:t>2</w:t>
      </w:r>
      <w:r w:rsidR="00434A7A" w:rsidRPr="00E224E9">
        <w:rPr>
          <w:rFonts w:ascii="Book Antiqua" w:hAnsi="Book Antiqua" w:hint="eastAsia"/>
          <w:color w:val="000000" w:themeColor="text1"/>
          <w:sz w:val="24"/>
        </w:rPr>
        <w:t>5</w:t>
      </w:r>
      <w:r w:rsidRPr="00E224E9">
        <w:rPr>
          <w:rFonts w:ascii="Book Antiqua" w:hAnsi="標楷體"/>
          <w:color w:val="000000" w:themeColor="text1"/>
          <w:sz w:val="24"/>
        </w:rPr>
        <w:t>列－保費不足準備</w:t>
      </w:r>
    </w:p>
    <w:p w14:paraId="2CC91A01" w14:textId="77777777" w:rsidR="00065C53" w:rsidRPr="00E224E9" w:rsidRDefault="00065C53">
      <w:pPr>
        <w:pStyle w:val="af4"/>
        <w:ind w:leftChars="346" w:left="902" w:firstLineChars="0" w:hanging="2"/>
        <w:rPr>
          <w:rFonts w:ascii="Book Antiqua" w:hAnsi="Book Antiqua" w:cs="Times New Roman"/>
          <w:color w:val="000000" w:themeColor="text1"/>
          <w:szCs w:val="24"/>
        </w:rPr>
      </w:pPr>
      <w:r w:rsidRPr="00E224E9">
        <w:rPr>
          <w:rFonts w:ascii="Book Antiqua" w:hAnsi="標楷體" w:cs="Times New Roman"/>
          <w:bCs/>
          <w:color w:val="000000" w:themeColor="text1"/>
        </w:rPr>
        <w:t>係</w:t>
      </w:r>
      <w:r w:rsidRPr="00E224E9">
        <w:rPr>
          <w:rFonts w:ascii="Book Antiqua" w:hAnsi="標楷體" w:cs="Times New Roman"/>
          <w:color w:val="000000" w:themeColor="text1"/>
        </w:rPr>
        <w:t>決﹙結﹚算時，依照保險法、保險業各種準備金提存辦法及其相關解釋函令之規定，提存之保費不足準備者。</w:t>
      </w:r>
    </w:p>
    <w:p w14:paraId="39F754D5"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E2E33" w:rsidRPr="00E224E9">
        <w:rPr>
          <w:rFonts w:ascii="Book Antiqua" w:hAnsi="Book Antiqua" w:hint="eastAsia"/>
          <w:color w:val="000000" w:themeColor="text1"/>
          <w:sz w:val="24"/>
        </w:rPr>
        <w:t>2</w:t>
      </w:r>
      <w:r w:rsidR="00D31F5F" w:rsidRPr="00E224E9">
        <w:rPr>
          <w:rFonts w:ascii="Book Antiqua" w:hAnsi="Book Antiqua" w:hint="eastAsia"/>
          <w:color w:val="000000" w:themeColor="text1"/>
          <w:sz w:val="24"/>
        </w:rPr>
        <w:t>6</w:t>
      </w:r>
      <w:r w:rsidRPr="00E224E9">
        <w:rPr>
          <w:rFonts w:ascii="Book Antiqua" w:hAnsi="標楷體"/>
          <w:color w:val="000000" w:themeColor="text1"/>
          <w:sz w:val="24"/>
        </w:rPr>
        <w:t>列－負債適足準備</w:t>
      </w:r>
    </w:p>
    <w:p w14:paraId="607E3942" w14:textId="77777777" w:rsidR="00065C53" w:rsidRPr="00E224E9" w:rsidRDefault="00065C53">
      <w:pPr>
        <w:pStyle w:val="af4"/>
        <w:ind w:leftChars="346" w:left="902" w:firstLineChars="0" w:hanging="2"/>
        <w:rPr>
          <w:rFonts w:ascii="Book Antiqua" w:hAnsi="Book Antiqua"/>
          <w:bCs/>
          <w:color w:val="000000" w:themeColor="text1"/>
        </w:rPr>
      </w:pPr>
      <w:r w:rsidRPr="00E224E9">
        <w:rPr>
          <w:rFonts w:ascii="Book Antiqua" w:hAnsi="標楷體"/>
          <w:bCs/>
          <w:color w:val="000000" w:themeColor="text1"/>
        </w:rPr>
        <w:t>係指依</w:t>
      </w:r>
      <w:r w:rsidR="00C65703" w:rsidRPr="00E224E9">
        <w:rPr>
          <w:rFonts w:ascii="Book Antiqua" w:hAnsi="標楷體"/>
          <w:bCs/>
          <w:color w:val="000000" w:themeColor="text1"/>
        </w:rPr>
        <w:t>國際財務報導準則第四號公報</w:t>
      </w:r>
      <w:r w:rsidRPr="00E224E9">
        <w:rPr>
          <w:rFonts w:ascii="Book Antiqua" w:hAnsi="標楷體"/>
          <w:bCs/>
          <w:color w:val="000000" w:themeColor="text1"/>
        </w:rPr>
        <w:t>規定之負債適足性測試所需增提之負債適足準備。</w:t>
      </w:r>
    </w:p>
    <w:p w14:paraId="6567768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D31F5F" w:rsidRPr="00E224E9">
        <w:rPr>
          <w:rFonts w:ascii="Book Antiqua" w:hAnsi="Book Antiqua" w:hint="eastAsia"/>
          <w:color w:val="000000" w:themeColor="text1"/>
          <w:sz w:val="24"/>
        </w:rPr>
        <w:t>27</w:t>
      </w:r>
      <w:r w:rsidRPr="00E224E9">
        <w:rPr>
          <w:rFonts w:ascii="Book Antiqua" w:hAnsi="標楷體"/>
          <w:color w:val="000000" w:themeColor="text1"/>
          <w:sz w:val="24"/>
        </w:rPr>
        <w:t>列－其他準備</w:t>
      </w:r>
    </w:p>
    <w:p w14:paraId="4D3C4721" w14:textId="77777777" w:rsidR="00065C53" w:rsidRPr="00E224E9" w:rsidRDefault="00065C53">
      <w:pPr>
        <w:pStyle w:val="af4"/>
        <w:ind w:leftChars="346" w:left="902" w:firstLineChars="0" w:hanging="2"/>
        <w:rPr>
          <w:rFonts w:ascii="Book Antiqua" w:hAnsi="標楷體"/>
          <w:color w:val="000000" w:themeColor="text1"/>
        </w:rPr>
      </w:pPr>
      <w:r w:rsidRPr="00E224E9">
        <w:rPr>
          <w:rFonts w:ascii="Book Antiqua" w:hAnsi="標楷體"/>
          <w:bCs/>
          <w:color w:val="000000" w:themeColor="text1"/>
        </w:rPr>
        <w:t>係</w:t>
      </w:r>
      <w:r w:rsidRPr="00E224E9">
        <w:rPr>
          <w:rFonts w:ascii="Book Antiqua" w:hAnsi="標楷體"/>
          <w:color w:val="000000" w:themeColor="text1"/>
        </w:rPr>
        <w:t>經主管機關規定提存，不能歸屬於以上各類及第</w:t>
      </w:r>
      <w:r w:rsidRPr="00E224E9">
        <w:rPr>
          <w:rFonts w:ascii="Book Antiqua" w:hAnsi="Book Antiqua"/>
          <w:color w:val="000000" w:themeColor="text1"/>
        </w:rPr>
        <w:t>3</w:t>
      </w:r>
      <w:r w:rsidR="005E2E33" w:rsidRPr="00E224E9">
        <w:rPr>
          <w:rFonts w:ascii="Book Antiqua" w:hAnsi="Book Antiqua" w:hint="eastAsia"/>
          <w:color w:val="000000" w:themeColor="text1"/>
        </w:rPr>
        <w:t>1</w:t>
      </w:r>
      <w:r w:rsidRPr="00E224E9">
        <w:rPr>
          <w:rFonts w:ascii="Book Antiqua" w:hAnsi="標楷體"/>
          <w:color w:val="000000" w:themeColor="text1"/>
        </w:rPr>
        <w:t>列之準備者。</w:t>
      </w:r>
    </w:p>
    <w:p w14:paraId="1C81AE82" w14:textId="77777777" w:rsidR="005E2E33" w:rsidRPr="00E224E9" w:rsidRDefault="005E2E33" w:rsidP="005E2E3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D31F5F" w:rsidRPr="00E224E9">
        <w:rPr>
          <w:rFonts w:ascii="Book Antiqua" w:hAnsi="Book Antiqua" w:hint="eastAsia"/>
          <w:color w:val="000000" w:themeColor="text1"/>
          <w:sz w:val="24"/>
        </w:rPr>
        <w:t>28</w:t>
      </w:r>
      <w:r w:rsidRPr="00E224E9">
        <w:rPr>
          <w:rFonts w:ascii="Book Antiqua" w:hAnsi="標楷體"/>
          <w:color w:val="000000" w:themeColor="text1"/>
          <w:sz w:val="24"/>
        </w:rPr>
        <w:t>列－未適格再保險準備</w:t>
      </w:r>
    </w:p>
    <w:p w14:paraId="36106BD2" w14:textId="77777777" w:rsidR="005E2E33" w:rsidRPr="00E224E9" w:rsidRDefault="005E2E33" w:rsidP="00F3152E">
      <w:pPr>
        <w:pStyle w:val="af4"/>
        <w:spacing w:line="440" w:lineRule="exact"/>
        <w:ind w:leftChars="346" w:left="900" w:firstLineChars="0" w:firstLine="0"/>
        <w:rPr>
          <w:rFonts w:ascii="Book Antiqua" w:hAnsi="標楷體"/>
          <w:bCs/>
          <w:color w:val="000000" w:themeColor="text1"/>
        </w:rPr>
      </w:pPr>
      <w:r w:rsidRPr="00E224E9">
        <w:rPr>
          <w:rFonts w:ascii="Book Antiqua" w:hAnsi="標楷體"/>
          <w:bCs/>
          <w:color w:val="000000" w:themeColor="text1"/>
        </w:rPr>
        <w:t>依「保險業辦理再保險分出分入及其他危險分散機制管理辦法」之規定，當原保險人再保分出給未適格再保險人時，於檢查報告須補提之準備金總額。</w:t>
      </w:r>
    </w:p>
    <w:p w14:paraId="2F0532C7" w14:textId="77777777" w:rsidR="005E2E33" w:rsidRPr="00E224E9" w:rsidRDefault="005E2E33" w:rsidP="00F3152E">
      <w:pPr>
        <w:pStyle w:val="af4"/>
        <w:spacing w:line="440" w:lineRule="exact"/>
        <w:ind w:leftChars="346" w:left="900" w:firstLineChars="0" w:firstLine="0"/>
        <w:rPr>
          <w:rFonts w:ascii="Book Antiqua" w:hAnsi="Book Antiqua" w:cs="Times New Roman"/>
          <w:color w:val="000000" w:themeColor="text1"/>
          <w:szCs w:val="24"/>
        </w:rPr>
      </w:pPr>
      <w:r w:rsidRPr="00E224E9">
        <w:rPr>
          <w:rFonts w:ascii="Book Antiqua" w:hAnsi="標楷體"/>
          <w:color w:val="000000" w:themeColor="text1"/>
        </w:rPr>
        <w:t>本列金額與「表</w:t>
      </w:r>
      <w:r w:rsidRPr="00E224E9">
        <w:rPr>
          <w:rFonts w:ascii="Book Antiqua" w:hAnsi="Book Antiqua"/>
          <w:color w:val="000000" w:themeColor="text1"/>
        </w:rPr>
        <w:t>19-3</w:t>
      </w:r>
      <w:r w:rsidRPr="00E224E9">
        <w:rPr>
          <w:rFonts w:ascii="Book Antiqua" w:hAnsi="標楷體"/>
          <w:color w:val="000000" w:themeColor="text1"/>
        </w:rPr>
        <w:t>：未適格再保險準備明細表」第</w:t>
      </w:r>
      <w:r w:rsidRPr="00E224E9">
        <w:rPr>
          <w:rFonts w:ascii="Book Antiqua" w:hAnsi="Book Antiqua"/>
          <w:color w:val="000000" w:themeColor="text1"/>
        </w:rPr>
        <w:t>(15)</w:t>
      </w:r>
      <w:r w:rsidRPr="00E224E9">
        <w:rPr>
          <w:rFonts w:ascii="Book Antiqua" w:hAnsi="標楷體"/>
          <w:color w:val="000000" w:themeColor="text1"/>
        </w:rPr>
        <w:t>欄第</w:t>
      </w:r>
      <w:r w:rsidRPr="00E224E9">
        <w:rPr>
          <w:rFonts w:ascii="Book Antiqua" w:hAnsi="Book Antiqua"/>
          <w:color w:val="000000" w:themeColor="text1"/>
        </w:rPr>
        <w:t>(25)</w:t>
      </w:r>
      <w:r w:rsidRPr="00E224E9">
        <w:rPr>
          <w:rFonts w:ascii="Book Antiqua" w:hAnsi="標楷體"/>
          <w:color w:val="000000" w:themeColor="text1"/>
        </w:rPr>
        <w:t>列之金額相一致。</w:t>
      </w:r>
    </w:p>
    <w:p w14:paraId="7579CDD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00D31F5F" w:rsidRPr="00E224E9">
        <w:rPr>
          <w:rFonts w:ascii="Book Antiqua" w:hAnsi="Book Antiqua" w:hint="eastAsia"/>
          <w:color w:val="000000" w:themeColor="text1"/>
          <w:sz w:val="24"/>
        </w:rPr>
        <w:t>0</w:t>
      </w:r>
      <w:r w:rsidRPr="00E224E9">
        <w:rPr>
          <w:rFonts w:ascii="Book Antiqua" w:hAnsi="標楷體"/>
          <w:color w:val="000000" w:themeColor="text1"/>
          <w:sz w:val="24"/>
        </w:rPr>
        <w:t>列－具金融商品性質之保險契約準備</w:t>
      </w:r>
    </w:p>
    <w:p w14:paraId="5CD99661" w14:textId="77777777" w:rsidR="00065C53" w:rsidRPr="00E224E9" w:rsidRDefault="00065C53" w:rsidP="00F3152E">
      <w:pPr>
        <w:pStyle w:val="af4"/>
        <w:spacing w:line="440" w:lineRule="exact"/>
        <w:ind w:leftChars="346" w:left="900" w:firstLineChars="0" w:firstLine="0"/>
        <w:rPr>
          <w:rFonts w:ascii="Book Antiqua" w:hAnsi="標楷體"/>
          <w:bCs/>
          <w:color w:val="000000" w:themeColor="text1"/>
        </w:rPr>
      </w:pPr>
      <w:r w:rsidRPr="00E224E9">
        <w:rPr>
          <w:rFonts w:ascii="Book Antiqua" w:hAnsi="標楷體"/>
          <w:bCs/>
          <w:color w:val="000000" w:themeColor="text1"/>
        </w:rPr>
        <w:t>係指保險業發行不具裁量參與特性之金融商品，依照本法、保險業各種準備金提存辦法、專業再保險業財務業務管理辦法及其相關解釋函令之規定，提存之準備者。</w:t>
      </w:r>
    </w:p>
    <w:p w14:paraId="226ADDC8" w14:textId="77777777" w:rsidR="00065C53" w:rsidRPr="00E224E9" w:rsidRDefault="00065C53">
      <w:pPr>
        <w:spacing w:line="440" w:lineRule="exact"/>
        <w:jc w:val="both"/>
        <w:rPr>
          <w:rFonts w:ascii="Book Antiqua" w:hAnsi="標楷體"/>
          <w:color w:val="000000" w:themeColor="text1"/>
          <w:sz w:val="24"/>
        </w:rPr>
      </w:pP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3</w:t>
      </w:r>
      <w:r w:rsidR="00D31F5F" w:rsidRPr="00E224E9">
        <w:rPr>
          <w:rFonts w:ascii="Book Antiqua" w:hAnsi="標楷體" w:hint="eastAsia"/>
          <w:color w:val="000000" w:themeColor="text1"/>
          <w:sz w:val="24"/>
        </w:rPr>
        <w:t>1</w:t>
      </w:r>
      <w:r w:rsidRPr="00E224E9">
        <w:rPr>
          <w:rFonts w:ascii="Book Antiqua" w:hAnsi="標楷體" w:hint="eastAsia"/>
          <w:color w:val="000000" w:themeColor="text1"/>
          <w:sz w:val="24"/>
        </w:rPr>
        <w:t>列－外匯價格變動準備</w:t>
      </w:r>
    </w:p>
    <w:p w14:paraId="78CB13A0" w14:textId="77777777" w:rsidR="00065C53" w:rsidRPr="00E224E9" w:rsidRDefault="00065C53" w:rsidP="00F3152E">
      <w:pPr>
        <w:pStyle w:val="af4"/>
        <w:spacing w:line="440" w:lineRule="exact"/>
        <w:ind w:leftChars="346" w:left="900" w:firstLineChars="0" w:firstLine="0"/>
        <w:rPr>
          <w:rFonts w:ascii="Book Antiqua" w:hAnsi="標楷體"/>
          <w:bCs/>
          <w:color w:val="000000" w:themeColor="text1"/>
        </w:rPr>
      </w:pPr>
      <w:r w:rsidRPr="00E224E9">
        <w:rPr>
          <w:rFonts w:ascii="Book Antiqua" w:hAnsi="標楷體"/>
          <w:bCs/>
          <w:color w:val="000000" w:themeColor="text1"/>
        </w:rPr>
        <w:lastRenderedPageBreak/>
        <w:t>係</w:t>
      </w:r>
      <w:r w:rsidRPr="00E224E9">
        <w:rPr>
          <w:rFonts w:ascii="Book Antiqua" w:hAnsi="標楷體" w:hint="eastAsia"/>
          <w:bCs/>
          <w:color w:val="000000" w:themeColor="text1"/>
        </w:rPr>
        <w:t>指資產負債表日</w:t>
      </w:r>
      <w:r w:rsidRPr="00E224E9">
        <w:rPr>
          <w:rFonts w:ascii="Book Antiqua" w:hAnsi="標楷體"/>
          <w:bCs/>
          <w:color w:val="000000" w:themeColor="text1"/>
        </w:rPr>
        <w:t>，依照</w:t>
      </w:r>
      <w:r w:rsidR="00D31F5F" w:rsidRPr="00E224E9">
        <w:rPr>
          <w:rFonts w:ascii="Book Antiqua" w:hAnsi="標楷體" w:hint="eastAsia"/>
          <w:bCs/>
          <w:color w:val="000000" w:themeColor="text1"/>
        </w:rPr>
        <w:t>保險</w:t>
      </w:r>
      <w:r w:rsidRPr="00E224E9">
        <w:rPr>
          <w:rFonts w:ascii="Book Antiqua" w:hAnsi="標楷體"/>
          <w:bCs/>
          <w:color w:val="000000" w:themeColor="text1"/>
        </w:rPr>
        <w:t>法、保險業各種準備金提存辦法及其相關解釋函令之規定，提存之</w:t>
      </w:r>
      <w:r w:rsidRPr="00E224E9">
        <w:rPr>
          <w:rFonts w:ascii="Book Antiqua" w:hAnsi="標楷體" w:hint="eastAsia"/>
          <w:bCs/>
          <w:color w:val="000000" w:themeColor="text1"/>
        </w:rPr>
        <w:t>外匯價格變動準備</w:t>
      </w:r>
      <w:r w:rsidRPr="00E224E9">
        <w:rPr>
          <w:rFonts w:ascii="Book Antiqua" w:hAnsi="標楷體"/>
          <w:bCs/>
          <w:color w:val="000000" w:themeColor="text1"/>
        </w:rPr>
        <w:t>者</w:t>
      </w:r>
      <w:r w:rsidRPr="00E224E9">
        <w:rPr>
          <w:rFonts w:ascii="Book Antiqua" w:hAnsi="標楷體" w:hint="eastAsia"/>
          <w:bCs/>
          <w:color w:val="000000" w:themeColor="text1"/>
        </w:rPr>
        <w:t>。</w:t>
      </w:r>
    </w:p>
    <w:p w14:paraId="21BCD664" w14:textId="77777777" w:rsidR="00FD6BD1" w:rsidRPr="00E224E9" w:rsidRDefault="00FD6BD1" w:rsidP="00FD6BD1">
      <w:pPr>
        <w:spacing w:line="440" w:lineRule="exact"/>
        <w:jc w:val="both"/>
        <w:rPr>
          <w:rFonts w:ascii="Book Antiqua" w:hAnsi="標楷體"/>
          <w:color w:val="000000" w:themeColor="text1"/>
          <w:sz w:val="24"/>
        </w:rPr>
      </w:pP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3</w:t>
      </w:r>
      <w:r w:rsidR="00D31F5F" w:rsidRPr="00E224E9">
        <w:rPr>
          <w:rFonts w:ascii="Book Antiqua" w:hAnsi="標楷體" w:hint="eastAsia"/>
          <w:color w:val="000000" w:themeColor="text1"/>
          <w:sz w:val="24"/>
        </w:rPr>
        <w:t>2</w:t>
      </w:r>
      <w:r w:rsidRPr="00E224E9">
        <w:rPr>
          <w:rFonts w:ascii="Book Antiqua" w:hAnsi="標楷體" w:hint="eastAsia"/>
          <w:color w:val="000000" w:themeColor="text1"/>
          <w:sz w:val="24"/>
        </w:rPr>
        <w:t>列－負債準備</w:t>
      </w:r>
    </w:p>
    <w:p w14:paraId="64797824" w14:textId="77777777" w:rsidR="00FD6BD1" w:rsidRPr="00E224E9" w:rsidRDefault="00FD6BD1" w:rsidP="00F3152E">
      <w:pPr>
        <w:pStyle w:val="af4"/>
        <w:spacing w:line="440" w:lineRule="exact"/>
        <w:ind w:leftChars="346" w:left="900" w:firstLineChars="0" w:firstLine="0"/>
        <w:rPr>
          <w:rFonts w:ascii="Book Antiqua" w:hAnsi="標楷體"/>
          <w:bCs/>
          <w:color w:val="000000" w:themeColor="text1"/>
        </w:rPr>
      </w:pPr>
      <w:r w:rsidRPr="00E224E9">
        <w:rPr>
          <w:rFonts w:ascii="Book Antiqua" w:hAnsi="標楷體"/>
          <w:bCs/>
          <w:color w:val="000000" w:themeColor="text1"/>
        </w:rPr>
        <w:t>係</w:t>
      </w:r>
      <w:r w:rsidRPr="00E224E9">
        <w:rPr>
          <w:rFonts w:ascii="Book Antiqua" w:hAnsi="標楷體" w:hint="eastAsia"/>
          <w:bCs/>
          <w:color w:val="000000" w:themeColor="text1"/>
        </w:rPr>
        <w:t>指不確定時點或金額之負債。</w:t>
      </w:r>
    </w:p>
    <w:p w14:paraId="2302F7AA" w14:textId="77777777" w:rsidR="00FD6BD1" w:rsidRPr="00E224E9" w:rsidRDefault="00FD6BD1" w:rsidP="00F3152E">
      <w:pPr>
        <w:pStyle w:val="af4"/>
        <w:spacing w:line="440" w:lineRule="exact"/>
        <w:ind w:leftChars="346" w:left="900" w:firstLineChars="0" w:firstLine="0"/>
        <w:rPr>
          <w:rFonts w:ascii="Book Antiqua" w:hAnsi="標楷體"/>
          <w:color w:val="000000" w:themeColor="text1"/>
        </w:rPr>
      </w:pPr>
      <w:r w:rsidRPr="00E224E9">
        <w:rPr>
          <w:rFonts w:ascii="Book Antiqua" w:hAnsi="標楷體"/>
          <w:color w:val="000000" w:themeColor="text1"/>
        </w:rPr>
        <w:t>本列</w:t>
      </w:r>
      <w:r w:rsidRPr="00E224E9">
        <w:rPr>
          <w:rFonts w:ascii="Book Antiqua" w:hAnsi="標楷體" w:hint="eastAsia"/>
          <w:color w:val="000000" w:themeColor="text1"/>
        </w:rPr>
        <w:t>負債準備</w:t>
      </w:r>
      <w:r w:rsidRPr="00E224E9">
        <w:rPr>
          <w:rFonts w:ascii="Book Antiqua" w:hAnsi="標楷體"/>
          <w:color w:val="000000" w:themeColor="text1"/>
        </w:rPr>
        <w:t>金額為第</w:t>
      </w:r>
      <w:r w:rsidRPr="00E224E9">
        <w:rPr>
          <w:rFonts w:ascii="Book Antiqua" w:hAnsi="Book Antiqua"/>
          <w:color w:val="000000" w:themeColor="text1"/>
        </w:rPr>
        <w:t>3</w:t>
      </w:r>
      <w:r w:rsidR="00D31F5F" w:rsidRPr="00E224E9">
        <w:rPr>
          <w:rFonts w:ascii="Book Antiqua" w:hAnsi="Book Antiqua" w:hint="eastAsia"/>
          <w:color w:val="000000" w:themeColor="text1"/>
        </w:rPr>
        <w:t>3</w:t>
      </w:r>
      <w:r w:rsidRPr="00E224E9">
        <w:rPr>
          <w:rFonts w:ascii="Book Antiqua" w:hAnsi="標楷體"/>
          <w:color w:val="000000" w:themeColor="text1"/>
        </w:rPr>
        <w:t>列</w:t>
      </w:r>
      <w:r w:rsidRPr="00E224E9">
        <w:rPr>
          <w:rFonts w:ascii="Book Antiqua" w:hAnsi="標楷體" w:hint="eastAsia"/>
          <w:color w:val="000000" w:themeColor="text1"/>
        </w:rPr>
        <w:t>及</w:t>
      </w:r>
      <w:r w:rsidRPr="00E224E9">
        <w:rPr>
          <w:rFonts w:ascii="Book Antiqua" w:hAnsi="標楷體"/>
          <w:color w:val="000000" w:themeColor="text1"/>
        </w:rPr>
        <w:t>第</w:t>
      </w:r>
      <w:r w:rsidRPr="00E224E9">
        <w:rPr>
          <w:rFonts w:ascii="Book Antiqua" w:hAnsi="標楷體" w:hint="eastAsia"/>
          <w:color w:val="000000" w:themeColor="text1"/>
        </w:rPr>
        <w:t>3</w:t>
      </w:r>
      <w:r w:rsidR="00D31F5F" w:rsidRPr="00E224E9">
        <w:rPr>
          <w:rFonts w:ascii="Book Antiqua" w:hAnsi="標楷體" w:hint="eastAsia"/>
          <w:color w:val="000000" w:themeColor="text1"/>
        </w:rPr>
        <w:t>4</w:t>
      </w:r>
      <w:r w:rsidRPr="00E224E9">
        <w:rPr>
          <w:rFonts w:ascii="Book Antiqua" w:hAnsi="標楷體"/>
          <w:color w:val="000000" w:themeColor="text1"/>
        </w:rPr>
        <w:t>列之</w:t>
      </w:r>
      <w:r w:rsidRPr="00E224E9">
        <w:rPr>
          <w:rFonts w:ascii="Book Antiqua" w:hAnsi="標楷體" w:hint="eastAsia"/>
          <w:color w:val="000000" w:themeColor="text1"/>
        </w:rPr>
        <w:t>負債準備</w:t>
      </w:r>
      <w:r w:rsidR="00D31F5F" w:rsidRPr="00E224E9">
        <w:rPr>
          <w:rFonts w:ascii="Book Antiqua" w:hAnsi="標楷體" w:hint="eastAsia"/>
          <w:color w:val="000000" w:themeColor="text1"/>
        </w:rPr>
        <w:t>項</w:t>
      </w:r>
      <w:r w:rsidRPr="00E224E9">
        <w:rPr>
          <w:rFonts w:ascii="Book Antiqua" w:hAnsi="標楷體"/>
          <w:color w:val="000000" w:themeColor="text1"/>
        </w:rPr>
        <w:t>目加總之和。</w:t>
      </w:r>
    </w:p>
    <w:p w14:paraId="43E3EE87" w14:textId="77777777" w:rsidR="00F51D78" w:rsidRPr="00E224E9" w:rsidRDefault="00F51D78" w:rsidP="00F51D78">
      <w:pPr>
        <w:spacing w:line="440" w:lineRule="exact"/>
        <w:jc w:val="both"/>
        <w:rPr>
          <w:rFonts w:ascii="Book Antiqua" w:hAnsi="標楷體"/>
          <w:color w:val="000000" w:themeColor="text1"/>
          <w:sz w:val="24"/>
        </w:rPr>
      </w:pP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35</w:t>
      </w:r>
      <w:r w:rsidRPr="00E224E9">
        <w:rPr>
          <w:rFonts w:ascii="Book Antiqua" w:hAnsi="標楷體" w:hint="eastAsia"/>
          <w:color w:val="000000" w:themeColor="text1"/>
          <w:sz w:val="24"/>
        </w:rPr>
        <w:t>列－</w:t>
      </w:r>
      <w:r w:rsidR="00A8351F" w:rsidRPr="00E224E9">
        <w:rPr>
          <w:rFonts w:ascii="Book Antiqua" w:hAnsi="標楷體" w:hint="eastAsia"/>
          <w:color w:val="000000" w:themeColor="text1"/>
          <w:sz w:val="24"/>
        </w:rPr>
        <w:t>租賃</w:t>
      </w:r>
      <w:r w:rsidRPr="00E224E9">
        <w:rPr>
          <w:rFonts w:ascii="Book Antiqua" w:hAnsi="標楷體" w:hint="eastAsia"/>
          <w:color w:val="000000" w:themeColor="text1"/>
          <w:sz w:val="24"/>
        </w:rPr>
        <w:t>負債</w:t>
      </w:r>
    </w:p>
    <w:p w14:paraId="1A428C9C" w14:textId="77777777" w:rsidR="00F51D78" w:rsidRPr="00E224E9" w:rsidRDefault="00F51D78" w:rsidP="00F51D78">
      <w:pPr>
        <w:pStyle w:val="af4"/>
        <w:spacing w:line="440" w:lineRule="exact"/>
        <w:ind w:leftChars="346" w:left="900" w:firstLineChars="0" w:firstLine="0"/>
        <w:rPr>
          <w:rFonts w:ascii="Book Antiqua" w:hAnsi="標楷體"/>
          <w:bCs/>
          <w:color w:val="000000" w:themeColor="text1"/>
        </w:rPr>
      </w:pPr>
      <w:r w:rsidRPr="00E224E9">
        <w:rPr>
          <w:rFonts w:ascii="Book Antiqua" w:hAnsi="標楷體"/>
          <w:bCs/>
          <w:color w:val="000000" w:themeColor="text1"/>
        </w:rPr>
        <w:t>係</w:t>
      </w:r>
      <w:r w:rsidRPr="00E224E9">
        <w:rPr>
          <w:rFonts w:ascii="Book Antiqua" w:hAnsi="標楷體" w:hint="eastAsia"/>
          <w:bCs/>
          <w:color w:val="000000" w:themeColor="text1"/>
        </w:rPr>
        <w:t>指</w:t>
      </w:r>
      <w:r w:rsidR="00A8351F" w:rsidRPr="00E224E9">
        <w:rPr>
          <w:rFonts w:ascii="Book Antiqua" w:hAnsi="標楷體" w:hint="eastAsia"/>
          <w:bCs/>
          <w:color w:val="000000" w:themeColor="text1"/>
        </w:rPr>
        <w:t>承租人尚未支付租賃給付之現值</w:t>
      </w:r>
      <w:r w:rsidRPr="00E224E9">
        <w:rPr>
          <w:rFonts w:ascii="Book Antiqua" w:hAnsi="標楷體" w:hint="eastAsia"/>
          <w:bCs/>
          <w:color w:val="000000" w:themeColor="text1"/>
        </w:rPr>
        <w:t>。</w:t>
      </w:r>
    </w:p>
    <w:p w14:paraId="0618EECE" w14:textId="77777777" w:rsidR="00F51D78" w:rsidRPr="00E224E9" w:rsidRDefault="00A8351F" w:rsidP="00F3152E">
      <w:pPr>
        <w:pStyle w:val="af4"/>
        <w:spacing w:line="440" w:lineRule="exact"/>
        <w:ind w:leftChars="346" w:left="900" w:firstLineChars="0" w:firstLine="0"/>
        <w:rPr>
          <w:rFonts w:ascii="Book Antiqua" w:hAnsi="標楷體"/>
          <w:color w:val="000000" w:themeColor="text1"/>
        </w:rPr>
      </w:pPr>
      <w:r w:rsidRPr="00E224E9">
        <w:rPr>
          <w:rFonts w:ascii="Book Antiqua" w:hAnsi="標楷體" w:hint="eastAsia"/>
          <w:color w:val="000000" w:themeColor="text1"/>
        </w:rPr>
        <w:t>租賃負債之會計處理應依國際財務報導準則第</w:t>
      </w:r>
      <w:r w:rsidRPr="00E224E9">
        <w:rPr>
          <w:rFonts w:ascii="Book Antiqua" w:hAnsi="標楷體" w:hint="eastAsia"/>
          <w:color w:val="000000" w:themeColor="text1"/>
        </w:rPr>
        <w:t>16</w:t>
      </w:r>
      <w:r w:rsidRPr="00E224E9">
        <w:rPr>
          <w:rFonts w:ascii="Book Antiqua" w:hAnsi="標楷體" w:hint="eastAsia"/>
          <w:color w:val="000000" w:themeColor="text1"/>
        </w:rPr>
        <w:t>號規定辦理</w:t>
      </w:r>
      <w:r w:rsidR="00F51D78" w:rsidRPr="00E224E9">
        <w:rPr>
          <w:rFonts w:ascii="Book Antiqua" w:hAnsi="標楷體"/>
          <w:color w:val="000000" w:themeColor="text1"/>
        </w:rPr>
        <w:t>。</w:t>
      </w:r>
    </w:p>
    <w:p w14:paraId="058DF5CF" w14:textId="77777777" w:rsidR="00FD6BD1" w:rsidRPr="00E224E9" w:rsidRDefault="00FD6BD1" w:rsidP="00FD6BD1">
      <w:pPr>
        <w:spacing w:line="440" w:lineRule="exact"/>
        <w:jc w:val="both"/>
        <w:rPr>
          <w:rFonts w:ascii="Book Antiqua" w:hAnsi="標楷體"/>
          <w:color w:val="000000" w:themeColor="text1"/>
          <w:sz w:val="24"/>
        </w:rPr>
      </w:pPr>
      <w:r w:rsidRPr="00E224E9">
        <w:rPr>
          <w:rFonts w:ascii="Book Antiqua" w:hAnsi="標楷體"/>
          <w:color w:val="000000" w:themeColor="text1"/>
          <w:sz w:val="24"/>
        </w:rPr>
        <w:t>第</w:t>
      </w:r>
      <w:r w:rsidR="00D31F5F" w:rsidRPr="00E224E9">
        <w:rPr>
          <w:rFonts w:ascii="Book Antiqua" w:hAnsi="標楷體" w:hint="eastAsia"/>
          <w:color w:val="000000" w:themeColor="text1"/>
          <w:sz w:val="24"/>
        </w:rPr>
        <w:t>38</w:t>
      </w:r>
      <w:r w:rsidRPr="00E224E9">
        <w:rPr>
          <w:rFonts w:ascii="Book Antiqua" w:hAnsi="標楷體"/>
          <w:color w:val="000000" w:themeColor="text1"/>
          <w:sz w:val="24"/>
        </w:rPr>
        <w:t>列－</w:t>
      </w:r>
      <w:r w:rsidRPr="00E224E9">
        <w:rPr>
          <w:rFonts w:ascii="Book Antiqua" w:hAnsi="標楷體" w:hint="eastAsia"/>
          <w:color w:val="000000" w:themeColor="text1"/>
          <w:sz w:val="24"/>
        </w:rPr>
        <w:t>遞延所得稅負債</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認許</w:t>
      </w:r>
    </w:p>
    <w:p w14:paraId="321BB6AE" w14:textId="77777777" w:rsidR="00FD6BD1" w:rsidRPr="00E224E9" w:rsidRDefault="00FD6BD1" w:rsidP="00F3152E">
      <w:pPr>
        <w:pStyle w:val="af4"/>
        <w:spacing w:line="440" w:lineRule="exact"/>
        <w:ind w:leftChars="346" w:left="900" w:firstLineChars="0" w:firstLine="0"/>
        <w:rPr>
          <w:rFonts w:ascii="Book Antiqua" w:hAnsi="標楷體" w:cs="Times New Roman"/>
          <w:color w:val="000000" w:themeColor="text1"/>
        </w:rPr>
      </w:pPr>
      <w:r w:rsidRPr="00E224E9">
        <w:rPr>
          <w:rFonts w:ascii="Book Antiqua" w:hAnsi="標楷體" w:cs="Times New Roman" w:hint="eastAsia"/>
          <w:color w:val="000000" w:themeColor="text1"/>
        </w:rPr>
        <w:t>一般公認會計原則於採用</w:t>
      </w:r>
      <w:r w:rsidRPr="00E224E9">
        <w:rPr>
          <w:rFonts w:ascii="Book Antiqua" w:hAnsi="標楷體" w:cs="Times New Roman" w:hint="eastAsia"/>
          <w:color w:val="000000" w:themeColor="text1"/>
        </w:rPr>
        <w:t>IFRS</w:t>
      </w:r>
      <w:r w:rsidRPr="00E224E9">
        <w:rPr>
          <w:rFonts w:ascii="Book Antiqua" w:hAnsi="標楷體" w:cs="Times New Roman" w:hint="eastAsia"/>
          <w:color w:val="000000" w:themeColor="text1"/>
        </w:rPr>
        <w:t>前，遞延所得稅資產與遞延所得稅負債係採抵銷後之淨額表達，而採用</w:t>
      </w:r>
      <w:r w:rsidRPr="00E224E9">
        <w:rPr>
          <w:rFonts w:ascii="Book Antiqua" w:hAnsi="標楷體" w:cs="Times New Roman" w:hint="eastAsia"/>
          <w:color w:val="000000" w:themeColor="text1"/>
        </w:rPr>
        <w:t>IFRS</w:t>
      </w:r>
      <w:r w:rsidRPr="00E224E9">
        <w:rPr>
          <w:rFonts w:ascii="Book Antiqua" w:hAnsi="標楷體" w:cs="Times New Roman" w:hint="eastAsia"/>
          <w:color w:val="000000" w:themeColor="text1"/>
        </w:rPr>
        <w:t>後改採總額表達，故將保險業計算資本足率之資產認許標準及評價原則第九點相關規範修正為「遞延所得稅資產與遞延所得稅負債相互抵銷後之淨額，認列為認許資產或負債」</w:t>
      </w:r>
      <w:r w:rsidRPr="00E224E9">
        <w:rPr>
          <w:rFonts w:ascii="Book Antiqua" w:hAnsi="標楷體" w:cs="Times New Roman"/>
          <w:color w:val="000000" w:themeColor="text1"/>
        </w:rPr>
        <w:t>。</w:t>
      </w:r>
    </w:p>
    <w:p w14:paraId="6C3BF8B1" w14:textId="77777777" w:rsidR="00FD6BD1" w:rsidRPr="00E224E9" w:rsidRDefault="00FD6BD1" w:rsidP="00F3152E">
      <w:pPr>
        <w:pStyle w:val="af4"/>
        <w:spacing w:line="440" w:lineRule="exact"/>
        <w:ind w:leftChars="346" w:left="900" w:firstLineChars="0" w:firstLine="0"/>
        <w:rPr>
          <w:rFonts w:ascii="Book Antiqua" w:hAnsi="標楷體" w:cs="Times New Roman"/>
          <w:color w:val="000000" w:themeColor="text1"/>
        </w:rPr>
      </w:pPr>
      <w:r w:rsidRPr="00E224E9">
        <w:rPr>
          <w:rFonts w:hAnsi="標楷體" w:cs="Times New Roman" w:hint="eastAsia"/>
          <w:color w:val="000000" w:themeColor="text1"/>
          <w:szCs w:val="24"/>
        </w:rPr>
        <w:t>土地增值稅準備為認許負債，不應與遞延所得稅資產相互抵銷</w:t>
      </w:r>
      <w:r w:rsidRPr="00E224E9">
        <w:rPr>
          <w:rFonts w:ascii="Book Antiqua" w:hAnsi="標楷體" w:cs="Times New Roman"/>
          <w:color w:val="000000" w:themeColor="text1"/>
        </w:rPr>
        <w:t>。</w:t>
      </w:r>
    </w:p>
    <w:p w14:paraId="53C0831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FD6BD1" w:rsidRPr="00E224E9">
        <w:rPr>
          <w:rFonts w:ascii="Book Antiqua" w:hAnsi="Book Antiqua" w:hint="eastAsia"/>
          <w:color w:val="000000" w:themeColor="text1"/>
          <w:sz w:val="24"/>
        </w:rPr>
        <w:t>4</w:t>
      </w:r>
      <w:r w:rsidR="00D31F5F" w:rsidRPr="00E224E9">
        <w:rPr>
          <w:rFonts w:ascii="Book Antiqua" w:hAnsi="Book Antiqua" w:hint="eastAsia"/>
          <w:color w:val="000000" w:themeColor="text1"/>
          <w:sz w:val="24"/>
        </w:rPr>
        <w:t>4</w:t>
      </w:r>
      <w:r w:rsidRPr="00E224E9">
        <w:rPr>
          <w:rFonts w:ascii="Book Antiqua" w:hAnsi="標楷體"/>
          <w:color w:val="000000" w:themeColor="text1"/>
          <w:sz w:val="24"/>
        </w:rPr>
        <w:t>列－其他負債</w:t>
      </w:r>
    </w:p>
    <w:p w14:paraId="1B717BF2" w14:textId="77777777" w:rsidR="00065C53" w:rsidRPr="00E224E9" w:rsidRDefault="00065C53" w:rsidP="00F3152E">
      <w:pPr>
        <w:pStyle w:val="af4"/>
        <w:ind w:leftChars="346" w:left="902" w:firstLineChars="0" w:hanging="2"/>
        <w:rPr>
          <w:rFonts w:ascii="Book Antiqua" w:hAnsi="標楷體" w:cs="Times New Roman"/>
          <w:color w:val="000000" w:themeColor="text1"/>
        </w:rPr>
      </w:pPr>
      <w:r w:rsidRPr="00E224E9">
        <w:rPr>
          <w:rFonts w:ascii="Book Antiqua" w:hAnsi="標楷體" w:cs="Times New Roman"/>
          <w:color w:val="000000" w:themeColor="text1"/>
        </w:rPr>
        <w:t>不能歸屬於以上各類之負債。</w:t>
      </w:r>
    </w:p>
    <w:p w14:paraId="6BACB90B" w14:textId="77777777" w:rsidR="00065C53" w:rsidRPr="00E224E9" w:rsidRDefault="00065C53" w:rsidP="00F3152E">
      <w:pPr>
        <w:pStyle w:val="af4"/>
        <w:ind w:leftChars="346" w:left="902" w:firstLineChars="0" w:hanging="2"/>
        <w:rPr>
          <w:rFonts w:ascii="Book Antiqua" w:hAnsi="標楷體" w:cs="Times New Roman"/>
          <w:color w:val="000000" w:themeColor="text1"/>
        </w:rPr>
      </w:pPr>
      <w:r w:rsidRPr="00E224E9">
        <w:rPr>
          <w:rFonts w:ascii="Book Antiqua" w:hAnsi="標楷體" w:cs="Times New Roman"/>
          <w:color w:val="000000" w:themeColor="text1"/>
        </w:rPr>
        <w:t>本列其他負債金額為第</w:t>
      </w:r>
      <w:r w:rsidR="00FD6BD1" w:rsidRPr="00E224E9">
        <w:rPr>
          <w:rFonts w:ascii="Book Antiqua" w:hAnsi="標楷體" w:cs="Times New Roman" w:hint="eastAsia"/>
          <w:color w:val="000000" w:themeColor="text1"/>
        </w:rPr>
        <w:t>4</w:t>
      </w:r>
      <w:r w:rsidR="00D31F5F" w:rsidRPr="00E224E9">
        <w:rPr>
          <w:rFonts w:ascii="Book Antiqua" w:hAnsi="標楷體" w:cs="Times New Roman" w:hint="eastAsia"/>
          <w:color w:val="000000" w:themeColor="text1"/>
        </w:rPr>
        <w:t>5</w:t>
      </w:r>
      <w:r w:rsidRPr="00E224E9">
        <w:rPr>
          <w:rFonts w:ascii="Book Antiqua" w:hAnsi="標楷體" w:cs="Times New Roman"/>
          <w:color w:val="000000" w:themeColor="text1"/>
        </w:rPr>
        <w:t>列至第</w:t>
      </w:r>
      <w:r w:rsidR="00FD6BD1" w:rsidRPr="00E224E9">
        <w:rPr>
          <w:rFonts w:ascii="Book Antiqua" w:hAnsi="標楷體" w:cs="Times New Roman" w:hint="eastAsia"/>
          <w:color w:val="000000" w:themeColor="text1"/>
        </w:rPr>
        <w:t>5</w:t>
      </w:r>
      <w:r w:rsidR="00D31F5F" w:rsidRPr="00E224E9">
        <w:rPr>
          <w:rFonts w:ascii="Book Antiqua" w:hAnsi="標楷體" w:cs="Times New Roman" w:hint="eastAsia"/>
          <w:color w:val="000000" w:themeColor="text1"/>
        </w:rPr>
        <w:t>2</w:t>
      </w:r>
      <w:r w:rsidRPr="00E224E9">
        <w:rPr>
          <w:rFonts w:ascii="Book Antiqua" w:hAnsi="標楷體" w:cs="Times New Roman"/>
          <w:color w:val="000000" w:themeColor="text1"/>
        </w:rPr>
        <w:t>列之各項其他負債</w:t>
      </w:r>
      <w:r w:rsidR="00D31F5F" w:rsidRPr="00E224E9">
        <w:rPr>
          <w:rFonts w:ascii="Book Antiqua" w:hAnsi="標楷體" w:cs="Times New Roman" w:hint="eastAsia"/>
          <w:color w:val="000000" w:themeColor="text1"/>
        </w:rPr>
        <w:t>項</w:t>
      </w:r>
      <w:r w:rsidRPr="00E224E9">
        <w:rPr>
          <w:rFonts w:ascii="Book Antiqua" w:hAnsi="標楷體" w:cs="Times New Roman"/>
          <w:color w:val="000000" w:themeColor="text1"/>
        </w:rPr>
        <w:t>目加總之和。</w:t>
      </w:r>
    </w:p>
    <w:p w14:paraId="5C43DBC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FD6BD1" w:rsidRPr="00E224E9">
        <w:rPr>
          <w:rFonts w:ascii="Book Antiqua" w:hAnsi="Book Antiqua" w:hint="eastAsia"/>
          <w:color w:val="000000" w:themeColor="text1"/>
          <w:sz w:val="24"/>
        </w:rPr>
        <w:t>4</w:t>
      </w:r>
      <w:r w:rsidR="00D31F5F" w:rsidRPr="00E224E9">
        <w:rPr>
          <w:rFonts w:ascii="Book Antiqua" w:hAnsi="Book Antiqua" w:hint="eastAsia"/>
          <w:color w:val="000000" w:themeColor="text1"/>
          <w:sz w:val="24"/>
        </w:rPr>
        <w:t>5</w:t>
      </w:r>
      <w:r w:rsidRPr="00E224E9">
        <w:rPr>
          <w:rFonts w:ascii="Book Antiqua" w:hAnsi="標楷體"/>
          <w:color w:val="000000" w:themeColor="text1"/>
          <w:sz w:val="24"/>
        </w:rPr>
        <w:t>列－預收款項</w:t>
      </w:r>
    </w:p>
    <w:p w14:paraId="3254043E" w14:textId="77777777" w:rsidR="00065C53" w:rsidRPr="00E224E9" w:rsidRDefault="00065C53" w:rsidP="00F3152E">
      <w:pPr>
        <w:pStyle w:val="af4"/>
        <w:spacing w:line="440" w:lineRule="exact"/>
        <w:ind w:leftChars="346" w:left="900" w:firstLineChars="0" w:firstLine="0"/>
        <w:rPr>
          <w:rFonts w:ascii="Book Antiqua" w:hAnsi="標楷體" w:cs="Times New Roman"/>
          <w:color w:val="000000" w:themeColor="text1"/>
        </w:rPr>
      </w:pPr>
      <w:r w:rsidRPr="00E224E9">
        <w:rPr>
          <w:rFonts w:ascii="Book Antiqua" w:hAnsi="標楷體" w:cs="Times New Roman"/>
          <w:color w:val="000000" w:themeColor="text1"/>
        </w:rPr>
        <w:t>預為收納之各種款項，如預收保費或提供勞務之預收定金等。</w:t>
      </w:r>
    </w:p>
    <w:p w14:paraId="5C337DE9"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D31F5F" w:rsidRPr="00E224E9">
        <w:rPr>
          <w:rFonts w:ascii="Book Antiqua" w:hAnsi="Book Antiqua" w:hint="eastAsia"/>
          <w:color w:val="000000" w:themeColor="text1"/>
          <w:sz w:val="24"/>
        </w:rPr>
        <w:t>49</w:t>
      </w:r>
      <w:r w:rsidRPr="00E224E9">
        <w:rPr>
          <w:rFonts w:ascii="Book Antiqua" w:hAnsi="標楷體"/>
          <w:color w:val="000000" w:themeColor="text1"/>
          <w:sz w:val="24"/>
        </w:rPr>
        <w:t>列－營業損失準備</w:t>
      </w:r>
    </w:p>
    <w:p w14:paraId="3E72471C" w14:textId="77777777" w:rsidR="00065C53" w:rsidRPr="00E224E9" w:rsidRDefault="00065C53" w:rsidP="00F3152E">
      <w:pPr>
        <w:pStyle w:val="af4"/>
        <w:spacing w:line="440" w:lineRule="exact"/>
        <w:ind w:leftChars="346" w:left="900" w:firstLineChars="0" w:firstLine="0"/>
        <w:rPr>
          <w:rFonts w:ascii="Book Antiqua" w:hAnsi="標楷體" w:cs="Times New Roman"/>
          <w:color w:val="000000" w:themeColor="text1"/>
        </w:rPr>
      </w:pPr>
      <w:r w:rsidRPr="00E224E9">
        <w:rPr>
          <w:rFonts w:ascii="Book Antiqua" w:hAnsi="標楷體" w:cs="Times New Roman"/>
          <w:color w:val="000000" w:themeColor="text1"/>
        </w:rPr>
        <w:t>就保險業調降營業稅金額扣除當期轉銷之逾期債權及應提列備抵呆帳額後之餘額，依相關解釋函令規定提存之準備。</w:t>
      </w:r>
    </w:p>
    <w:p w14:paraId="411ED37D"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FD6BD1" w:rsidRPr="00E224E9">
        <w:rPr>
          <w:rFonts w:ascii="Book Antiqua" w:hAnsi="Book Antiqua" w:hint="eastAsia"/>
          <w:color w:val="000000" w:themeColor="text1"/>
          <w:sz w:val="24"/>
        </w:rPr>
        <w:t>5</w:t>
      </w:r>
      <w:r w:rsidR="00D31F5F" w:rsidRPr="00E224E9">
        <w:rPr>
          <w:rFonts w:ascii="Book Antiqua" w:hAnsi="Book Antiqua" w:hint="eastAsia"/>
          <w:color w:val="000000" w:themeColor="text1"/>
          <w:sz w:val="24"/>
        </w:rPr>
        <w:t>2</w:t>
      </w:r>
      <w:r w:rsidRPr="00E224E9">
        <w:rPr>
          <w:rFonts w:ascii="Book Antiqua" w:hAnsi="標楷體"/>
          <w:color w:val="000000" w:themeColor="text1"/>
          <w:sz w:val="24"/>
        </w:rPr>
        <w:t>列－其他</w:t>
      </w:r>
      <w:r w:rsidR="00FD6BD1" w:rsidRPr="00E224E9">
        <w:rPr>
          <w:rFonts w:ascii="Book Antiqua" w:hAnsi="標楷體" w:hint="eastAsia"/>
          <w:color w:val="000000" w:themeColor="text1"/>
          <w:sz w:val="24"/>
        </w:rPr>
        <w:t>什項</w:t>
      </w:r>
      <w:r w:rsidRPr="00E224E9">
        <w:rPr>
          <w:rFonts w:ascii="Book Antiqua" w:hAnsi="標楷體"/>
          <w:color w:val="000000" w:themeColor="text1"/>
          <w:sz w:val="24"/>
        </w:rPr>
        <w:t>負債</w:t>
      </w:r>
    </w:p>
    <w:p w14:paraId="56A445D7"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不能歸屬於以上各類之負債。</w:t>
      </w:r>
    </w:p>
    <w:p w14:paraId="7718245D"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FD6BD1" w:rsidRPr="00E224E9">
        <w:rPr>
          <w:rFonts w:ascii="Book Antiqua" w:hAnsi="Book Antiqua" w:hint="eastAsia"/>
          <w:color w:val="000000" w:themeColor="text1"/>
          <w:sz w:val="24"/>
        </w:rPr>
        <w:t>5</w:t>
      </w:r>
      <w:r w:rsidR="00D31F5F" w:rsidRPr="00E224E9">
        <w:rPr>
          <w:rFonts w:ascii="Book Antiqua" w:hAnsi="Book Antiqua" w:hint="eastAsia"/>
          <w:color w:val="000000" w:themeColor="text1"/>
          <w:sz w:val="24"/>
        </w:rPr>
        <w:t>4</w:t>
      </w:r>
      <w:r w:rsidRPr="00E224E9">
        <w:rPr>
          <w:rFonts w:ascii="Book Antiqua" w:hAnsi="標楷體"/>
          <w:color w:val="000000" w:themeColor="text1"/>
          <w:sz w:val="24"/>
        </w:rPr>
        <w:t>列－分離帳戶保險商品負債</w:t>
      </w:r>
    </w:p>
    <w:p w14:paraId="74380D20" w14:textId="77777777" w:rsidR="00065C53" w:rsidRPr="00E224E9" w:rsidRDefault="00065C53">
      <w:pPr>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FD6BD1" w:rsidRPr="00E224E9">
        <w:rPr>
          <w:rFonts w:ascii="Book Antiqua" w:hAnsi="Book Antiqua" w:hint="eastAsia"/>
          <w:color w:val="000000" w:themeColor="text1"/>
          <w:sz w:val="24"/>
        </w:rPr>
        <w:t>5</w:t>
      </w:r>
      <w:r w:rsidR="00D31F5F" w:rsidRPr="00E224E9">
        <w:rPr>
          <w:rFonts w:ascii="Book Antiqua" w:hAnsi="Book Antiqua" w:hint="eastAsia"/>
          <w:color w:val="000000" w:themeColor="text1"/>
          <w:sz w:val="24"/>
        </w:rPr>
        <w:t>5</w:t>
      </w:r>
      <w:r w:rsidRPr="00E224E9">
        <w:rPr>
          <w:rFonts w:ascii="Book Antiqua" w:hAnsi="標楷體"/>
          <w:color w:val="000000" w:themeColor="text1"/>
          <w:sz w:val="24"/>
        </w:rPr>
        <w:t>列投資型保險商品負債金額及第</w:t>
      </w:r>
      <w:r w:rsidR="00FD6BD1" w:rsidRPr="00E224E9">
        <w:rPr>
          <w:rFonts w:ascii="Book Antiqua" w:hAnsi="Book Antiqua" w:hint="eastAsia"/>
          <w:color w:val="000000" w:themeColor="text1"/>
          <w:sz w:val="24"/>
        </w:rPr>
        <w:t>5</w:t>
      </w:r>
      <w:r w:rsidR="00D31F5F" w:rsidRPr="00E224E9">
        <w:rPr>
          <w:rFonts w:ascii="Book Antiqua" w:hAnsi="Book Antiqua" w:hint="eastAsia"/>
          <w:color w:val="000000" w:themeColor="text1"/>
          <w:sz w:val="24"/>
        </w:rPr>
        <w:t>6</w:t>
      </w:r>
      <w:r w:rsidRPr="00E224E9">
        <w:rPr>
          <w:rFonts w:ascii="Book Antiqua" w:hAnsi="標楷體"/>
          <w:color w:val="000000" w:themeColor="text1"/>
          <w:sz w:val="24"/>
        </w:rPr>
        <w:t>列勞退年金保險商品負債金額加總之和。</w:t>
      </w:r>
    </w:p>
    <w:p w14:paraId="255C82E2"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FD6BD1" w:rsidRPr="00E224E9">
        <w:rPr>
          <w:rFonts w:ascii="Book Antiqua" w:hAnsi="Book Antiqua" w:hint="eastAsia"/>
          <w:color w:val="000000" w:themeColor="text1"/>
          <w:sz w:val="24"/>
        </w:rPr>
        <w:t>5</w:t>
      </w:r>
      <w:r w:rsidR="00D31F5F" w:rsidRPr="00E224E9">
        <w:rPr>
          <w:rFonts w:ascii="Book Antiqua" w:hAnsi="Book Antiqua" w:hint="eastAsia"/>
          <w:color w:val="000000" w:themeColor="text1"/>
          <w:sz w:val="24"/>
        </w:rPr>
        <w:t>5</w:t>
      </w:r>
      <w:r w:rsidRPr="00E224E9">
        <w:rPr>
          <w:rFonts w:ascii="Book Antiqua" w:hAnsi="標楷體"/>
          <w:color w:val="000000" w:themeColor="text1"/>
          <w:sz w:val="24"/>
        </w:rPr>
        <w:t>列－投資型保險商品負債</w:t>
      </w:r>
    </w:p>
    <w:p w14:paraId="6915CE1F"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凡投資型保險商品之各項負債總和皆屬之。</w:t>
      </w:r>
    </w:p>
    <w:p w14:paraId="04917A0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FD6BD1" w:rsidRPr="00E224E9">
        <w:rPr>
          <w:rFonts w:ascii="Book Antiqua" w:hAnsi="Book Antiqua" w:hint="eastAsia"/>
          <w:color w:val="000000" w:themeColor="text1"/>
          <w:sz w:val="24"/>
        </w:rPr>
        <w:t>5</w:t>
      </w:r>
      <w:r w:rsidR="00D31F5F" w:rsidRPr="00E224E9">
        <w:rPr>
          <w:rFonts w:ascii="Book Antiqua" w:hAnsi="Book Antiqua" w:hint="eastAsia"/>
          <w:color w:val="000000" w:themeColor="text1"/>
          <w:sz w:val="24"/>
        </w:rPr>
        <w:t>6</w:t>
      </w:r>
      <w:r w:rsidRPr="00E224E9">
        <w:rPr>
          <w:rFonts w:ascii="Book Antiqua" w:hAnsi="標楷體"/>
          <w:color w:val="000000" w:themeColor="text1"/>
          <w:sz w:val="24"/>
        </w:rPr>
        <w:t>列－勞退年金保險商品負債</w:t>
      </w:r>
    </w:p>
    <w:p w14:paraId="5C03B85C"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凡「勞退企業年金保險」及「勞退個人年金保險」商品之各項負債總和皆屬之。</w:t>
      </w:r>
    </w:p>
    <w:p w14:paraId="15C47C6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D31F5F" w:rsidRPr="00E224E9">
        <w:rPr>
          <w:rFonts w:ascii="Book Antiqua" w:hAnsi="Book Antiqua" w:hint="eastAsia"/>
          <w:color w:val="000000" w:themeColor="text1"/>
          <w:sz w:val="24"/>
        </w:rPr>
        <w:t>58</w:t>
      </w:r>
      <w:r w:rsidRPr="00E224E9">
        <w:rPr>
          <w:rFonts w:ascii="Book Antiqua" w:hAnsi="標楷體"/>
          <w:color w:val="000000" w:themeColor="text1"/>
          <w:sz w:val="24"/>
        </w:rPr>
        <w:t>列－負債合計</w:t>
      </w:r>
      <w:r w:rsidRPr="00E224E9">
        <w:rPr>
          <w:rFonts w:ascii="Book Antiqua" w:hAnsi="Book Antiqua"/>
          <w:color w:val="000000" w:themeColor="text1"/>
          <w:sz w:val="24"/>
        </w:rPr>
        <w:t>-</w:t>
      </w:r>
      <w:r w:rsidRPr="00E224E9">
        <w:rPr>
          <w:rFonts w:ascii="Book Antiqua" w:hAnsi="標楷體"/>
          <w:color w:val="000000" w:themeColor="text1"/>
          <w:sz w:val="24"/>
        </w:rPr>
        <w:t>帳載</w:t>
      </w:r>
    </w:p>
    <w:p w14:paraId="2DE4A91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lastRenderedPageBreak/>
        <w:t>本列負債合計金額為</w:t>
      </w:r>
      <w:r w:rsidR="00A77703" w:rsidRPr="00E224E9">
        <w:rPr>
          <w:rFonts w:ascii="Book Antiqua" w:hAnsi="標楷體"/>
          <w:color w:val="000000" w:themeColor="text1"/>
          <w:sz w:val="24"/>
        </w:rPr>
        <w:t>第</w:t>
      </w:r>
      <w:r w:rsidR="00A77703" w:rsidRPr="00E224E9">
        <w:rPr>
          <w:rFonts w:ascii="Book Antiqua" w:hAnsi="Book Antiqua"/>
          <w:color w:val="000000" w:themeColor="text1"/>
          <w:sz w:val="24"/>
        </w:rPr>
        <w:t>1</w:t>
      </w:r>
      <w:r w:rsidR="00A77703" w:rsidRPr="00E224E9">
        <w:rPr>
          <w:rFonts w:ascii="Book Antiqua" w:hAnsi="標楷體"/>
          <w:color w:val="000000" w:themeColor="text1"/>
          <w:sz w:val="24"/>
        </w:rPr>
        <w:t>列</w:t>
      </w:r>
      <w:r w:rsidR="00A77703" w:rsidRPr="00E224E9">
        <w:rPr>
          <w:rFonts w:ascii="Book Antiqua" w:hAnsi="標楷體" w:hint="eastAsia"/>
          <w:color w:val="000000" w:themeColor="text1"/>
          <w:sz w:val="24"/>
        </w:rPr>
        <w:t>短期債務</w:t>
      </w:r>
      <w:r w:rsidR="00A77703" w:rsidRPr="00E224E9">
        <w:rPr>
          <w:rFonts w:ascii="Book Antiqua" w:hAnsi="標楷體"/>
          <w:color w:val="000000" w:themeColor="text1"/>
          <w:sz w:val="24"/>
        </w:rPr>
        <w:t>金額、</w:t>
      </w:r>
      <w:r w:rsidRPr="00E224E9">
        <w:rPr>
          <w:rFonts w:ascii="Book Antiqua" w:hAnsi="標楷體"/>
          <w:color w:val="000000" w:themeColor="text1"/>
          <w:sz w:val="24"/>
        </w:rPr>
        <w:t>第</w:t>
      </w:r>
      <w:r w:rsidR="00A77703" w:rsidRPr="00E224E9">
        <w:rPr>
          <w:rFonts w:ascii="Book Antiqua" w:hAnsi="Book Antiqua" w:hint="eastAsia"/>
          <w:color w:val="000000" w:themeColor="text1"/>
          <w:sz w:val="24"/>
        </w:rPr>
        <w:t>2</w:t>
      </w:r>
      <w:r w:rsidRPr="00E224E9">
        <w:rPr>
          <w:rFonts w:ascii="Book Antiqua" w:hAnsi="標楷體"/>
          <w:color w:val="000000" w:themeColor="text1"/>
          <w:sz w:val="24"/>
        </w:rPr>
        <w:t>列應付款項金額、</w:t>
      </w:r>
      <w:r w:rsidR="00A77703" w:rsidRPr="00E224E9">
        <w:rPr>
          <w:rFonts w:ascii="Book Antiqua" w:hAnsi="標楷體"/>
          <w:color w:val="000000" w:themeColor="text1"/>
          <w:sz w:val="24"/>
        </w:rPr>
        <w:t>第</w:t>
      </w:r>
      <w:r w:rsidR="00A77703" w:rsidRPr="00E224E9">
        <w:rPr>
          <w:rFonts w:ascii="Book Antiqua" w:hAnsi="Book Antiqua" w:hint="eastAsia"/>
          <w:color w:val="000000" w:themeColor="text1"/>
          <w:sz w:val="24"/>
        </w:rPr>
        <w:t>10</w:t>
      </w:r>
      <w:r w:rsidR="00A77703" w:rsidRPr="00E224E9">
        <w:rPr>
          <w:rFonts w:ascii="Book Antiqua" w:hAnsi="標楷體"/>
          <w:color w:val="000000" w:themeColor="text1"/>
          <w:sz w:val="24"/>
        </w:rPr>
        <w:t>列</w:t>
      </w:r>
      <w:r w:rsidR="00D31F5F" w:rsidRPr="00E224E9">
        <w:rPr>
          <w:rFonts w:ascii="Book Antiqua" w:hAnsi="標楷體" w:hint="eastAsia"/>
          <w:color w:val="000000" w:themeColor="text1"/>
          <w:sz w:val="24"/>
          <w:lang w:eastAsia="zh-TW"/>
        </w:rPr>
        <w:t>本</w:t>
      </w:r>
      <w:r w:rsidR="00A77703" w:rsidRPr="00E224E9">
        <w:rPr>
          <w:rFonts w:ascii="Book Antiqua" w:hAnsi="標楷體" w:hint="eastAsia"/>
          <w:color w:val="000000" w:themeColor="text1"/>
          <w:sz w:val="24"/>
        </w:rPr>
        <w:t>期所得稅負債</w:t>
      </w:r>
      <w:r w:rsidR="00A77703" w:rsidRPr="00E224E9">
        <w:rPr>
          <w:rFonts w:ascii="Book Antiqua" w:hAnsi="標楷體"/>
          <w:color w:val="000000" w:themeColor="text1"/>
          <w:sz w:val="24"/>
        </w:rPr>
        <w:t>金額、第</w:t>
      </w:r>
      <w:r w:rsidR="00A77703" w:rsidRPr="00E224E9">
        <w:rPr>
          <w:rFonts w:ascii="Book Antiqua" w:hAnsi="Book Antiqua" w:hint="eastAsia"/>
          <w:color w:val="000000" w:themeColor="text1"/>
          <w:sz w:val="24"/>
        </w:rPr>
        <w:t>11</w:t>
      </w:r>
      <w:r w:rsidR="00A77703" w:rsidRPr="00E224E9">
        <w:rPr>
          <w:rFonts w:ascii="Book Antiqua" w:hAnsi="標楷體"/>
          <w:color w:val="000000" w:themeColor="text1"/>
          <w:sz w:val="24"/>
        </w:rPr>
        <w:t>列</w:t>
      </w:r>
      <w:r w:rsidRPr="00E224E9">
        <w:rPr>
          <w:rFonts w:ascii="Book Antiqua" w:hAnsi="標楷體"/>
          <w:color w:val="000000" w:themeColor="text1"/>
          <w:sz w:val="24"/>
        </w:rPr>
        <w:t>與待出售資產直接相關之負債金額、</w:t>
      </w:r>
      <w:r w:rsidR="00A77703" w:rsidRPr="00E224E9">
        <w:rPr>
          <w:rFonts w:ascii="Book Antiqua" w:hAnsi="標楷體"/>
          <w:color w:val="000000" w:themeColor="text1"/>
          <w:sz w:val="24"/>
        </w:rPr>
        <w:t>第</w:t>
      </w:r>
      <w:r w:rsidR="00A77703"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3</w:t>
      </w:r>
      <w:r w:rsidR="00A77703" w:rsidRPr="00E224E9">
        <w:rPr>
          <w:rFonts w:ascii="Book Antiqua" w:hAnsi="標楷體"/>
          <w:color w:val="000000" w:themeColor="text1"/>
          <w:sz w:val="24"/>
        </w:rPr>
        <w:t>列</w:t>
      </w:r>
      <w:r w:rsidR="00A77703" w:rsidRPr="00E224E9">
        <w:rPr>
          <w:rFonts w:ascii="Book Antiqua" w:hAnsi="標楷體" w:hint="eastAsia"/>
          <w:color w:val="000000" w:themeColor="text1"/>
          <w:sz w:val="24"/>
        </w:rPr>
        <w:t>透過損益按公允價值衡量之金融負債</w:t>
      </w:r>
      <w:r w:rsidR="00A77703" w:rsidRPr="00E224E9">
        <w:rPr>
          <w:rFonts w:ascii="Book Antiqua" w:hAnsi="標楷體"/>
          <w:color w:val="000000" w:themeColor="text1"/>
          <w:sz w:val="24"/>
        </w:rPr>
        <w:t>金額、第</w:t>
      </w:r>
      <w:r w:rsidR="00A77703"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4</w:t>
      </w:r>
      <w:r w:rsidR="00A77703" w:rsidRPr="00E224E9">
        <w:rPr>
          <w:rFonts w:ascii="Book Antiqua" w:hAnsi="標楷體"/>
          <w:color w:val="000000" w:themeColor="text1"/>
          <w:sz w:val="24"/>
        </w:rPr>
        <w:t>列</w:t>
      </w:r>
      <w:r w:rsidR="00A77703" w:rsidRPr="00E224E9">
        <w:rPr>
          <w:rFonts w:ascii="Book Antiqua" w:hAnsi="標楷體" w:hint="eastAsia"/>
          <w:color w:val="000000" w:themeColor="text1"/>
          <w:sz w:val="24"/>
        </w:rPr>
        <w:t>避險之金融負債</w:t>
      </w:r>
      <w:r w:rsidR="00A77703" w:rsidRPr="00E224E9">
        <w:rPr>
          <w:rFonts w:ascii="Book Antiqua" w:hAnsi="標楷體"/>
          <w:color w:val="000000" w:themeColor="text1"/>
          <w:sz w:val="24"/>
        </w:rPr>
        <w:t>金額、</w:t>
      </w:r>
      <w:r w:rsidR="00C17C64"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5</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應付債券</w:t>
      </w:r>
      <w:r w:rsidR="00C17C64" w:rsidRPr="00E224E9">
        <w:rPr>
          <w:rFonts w:ascii="Book Antiqua" w:hAnsi="標楷體"/>
          <w:color w:val="000000" w:themeColor="text1"/>
          <w:sz w:val="24"/>
        </w:rPr>
        <w:t>金額、第</w:t>
      </w:r>
      <w:r w:rsidR="00C17C64"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6</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特別股負債</w:t>
      </w:r>
      <w:r w:rsidR="00C17C64" w:rsidRPr="00E224E9">
        <w:rPr>
          <w:rFonts w:ascii="Book Antiqua" w:hAnsi="標楷體"/>
          <w:color w:val="000000" w:themeColor="text1"/>
          <w:sz w:val="24"/>
        </w:rPr>
        <w:t>金額、第</w:t>
      </w:r>
      <w:r w:rsidR="00C17C64"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7</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其他金融負債</w:t>
      </w:r>
      <w:r w:rsidR="00C17C64" w:rsidRPr="00E224E9">
        <w:rPr>
          <w:rFonts w:ascii="Book Antiqua" w:hAnsi="標楷體"/>
          <w:color w:val="000000" w:themeColor="text1"/>
          <w:sz w:val="24"/>
        </w:rPr>
        <w:t>金額、</w:t>
      </w:r>
      <w:r w:rsidRPr="00E224E9">
        <w:rPr>
          <w:rFonts w:ascii="Book Antiqua" w:hAnsi="標楷體"/>
          <w:color w:val="000000" w:themeColor="text1"/>
          <w:sz w:val="24"/>
        </w:rPr>
        <w:t>第</w:t>
      </w:r>
      <w:r w:rsidR="00954AE7" w:rsidRPr="00E224E9">
        <w:rPr>
          <w:rFonts w:ascii="Book Antiqua" w:hAnsi="Book Antiqua" w:hint="eastAsia"/>
          <w:color w:val="000000" w:themeColor="text1"/>
          <w:sz w:val="24"/>
          <w:lang w:eastAsia="zh-TW"/>
        </w:rPr>
        <w:t>19</w:t>
      </w:r>
      <w:r w:rsidRPr="00E224E9">
        <w:rPr>
          <w:rFonts w:ascii="Book Antiqua" w:hAnsi="標楷體"/>
          <w:color w:val="000000" w:themeColor="text1"/>
          <w:sz w:val="24"/>
        </w:rPr>
        <w:t>列負債準備</w:t>
      </w:r>
      <w:r w:rsidRPr="00E224E9">
        <w:rPr>
          <w:rFonts w:ascii="Book Antiqua" w:hAnsi="Book Antiqua"/>
          <w:color w:val="000000" w:themeColor="text1"/>
          <w:sz w:val="24"/>
        </w:rPr>
        <w:t>-</w:t>
      </w:r>
      <w:r w:rsidRPr="00E224E9">
        <w:rPr>
          <w:rFonts w:ascii="Book Antiqua" w:hAnsi="標楷體"/>
          <w:color w:val="000000" w:themeColor="text1"/>
          <w:sz w:val="24"/>
        </w:rPr>
        <w:t>帳載金額</w:t>
      </w:r>
      <w:r w:rsidR="00C17C64"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3</w:t>
      </w:r>
      <w:r w:rsidR="00954AE7" w:rsidRPr="00E224E9">
        <w:rPr>
          <w:rFonts w:ascii="Book Antiqua" w:hAnsi="Book Antiqua" w:hint="eastAsia"/>
          <w:color w:val="000000" w:themeColor="text1"/>
          <w:sz w:val="24"/>
          <w:lang w:eastAsia="zh-TW"/>
        </w:rPr>
        <w:t>0</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具金融商品性質之保險契約準備</w:t>
      </w:r>
      <w:r w:rsidR="00C17C64" w:rsidRPr="00E224E9">
        <w:rPr>
          <w:rFonts w:ascii="Book Antiqua" w:hAnsi="標楷體"/>
          <w:color w:val="000000" w:themeColor="text1"/>
          <w:sz w:val="24"/>
        </w:rPr>
        <w:t>金額、第</w:t>
      </w:r>
      <w:r w:rsidR="00C17C64" w:rsidRPr="00E224E9">
        <w:rPr>
          <w:rFonts w:ascii="Book Antiqua" w:hAnsi="Book Antiqua" w:hint="eastAsia"/>
          <w:color w:val="000000" w:themeColor="text1"/>
          <w:sz w:val="24"/>
        </w:rPr>
        <w:t>3</w:t>
      </w:r>
      <w:r w:rsidR="00954AE7" w:rsidRPr="00E224E9">
        <w:rPr>
          <w:rFonts w:ascii="Book Antiqua" w:hAnsi="Book Antiqua" w:hint="eastAsia"/>
          <w:color w:val="000000" w:themeColor="text1"/>
          <w:sz w:val="24"/>
          <w:lang w:eastAsia="zh-TW"/>
        </w:rPr>
        <w:t>1</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具外匯價格變動準備</w:t>
      </w:r>
      <w:r w:rsidR="00C17C64" w:rsidRPr="00E224E9">
        <w:rPr>
          <w:rFonts w:ascii="Book Antiqua" w:hAnsi="標楷體"/>
          <w:color w:val="000000" w:themeColor="text1"/>
          <w:sz w:val="24"/>
        </w:rPr>
        <w:t>金額、第</w:t>
      </w:r>
      <w:r w:rsidR="00C17C64" w:rsidRPr="00E224E9">
        <w:rPr>
          <w:rFonts w:ascii="Book Antiqua" w:hAnsi="Book Antiqua" w:hint="eastAsia"/>
          <w:color w:val="000000" w:themeColor="text1"/>
          <w:sz w:val="24"/>
        </w:rPr>
        <w:t>3</w:t>
      </w:r>
      <w:r w:rsidR="00954AE7" w:rsidRPr="00E224E9">
        <w:rPr>
          <w:rFonts w:ascii="Book Antiqua" w:hAnsi="Book Antiqua" w:hint="eastAsia"/>
          <w:color w:val="000000" w:themeColor="text1"/>
          <w:sz w:val="24"/>
          <w:lang w:eastAsia="zh-TW"/>
        </w:rPr>
        <w:t>2</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負債準備</w:t>
      </w:r>
      <w:r w:rsidR="00C17C64" w:rsidRPr="00E224E9">
        <w:rPr>
          <w:rFonts w:ascii="Book Antiqua" w:hAnsi="標楷體"/>
          <w:color w:val="000000" w:themeColor="text1"/>
          <w:sz w:val="24"/>
        </w:rPr>
        <w:t>金額</w:t>
      </w:r>
      <w:r w:rsidR="00A8351F" w:rsidRPr="00E224E9">
        <w:rPr>
          <w:rFonts w:ascii="Book Antiqua" w:hAnsi="標楷體"/>
          <w:color w:val="000000" w:themeColor="text1"/>
          <w:sz w:val="24"/>
        </w:rPr>
        <w:t>、第</w:t>
      </w:r>
      <w:r w:rsidR="00A8351F" w:rsidRPr="00E224E9">
        <w:rPr>
          <w:rFonts w:ascii="Book Antiqua" w:hAnsi="Book Antiqua" w:hint="eastAsia"/>
          <w:color w:val="000000" w:themeColor="text1"/>
          <w:sz w:val="24"/>
        </w:rPr>
        <w:t>3</w:t>
      </w:r>
      <w:r w:rsidR="00A8351F" w:rsidRPr="00E224E9">
        <w:rPr>
          <w:rFonts w:ascii="Book Antiqua" w:hAnsi="Book Antiqua" w:hint="eastAsia"/>
          <w:color w:val="000000" w:themeColor="text1"/>
          <w:sz w:val="24"/>
          <w:lang w:eastAsia="zh-TW"/>
        </w:rPr>
        <w:t>5</w:t>
      </w:r>
      <w:r w:rsidR="00A8351F" w:rsidRPr="00E224E9">
        <w:rPr>
          <w:rFonts w:ascii="Book Antiqua" w:hAnsi="標楷體"/>
          <w:color w:val="000000" w:themeColor="text1"/>
          <w:sz w:val="24"/>
        </w:rPr>
        <w:t>列</w:t>
      </w:r>
      <w:r w:rsidR="00A8351F" w:rsidRPr="00E224E9">
        <w:rPr>
          <w:rFonts w:ascii="Book Antiqua" w:hAnsi="標楷體" w:hint="eastAsia"/>
          <w:color w:val="000000" w:themeColor="text1"/>
          <w:sz w:val="24"/>
          <w:lang w:eastAsia="zh-TW"/>
        </w:rPr>
        <w:t>租賃</w:t>
      </w:r>
      <w:r w:rsidR="00A8351F" w:rsidRPr="00E224E9">
        <w:rPr>
          <w:rFonts w:ascii="Book Antiqua" w:hAnsi="標楷體" w:hint="eastAsia"/>
          <w:color w:val="000000" w:themeColor="text1"/>
          <w:sz w:val="24"/>
        </w:rPr>
        <w:t>負債</w:t>
      </w:r>
      <w:r w:rsidR="00A8351F" w:rsidRPr="00E224E9">
        <w:rPr>
          <w:rFonts w:ascii="Book Antiqua" w:hAnsi="標楷體"/>
          <w:color w:val="000000" w:themeColor="text1"/>
          <w:sz w:val="24"/>
        </w:rPr>
        <w:t>金額</w:t>
      </w:r>
      <w:r w:rsidR="00C17C64" w:rsidRPr="00E224E9">
        <w:rPr>
          <w:rFonts w:ascii="Book Antiqua" w:hAnsi="標楷體"/>
          <w:color w:val="000000" w:themeColor="text1"/>
          <w:sz w:val="24"/>
        </w:rPr>
        <w:t>、第</w:t>
      </w:r>
      <w:r w:rsidR="00954AE7" w:rsidRPr="00E224E9">
        <w:rPr>
          <w:rFonts w:ascii="Book Antiqua" w:hAnsi="Book Antiqua" w:hint="eastAsia"/>
          <w:color w:val="000000" w:themeColor="text1"/>
          <w:sz w:val="24"/>
          <w:lang w:eastAsia="zh-TW"/>
        </w:rPr>
        <w:t>37</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遞延所得稅負債</w:t>
      </w:r>
      <w:r w:rsidR="00C17C64" w:rsidRPr="00E224E9">
        <w:rPr>
          <w:rFonts w:ascii="Book Antiqua" w:hAnsi="標楷體" w:hint="eastAsia"/>
          <w:color w:val="000000" w:themeColor="text1"/>
          <w:sz w:val="24"/>
        </w:rPr>
        <w:t>-</w:t>
      </w:r>
      <w:r w:rsidR="00C17C64" w:rsidRPr="00E224E9">
        <w:rPr>
          <w:rFonts w:ascii="Book Antiqua" w:hAnsi="標楷體" w:hint="eastAsia"/>
          <w:color w:val="000000" w:themeColor="text1"/>
          <w:sz w:val="24"/>
        </w:rPr>
        <w:t>帳載</w:t>
      </w:r>
      <w:r w:rsidR="00C17C64" w:rsidRPr="00E224E9">
        <w:rPr>
          <w:rFonts w:ascii="Book Antiqua" w:hAnsi="標楷體"/>
          <w:color w:val="000000" w:themeColor="text1"/>
          <w:sz w:val="24"/>
        </w:rPr>
        <w:t>金額、第</w:t>
      </w:r>
      <w:r w:rsidR="00C17C64" w:rsidRPr="00E224E9">
        <w:rPr>
          <w:rFonts w:ascii="Book Antiqua" w:hAnsi="Book Antiqua" w:hint="eastAsia"/>
          <w:color w:val="000000" w:themeColor="text1"/>
          <w:sz w:val="24"/>
        </w:rPr>
        <w:t>4</w:t>
      </w:r>
      <w:r w:rsidR="00954AE7" w:rsidRPr="00E224E9">
        <w:rPr>
          <w:rFonts w:ascii="Book Antiqua" w:hAnsi="Book Antiqua" w:hint="eastAsia"/>
          <w:color w:val="000000" w:themeColor="text1"/>
          <w:sz w:val="24"/>
          <w:lang w:eastAsia="zh-TW"/>
        </w:rPr>
        <w:t>4</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其他負債</w:t>
      </w:r>
      <w:r w:rsidR="00C17C64" w:rsidRPr="00E224E9">
        <w:rPr>
          <w:rFonts w:ascii="Book Antiqua" w:hAnsi="標楷體"/>
          <w:color w:val="000000" w:themeColor="text1"/>
          <w:sz w:val="24"/>
        </w:rPr>
        <w:t>金額、</w:t>
      </w:r>
      <w:r w:rsidRPr="00E224E9">
        <w:rPr>
          <w:rFonts w:ascii="Book Antiqua" w:hAnsi="標楷體"/>
          <w:color w:val="000000" w:themeColor="text1"/>
          <w:sz w:val="24"/>
        </w:rPr>
        <w:t>以及第</w:t>
      </w:r>
      <w:r w:rsidR="00954AE7" w:rsidRPr="00E224E9">
        <w:rPr>
          <w:rFonts w:ascii="Book Antiqua" w:hAnsi="Book Antiqua" w:hint="eastAsia"/>
          <w:color w:val="000000" w:themeColor="text1"/>
          <w:sz w:val="24"/>
          <w:lang w:eastAsia="zh-TW"/>
        </w:rPr>
        <w:t>54</w:t>
      </w:r>
      <w:r w:rsidRPr="00E224E9">
        <w:rPr>
          <w:rFonts w:ascii="Book Antiqua" w:hAnsi="標楷體"/>
          <w:color w:val="000000" w:themeColor="text1"/>
          <w:sz w:val="24"/>
        </w:rPr>
        <w:t>列</w:t>
      </w:r>
      <w:r w:rsidR="00C17C64" w:rsidRPr="00E224E9">
        <w:rPr>
          <w:rFonts w:ascii="Book Antiqua" w:hAnsi="標楷體" w:hint="eastAsia"/>
          <w:color w:val="000000" w:themeColor="text1"/>
          <w:sz w:val="24"/>
        </w:rPr>
        <w:t>分離帳戶保險商品負債</w:t>
      </w:r>
      <w:r w:rsidRPr="00E224E9">
        <w:rPr>
          <w:rFonts w:ascii="Book Antiqua" w:hAnsi="標楷體"/>
          <w:color w:val="000000" w:themeColor="text1"/>
          <w:sz w:val="24"/>
        </w:rPr>
        <w:t>金額之加總。</w:t>
      </w:r>
    </w:p>
    <w:p w14:paraId="3836FFD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54AE7" w:rsidRPr="00E224E9">
        <w:rPr>
          <w:rFonts w:ascii="Book Antiqua" w:hAnsi="Book Antiqua" w:hint="eastAsia"/>
          <w:color w:val="000000" w:themeColor="text1"/>
          <w:sz w:val="24"/>
        </w:rPr>
        <w:t>59</w:t>
      </w:r>
      <w:r w:rsidRPr="00E224E9">
        <w:rPr>
          <w:rFonts w:ascii="Book Antiqua" w:hAnsi="標楷體"/>
          <w:color w:val="000000" w:themeColor="text1"/>
          <w:sz w:val="24"/>
        </w:rPr>
        <w:t>列－負債合計</w:t>
      </w:r>
      <w:r w:rsidRPr="00E224E9">
        <w:rPr>
          <w:rFonts w:ascii="Book Antiqua" w:hAnsi="Book Antiqua"/>
          <w:color w:val="000000" w:themeColor="text1"/>
          <w:sz w:val="24"/>
        </w:rPr>
        <w:t>-</w:t>
      </w:r>
      <w:r w:rsidRPr="00E224E9">
        <w:rPr>
          <w:rFonts w:ascii="Book Antiqua" w:hAnsi="標楷體"/>
          <w:color w:val="000000" w:themeColor="text1"/>
          <w:sz w:val="24"/>
        </w:rPr>
        <w:t>認許</w:t>
      </w:r>
    </w:p>
    <w:p w14:paraId="3101AEF4" w14:textId="77777777" w:rsidR="00065C53" w:rsidRPr="00E224E9" w:rsidRDefault="00C17C64">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本列負債合計金額為第</w:t>
      </w:r>
      <w:r w:rsidRPr="00E224E9">
        <w:rPr>
          <w:rFonts w:ascii="Book Antiqua" w:hAnsi="Book Antiqua"/>
          <w:color w:val="000000" w:themeColor="text1"/>
          <w:sz w:val="24"/>
        </w:rPr>
        <w:t>1</w:t>
      </w:r>
      <w:r w:rsidRPr="00E224E9">
        <w:rPr>
          <w:rFonts w:ascii="Book Antiqua" w:hAnsi="標楷體"/>
          <w:color w:val="000000" w:themeColor="text1"/>
          <w:sz w:val="24"/>
        </w:rPr>
        <w:t>列</w:t>
      </w:r>
      <w:r w:rsidRPr="00E224E9">
        <w:rPr>
          <w:rFonts w:ascii="Book Antiqua" w:hAnsi="標楷體" w:hint="eastAsia"/>
          <w:color w:val="000000" w:themeColor="text1"/>
          <w:sz w:val="24"/>
        </w:rPr>
        <w:t>短期債務</w:t>
      </w:r>
      <w:r w:rsidRPr="00E224E9">
        <w:rPr>
          <w:rFonts w:ascii="Book Antiqua" w:hAnsi="標楷體"/>
          <w:color w:val="000000" w:themeColor="text1"/>
          <w:sz w:val="24"/>
        </w:rPr>
        <w:t>金額、第</w:t>
      </w:r>
      <w:r w:rsidRPr="00E224E9">
        <w:rPr>
          <w:rFonts w:ascii="Book Antiqua" w:hAnsi="Book Antiqua" w:hint="eastAsia"/>
          <w:color w:val="000000" w:themeColor="text1"/>
          <w:sz w:val="24"/>
        </w:rPr>
        <w:t>2</w:t>
      </w:r>
      <w:r w:rsidRPr="00E224E9">
        <w:rPr>
          <w:rFonts w:ascii="Book Antiqua" w:hAnsi="標楷體"/>
          <w:color w:val="000000" w:themeColor="text1"/>
          <w:sz w:val="24"/>
        </w:rPr>
        <w:t>列應付款項金額、第</w:t>
      </w:r>
      <w:r w:rsidRPr="00E224E9">
        <w:rPr>
          <w:rFonts w:ascii="Book Antiqua" w:hAnsi="Book Antiqua" w:hint="eastAsia"/>
          <w:color w:val="000000" w:themeColor="text1"/>
          <w:sz w:val="24"/>
        </w:rPr>
        <w:t>10</w:t>
      </w:r>
      <w:r w:rsidRPr="00E224E9">
        <w:rPr>
          <w:rFonts w:ascii="Book Antiqua" w:hAnsi="標楷體"/>
          <w:color w:val="000000" w:themeColor="text1"/>
          <w:sz w:val="24"/>
        </w:rPr>
        <w:t>列</w:t>
      </w:r>
      <w:r w:rsidR="00954AE7" w:rsidRPr="00E224E9">
        <w:rPr>
          <w:rFonts w:ascii="Book Antiqua" w:hAnsi="標楷體" w:hint="eastAsia"/>
          <w:color w:val="000000" w:themeColor="text1"/>
          <w:sz w:val="24"/>
          <w:lang w:eastAsia="zh-TW"/>
        </w:rPr>
        <w:t>本</w:t>
      </w:r>
      <w:r w:rsidRPr="00E224E9">
        <w:rPr>
          <w:rFonts w:ascii="Book Antiqua" w:hAnsi="標楷體" w:hint="eastAsia"/>
          <w:color w:val="000000" w:themeColor="text1"/>
          <w:sz w:val="24"/>
        </w:rPr>
        <w:t>期所得稅負債</w:t>
      </w:r>
      <w:r w:rsidRPr="00E224E9">
        <w:rPr>
          <w:rFonts w:ascii="Book Antiqua" w:hAnsi="標楷體"/>
          <w:color w:val="000000" w:themeColor="text1"/>
          <w:sz w:val="24"/>
        </w:rPr>
        <w:t>金額、第</w:t>
      </w:r>
      <w:r w:rsidRPr="00E224E9">
        <w:rPr>
          <w:rFonts w:ascii="Book Antiqua" w:hAnsi="Book Antiqua" w:hint="eastAsia"/>
          <w:color w:val="000000" w:themeColor="text1"/>
          <w:sz w:val="24"/>
        </w:rPr>
        <w:t>11</w:t>
      </w:r>
      <w:r w:rsidRPr="00E224E9">
        <w:rPr>
          <w:rFonts w:ascii="Book Antiqua" w:hAnsi="標楷體"/>
          <w:color w:val="000000" w:themeColor="text1"/>
          <w:sz w:val="24"/>
        </w:rPr>
        <w:t>列與待出售資產直接相關之負債金額、第</w:t>
      </w:r>
      <w:r w:rsidR="00954AE7"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3</w:t>
      </w:r>
      <w:r w:rsidRPr="00E224E9">
        <w:rPr>
          <w:rFonts w:ascii="Book Antiqua" w:hAnsi="標楷體"/>
          <w:color w:val="000000" w:themeColor="text1"/>
          <w:sz w:val="24"/>
        </w:rPr>
        <w:t>列</w:t>
      </w:r>
      <w:r w:rsidRPr="00E224E9">
        <w:rPr>
          <w:rFonts w:ascii="Book Antiqua" w:hAnsi="標楷體" w:hint="eastAsia"/>
          <w:color w:val="000000" w:themeColor="text1"/>
          <w:sz w:val="24"/>
        </w:rPr>
        <w:t>透過損益按公允價值衡量之金融負債</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4</w:t>
      </w:r>
      <w:r w:rsidRPr="00E224E9">
        <w:rPr>
          <w:rFonts w:ascii="Book Antiqua" w:hAnsi="標楷體"/>
          <w:color w:val="000000" w:themeColor="text1"/>
          <w:sz w:val="24"/>
        </w:rPr>
        <w:t>列</w:t>
      </w:r>
      <w:r w:rsidRPr="00E224E9">
        <w:rPr>
          <w:rFonts w:ascii="Book Antiqua" w:hAnsi="標楷體" w:hint="eastAsia"/>
          <w:color w:val="000000" w:themeColor="text1"/>
          <w:sz w:val="24"/>
        </w:rPr>
        <w:t>避險之金融負債</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5</w:t>
      </w:r>
      <w:r w:rsidRPr="00E224E9">
        <w:rPr>
          <w:rFonts w:ascii="Book Antiqua" w:hAnsi="標楷體"/>
          <w:color w:val="000000" w:themeColor="text1"/>
          <w:sz w:val="24"/>
        </w:rPr>
        <w:t>列</w:t>
      </w:r>
      <w:r w:rsidRPr="00E224E9">
        <w:rPr>
          <w:rFonts w:ascii="Book Antiqua" w:hAnsi="標楷體" w:hint="eastAsia"/>
          <w:color w:val="000000" w:themeColor="text1"/>
          <w:sz w:val="24"/>
        </w:rPr>
        <w:t>應付債券</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6</w:t>
      </w:r>
      <w:r w:rsidRPr="00E224E9">
        <w:rPr>
          <w:rFonts w:ascii="Book Antiqua" w:hAnsi="標楷體"/>
          <w:color w:val="000000" w:themeColor="text1"/>
          <w:sz w:val="24"/>
        </w:rPr>
        <w:t>列</w:t>
      </w:r>
      <w:r w:rsidRPr="00E224E9">
        <w:rPr>
          <w:rFonts w:ascii="Book Antiqua" w:hAnsi="標楷體" w:hint="eastAsia"/>
          <w:color w:val="000000" w:themeColor="text1"/>
          <w:sz w:val="24"/>
        </w:rPr>
        <w:t>特別股負債</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7</w:t>
      </w:r>
      <w:r w:rsidRPr="00E224E9">
        <w:rPr>
          <w:rFonts w:ascii="Book Antiqua" w:hAnsi="標楷體"/>
          <w:color w:val="000000" w:themeColor="text1"/>
          <w:sz w:val="24"/>
        </w:rPr>
        <w:t>列</w:t>
      </w:r>
      <w:r w:rsidRPr="00E224E9">
        <w:rPr>
          <w:rFonts w:ascii="Book Antiqua" w:hAnsi="標楷體" w:hint="eastAsia"/>
          <w:color w:val="000000" w:themeColor="text1"/>
          <w:sz w:val="24"/>
        </w:rPr>
        <w:t>其他金融負債</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lang w:eastAsia="zh-TW"/>
        </w:rPr>
        <w:t>20</w:t>
      </w:r>
      <w:r w:rsidRPr="00E224E9">
        <w:rPr>
          <w:rFonts w:ascii="Book Antiqua" w:hAnsi="標楷體"/>
          <w:color w:val="000000" w:themeColor="text1"/>
          <w:sz w:val="24"/>
        </w:rPr>
        <w:t>列負債準備</w:t>
      </w:r>
      <w:r w:rsidRPr="00E224E9">
        <w:rPr>
          <w:rFonts w:ascii="Book Antiqua" w:hAnsi="Book Antiqua"/>
          <w:color w:val="000000" w:themeColor="text1"/>
          <w:sz w:val="24"/>
        </w:rPr>
        <w:t>-</w:t>
      </w:r>
      <w:r w:rsidRPr="00E224E9">
        <w:rPr>
          <w:rFonts w:ascii="Book Antiqua" w:hAnsi="標楷體" w:hint="eastAsia"/>
          <w:color w:val="000000" w:themeColor="text1"/>
          <w:sz w:val="24"/>
        </w:rPr>
        <w:t>認許</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3</w:t>
      </w:r>
      <w:r w:rsidR="00954AE7" w:rsidRPr="00E224E9">
        <w:rPr>
          <w:rFonts w:ascii="Book Antiqua" w:hAnsi="Book Antiqua" w:hint="eastAsia"/>
          <w:color w:val="000000" w:themeColor="text1"/>
          <w:sz w:val="24"/>
          <w:lang w:eastAsia="zh-TW"/>
        </w:rPr>
        <w:t>0</w:t>
      </w:r>
      <w:r w:rsidRPr="00E224E9">
        <w:rPr>
          <w:rFonts w:ascii="Book Antiqua" w:hAnsi="標楷體"/>
          <w:color w:val="000000" w:themeColor="text1"/>
          <w:sz w:val="24"/>
        </w:rPr>
        <w:t>列</w:t>
      </w:r>
      <w:r w:rsidRPr="00E224E9">
        <w:rPr>
          <w:rFonts w:ascii="Book Antiqua" w:hAnsi="標楷體" w:hint="eastAsia"/>
          <w:color w:val="000000" w:themeColor="text1"/>
          <w:sz w:val="24"/>
        </w:rPr>
        <w:t>具金融商品性質之保險契約準備</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3</w:t>
      </w:r>
      <w:r w:rsidR="00954AE7" w:rsidRPr="00E224E9">
        <w:rPr>
          <w:rFonts w:ascii="Book Antiqua" w:hAnsi="Book Antiqua" w:hint="eastAsia"/>
          <w:color w:val="000000" w:themeColor="text1"/>
          <w:sz w:val="24"/>
          <w:lang w:eastAsia="zh-TW"/>
        </w:rPr>
        <w:t>1</w:t>
      </w:r>
      <w:r w:rsidRPr="00E224E9">
        <w:rPr>
          <w:rFonts w:ascii="Book Antiqua" w:hAnsi="標楷體"/>
          <w:color w:val="000000" w:themeColor="text1"/>
          <w:sz w:val="24"/>
        </w:rPr>
        <w:t>列</w:t>
      </w:r>
      <w:r w:rsidRPr="00E224E9">
        <w:rPr>
          <w:rFonts w:ascii="Book Antiqua" w:hAnsi="標楷體" w:hint="eastAsia"/>
          <w:color w:val="000000" w:themeColor="text1"/>
          <w:sz w:val="24"/>
        </w:rPr>
        <w:t>具外匯價格變動準備</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3</w:t>
      </w:r>
      <w:r w:rsidR="00954AE7" w:rsidRPr="00E224E9">
        <w:rPr>
          <w:rFonts w:ascii="Book Antiqua" w:hAnsi="Book Antiqua" w:hint="eastAsia"/>
          <w:color w:val="000000" w:themeColor="text1"/>
          <w:sz w:val="24"/>
          <w:lang w:eastAsia="zh-TW"/>
        </w:rPr>
        <w:t>2</w:t>
      </w:r>
      <w:r w:rsidRPr="00E224E9">
        <w:rPr>
          <w:rFonts w:ascii="Book Antiqua" w:hAnsi="標楷體"/>
          <w:color w:val="000000" w:themeColor="text1"/>
          <w:sz w:val="24"/>
        </w:rPr>
        <w:t>列</w:t>
      </w:r>
      <w:r w:rsidRPr="00E224E9">
        <w:rPr>
          <w:rFonts w:ascii="Book Antiqua" w:hAnsi="標楷體" w:hint="eastAsia"/>
          <w:color w:val="000000" w:themeColor="text1"/>
          <w:sz w:val="24"/>
        </w:rPr>
        <w:t>負債準備</w:t>
      </w:r>
      <w:r w:rsidRPr="00E224E9">
        <w:rPr>
          <w:rFonts w:ascii="Book Antiqua" w:hAnsi="標楷體"/>
          <w:color w:val="000000" w:themeColor="text1"/>
          <w:sz w:val="24"/>
        </w:rPr>
        <w:t>金額</w:t>
      </w:r>
      <w:r w:rsidR="00C5330C" w:rsidRPr="00E224E9">
        <w:rPr>
          <w:rFonts w:ascii="Book Antiqua" w:hAnsi="標楷體"/>
          <w:color w:val="000000" w:themeColor="text1"/>
          <w:sz w:val="24"/>
        </w:rPr>
        <w:t>、第</w:t>
      </w:r>
      <w:r w:rsidR="00C5330C" w:rsidRPr="00E224E9">
        <w:rPr>
          <w:rFonts w:ascii="Book Antiqua" w:hAnsi="Book Antiqua" w:hint="eastAsia"/>
          <w:color w:val="000000" w:themeColor="text1"/>
          <w:sz w:val="24"/>
        </w:rPr>
        <w:t>3</w:t>
      </w:r>
      <w:r w:rsidR="00C5330C" w:rsidRPr="00E224E9">
        <w:rPr>
          <w:rFonts w:ascii="Book Antiqua" w:hAnsi="Book Antiqua" w:hint="eastAsia"/>
          <w:color w:val="000000" w:themeColor="text1"/>
          <w:sz w:val="24"/>
          <w:lang w:eastAsia="zh-TW"/>
        </w:rPr>
        <w:t>5</w:t>
      </w:r>
      <w:r w:rsidR="00C5330C" w:rsidRPr="00E224E9">
        <w:rPr>
          <w:rFonts w:ascii="Book Antiqua" w:hAnsi="標楷體"/>
          <w:color w:val="000000" w:themeColor="text1"/>
          <w:sz w:val="24"/>
        </w:rPr>
        <w:t>列</w:t>
      </w:r>
      <w:r w:rsidR="00C5330C" w:rsidRPr="00E224E9">
        <w:rPr>
          <w:rFonts w:ascii="Book Antiqua" w:hAnsi="標楷體" w:hint="eastAsia"/>
          <w:color w:val="000000" w:themeColor="text1"/>
          <w:sz w:val="24"/>
          <w:lang w:eastAsia="zh-TW"/>
        </w:rPr>
        <w:t>租賃</w:t>
      </w:r>
      <w:r w:rsidR="00C5330C" w:rsidRPr="00E224E9">
        <w:rPr>
          <w:rFonts w:ascii="Book Antiqua" w:hAnsi="標楷體" w:hint="eastAsia"/>
          <w:color w:val="000000" w:themeColor="text1"/>
          <w:sz w:val="24"/>
        </w:rPr>
        <w:t>負債</w:t>
      </w:r>
      <w:r w:rsidR="00C5330C" w:rsidRPr="00E224E9">
        <w:rPr>
          <w:rFonts w:ascii="Book Antiqua" w:hAnsi="標楷體"/>
          <w:color w:val="000000" w:themeColor="text1"/>
          <w:sz w:val="24"/>
        </w:rPr>
        <w:t>金額</w:t>
      </w:r>
      <w:r w:rsidRPr="00E224E9">
        <w:rPr>
          <w:rFonts w:ascii="Book Antiqua" w:hAnsi="標楷體"/>
          <w:color w:val="000000" w:themeColor="text1"/>
          <w:sz w:val="24"/>
        </w:rPr>
        <w:t>、第</w:t>
      </w:r>
      <w:r w:rsidR="00954AE7" w:rsidRPr="00E224E9">
        <w:rPr>
          <w:rFonts w:ascii="Book Antiqua" w:hAnsi="Book Antiqua" w:hint="eastAsia"/>
          <w:color w:val="000000" w:themeColor="text1"/>
          <w:sz w:val="24"/>
          <w:lang w:eastAsia="zh-TW"/>
        </w:rPr>
        <w:t>38</w:t>
      </w:r>
      <w:r w:rsidRPr="00E224E9">
        <w:rPr>
          <w:rFonts w:ascii="Book Antiqua" w:hAnsi="標楷體"/>
          <w:color w:val="000000" w:themeColor="text1"/>
          <w:sz w:val="24"/>
        </w:rPr>
        <w:t>列</w:t>
      </w:r>
      <w:r w:rsidRPr="00E224E9">
        <w:rPr>
          <w:rFonts w:ascii="Book Antiqua" w:hAnsi="標楷體" w:hint="eastAsia"/>
          <w:color w:val="000000" w:themeColor="text1"/>
          <w:sz w:val="24"/>
        </w:rPr>
        <w:t>遞延所得稅負債</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認許</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4</w:t>
      </w:r>
      <w:r w:rsidR="00954AE7" w:rsidRPr="00E224E9">
        <w:rPr>
          <w:rFonts w:ascii="Book Antiqua" w:hAnsi="Book Antiqua" w:hint="eastAsia"/>
          <w:color w:val="000000" w:themeColor="text1"/>
          <w:sz w:val="24"/>
          <w:lang w:eastAsia="zh-TW"/>
        </w:rPr>
        <w:t>4</w:t>
      </w:r>
      <w:r w:rsidRPr="00E224E9">
        <w:rPr>
          <w:rFonts w:ascii="Book Antiqua" w:hAnsi="標楷體"/>
          <w:color w:val="000000" w:themeColor="text1"/>
          <w:sz w:val="24"/>
        </w:rPr>
        <w:t>列</w:t>
      </w:r>
      <w:r w:rsidRPr="00E224E9">
        <w:rPr>
          <w:rFonts w:ascii="Book Antiqua" w:hAnsi="標楷體" w:hint="eastAsia"/>
          <w:color w:val="000000" w:themeColor="text1"/>
          <w:sz w:val="24"/>
        </w:rPr>
        <w:t>其他金融負債</w:t>
      </w:r>
      <w:r w:rsidRPr="00E224E9">
        <w:rPr>
          <w:rFonts w:ascii="Book Antiqua" w:hAnsi="標楷體"/>
          <w:color w:val="000000" w:themeColor="text1"/>
          <w:sz w:val="24"/>
        </w:rPr>
        <w:t>金額、以及第</w:t>
      </w:r>
      <w:r w:rsidR="00954AE7" w:rsidRPr="00E224E9">
        <w:rPr>
          <w:rFonts w:ascii="Book Antiqua" w:hAnsi="Book Antiqua" w:hint="eastAsia"/>
          <w:color w:val="000000" w:themeColor="text1"/>
          <w:sz w:val="24"/>
          <w:lang w:eastAsia="zh-TW"/>
        </w:rPr>
        <w:t>54</w:t>
      </w:r>
      <w:r w:rsidRPr="00E224E9">
        <w:rPr>
          <w:rFonts w:ascii="Book Antiqua" w:hAnsi="標楷體"/>
          <w:color w:val="000000" w:themeColor="text1"/>
          <w:sz w:val="24"/>
        </w:rPr>
        <w:t>列</w:t>
      </w:r>
      <w:r w:rsidRPr="00E224E9">
        <w:rPr>
          <w:rFonts w:ascii="Book Antiqua" w:hAnsi="標楷體" w:hint="eastAsia"/>
          <w:color w:val="000000" w:themeColor="text1"/>
          <w:sz w:val="24"/>
        </w:rPr>
        <w:t>分離帳戶保險商品負債</w:t>
      </w:r>
      <w:r w:rsidRPr="00E224E9">
        <w:rPr>
          <w:rFonts w:ascii="Book Antiqua" w:hAnsi="標楷體"/>
          <w:color w:val="000000" w:themeColor="text1"/>
          <w:sz w:val="24"/>
        </w:rPr>
        <w:t>金額之加總。</w:t>
      </w:r>
    </w:p>
    <w:p w14:paraId="28A183E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6</w:t>
      </w:r>
      <w:r w:rsidR="00954AE7" w:rsidRPr="00E224E9">
        <w:rPr>
          <w:rFonts w:ascii="Book Antiqua" w:hAnsi="Book Antiqua" w:hint="eastAsia"/>
          <w:color w:val="000000" w:themeColor="text1"/>
          <w:sz w:val="24"/>
        </w:rPr>
        <w:t>1</w:t>
      </w:r>
      <w:r w:rsidRPr="00E224E9">
        <w:rPr>
          <w:rFonts w:ascii="Book Antiqua" w:hAnsi="標楷體"/>
          <w:color w:val="000000" w:themeColor="text1"/>
          <w:sz w:val="24"/>
        </w:rPr>
        <w:t>列－股本</w:t>
      </w:r>
    </w:p>
    <w:p w14:paraId="574F31A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股東對保險業所投入之資本，並向公司登記主管機關申請登記者。</w:t>
      </w:r>
    </w:p>
    <w:p w14:paraId="142FC41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不同種類之股本應分別列示，每股面額、額定股數、已發行股數之資訊，應以括號說明。</w:t>
      </w:r>
    </w:p>
    <w:p w14:paraId="078318C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本列股本金額為第</w:t>
      </w:r>
      <w:r w:rsidRPr="00E224E9">
        <w:rPr>
          <w:rFonts w:ascii="Book Antiqua" w:hAnsi="Book Antiqua" w:hint="eastAsia"/>
          <w:color w:val="000000" w:themeColor="text1"/>
          <w:sz w:val="24"/>
        </w:rPr>
        <w:t>6</w:t>
      </w:r>
      <w:r w:rsidR="00954AE7" w:rsidRPr="00E224E9">
        <w:rPr>
          <w:rFonts w:ascii="Book Antiqua" w:hAnsi="Book Antiqua" w:hint="eastAsia"/>
          <w:color w:val="000000" w:themeColor="text1"/>
          <w:sz w:val="24"/>
          <w:lang w:eastAsia="zh-TW"/>
        </w:rPr>
        <w:t>2</w:t>
      </w:r>
      <w:r w:rsidRPr="00E224E9">
        <w:rPr>
          <w:rFonts w:ascii="Book Antiqua" w:hAnsi="標楷體"/>
          <w:color w:val="000000" w:themeColor="text1"/>
          <w:sz w:val="24"/>
        </w:rPr>
        <w:t>列普通股金額、第</w:t>
      </w:r>
      <w:r w:rsidR="00954AE7" w:rsidRPr="00E224E9">
        <w:rPr>
          <w:rFonts w:ascii="Book Antiqua" w:hAnsi="Book Antiqua" w:hint="eastAsia"/>
          <w:color w:val="000000" w:themeColor="text1"/>
          <w:sz w:val="24"/>
          <w:lang w:eastAsia="zh-TW"/>
        </w:rPr>
        <w:t>63</w:t>
      </w:r>
      <w:r w:rsidRPr="00E224E9">
        <w:rPr>
          <w:rFonts w:ascii="Book Antiqua" w:hAnsi="標楷體"/>
          <w:color w:val="000000" w:themeColor="text1"/>
          <w:sz w:val="24"/>
        </w:rPr>
        <w:t>列特別股金額、第</w:t>
      </w:r>
      <w:r w:rsidR="00954AE7" w:rsidRPr="00E224E9">
        <w:rPr>
          <w:rFonts w:ascii="Book Antiqua" w:hAnsi="Book Antiqua" w:hint="eastAsia"/>
          <w:color w:val="000000" w:themeColor="text1"/>
          <w:sz w:val="24"/>
          <w:lang w:eastAsia="zh-TW"/>
        </w:rPr>
        <w:t>64</w:t>
      </w:r>
      <w:r w:rsidRPr="00E224E9">
        <w:rPr>
          <w:rFonts w:ascii="Book Antiqua" w:hAnsi="標楷體"/>
          <w:color w:val="000000" w:themeColor="text1"/>
          <w:sz w:val="24"/>
        </w:rPr>
        <w:t>列預收股本金額及第</w:t>
      </w:r>
      <w:r w:rsidR="00954AE7" w:rsidRPr="00E224E9">
        <w:rPr>
          <w:rFonts w:ascii="Book Antiqua" w:hAnsi="標楷體" w:hint="eastAsia"/>
          <w:color w:val="000000" w:themeColor="text1"/>
          <w:sz w:val="24"/>
          <w:lang w:eastAsia="zh-TW"/>
        </w:rPr>
        <w:t>6</w:t>
      </w:r>
      <w:r w:rsidRPr="00E224E9">
        <w:rPr>
          <w:rFonts w:ascii="Book Antiqua" w:hAnsi="Book Antiqua" w:hint="eastAsia"/>
          <w:color w:val="000000" w:themeColor="text1"/>
          <w:sz w:val="24"/>
        </w:rPr>
        <w:t>5</w:t>
      </w:r>
      <w:r w:rsidRPr="00E224E9">
        <w:rPr>
          <w:rFonts w:ascii="Book Antiqua" w:hAnsi="標楷體"/>
          <w:color w:val="000000" w:themeColor="text1"/>
          <w:sz w:val="24"/>
        </w:rPr>
        <w:t>列待分配股票股利金額加總之和。</w:t>
      </w:r>
    </w:p>
    <w:p w14:paraId="4B594887"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3B404786"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54AE7" w:rsidRPr="00E224E9">
        <w:rPr>
          <w:rFonts w:ascii="Book Antiqua" w:hAnsi="標楷體" w:hint="eastAsia"/>
          <w:color w:val="000000" w:themeColor="text1"/>
          <w:sz w:val="24"/>
        </w:rPr>
        <w:t>6</w:t>
      </w:r>
      <w:r w:rsidR="00C17C64" w:rsidRPr="00E224E9">
        <w:rPr>
          <w:rFonts w:ascii="Book Antiqua" w:hAnsi="Book Antiqua" w:hint="eastAsia"/>
          <w:color w:val="000000" w:themeColor="text1"/>
          <w:sz w:val="24"/>
        </w:rPr>
        <w:t>7</w:t>
      </w:r>
      <w:r w:rsidRPr="00E224E9">
        <w:rPr>
          <w:rFonts w:ascii="Book Antiqua" w:hAnsi="標楷體"/>
          <w:color w:val="000000" w:themeColor="text1"/>
          <w:sz w:val="24"/>
        </w:rPr>
        <w:t>列－資本公積</w:t>
      </w:r>
    </w:p>
    <w:p w14:paraId="2C04A969"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凡股東或他人繳入公司，超過法定資本之部分均屬之。通常包括股票發行之溢價、庫藏股票交易、受領贈與認列之資本公積等。各項來源之資本公積，應分別列示。</w:t>
      </w:r>
    </w:p>
    <w:p w14:paraId="49E3F0CB"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本列資本公積金額為第</w:t>
      </w:r>
      <w:r w:rsidR="00954AE7" w:rsidRPr="00E224E9">
        <w:rPr>
          <w:rFonts w:ascii="Book Antiqua" w:hAnsi="Book Antiqua" w:hint="eastAsia"/>
          <w:color w:val="000000" w:themeColor="text1"/>
          <w:sz w:val="24"/>
          <w:lang w:eastAsia="zh-TW"/>
        </w:rPr>
        <w:t>68</w:t>
      </w:r>
      <w:r w:rsidRPr="00E224E9">
        <w:rPr>
          <w:rFonts w:ascii="Book Antiqua" w:hAnsi="標楷體"/>
          <w:color w:val="000000" w:themeColor="text1"/>
          <w:sz w:val="24"/>
        </w:rPr>
        <w:t>列至第</w:t>
      </w:r>
      <w:r w:rsidR="00C17C64" w:rsidRPr="00E224E9">
        <w:rPr>
          <w:rFonts w:ascii="Book Antiqua" w:hAnsi="Book Antiqua" w:hint="eastAsia"/>
          <w:color w:val="000000" w:themeColor="text1"/>
          <w:sz w:val="24"/>
        </w:rPr>
        <w:t>7</w:t>
      </w:r>
      <w:r w:rsidR="00C5330C" w:rsidRPr="00E224E9">
        <w:rPr>
          <w:rFonts w:ascii="Book Antiqua" w:hAnsi="Book Antiqua" w:hint="eastAsia"/>
          <w:color w:val="000000" w:themeColor="text1"/>
          <w:sz w:val="24"/>
          <w:lang w:eastAsia="zh-TW"/>
        </w:rPr>
        <w:t>3</w:t>
      </w:r>
      <w:r w:rsidRPr="00E224E9">
        <w:rPr>
          <w:rFonts w:ascii="Book Antiqua" w:hAnsi="標楷體"/>
          <w:color w:val="000000" w:themeColor="text1"/>
          <w:sz w:val="24"/>
        </w:rPr>
        <w:t>列各項資本公積</w:t>
      </w:r>
      <w:r w:rsidR="00954AE7" w:rsidRPr="00E224E9">
        <w:rPr>
          <w:rFonts w:ascii="Book Antiqua" w:hAnsi="標楷體" w:hint="eastAsia"/>
          <w:color w:val="000000" w:themeColor="text1"/>
          <w:sz w:val="24"/>
          <w:lang w:eastAsia="zh-TW"/>
        </w:rPr>
        <w:t>項</w:t>
      </w:r>
      <w:r w:rsidRPr="00E224E9">
        <w:rPr>
          <w:rFonts w:ascii="Book Antiqua" w:hAnsi="標楷體"/>
          <w:color w:val="000000" w:themeColor="text1"/>
          <w:sz w:val="24"/>
        </w:rPr>
        <w:t>目加總之和。</w:t>
      </w:r>
    </w:p>
    <w:p w14:paraId="489978C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7</w:t>
      </w:r>
      <w:r w:rsidR="00954AE7" w:rsidRPr="00E224E9">
        <w:rPr>
          <w:rFonts w:ascii="Book Antiqua" w:hAnsi="Book Antiqua" w:hint="eastAsia"/>
          <w:color w:val="000000" w:themeColor="text1"/>
          <w:sz w:val="24"/>
        </w:rPr>
        <w:t>5</w:t>
      </w:r>
      <w:r w:rsidRPr="00E224E9">
        <w:rPr>
          <w:rFonts w:ascii="Book Antiqua" w:hAnsi="標楷體"/>
          <w:color w:val="000000" w:themeColor="text1"/>
          <w:sz w:val="24"/>
        </w:rPr>
        <w:t>列－保留盈餘</w:t>
      </w:r>
      <w:r w:rsidR="00705F25" w:rsidRPr="00E224E9">
        <w:rPr>
          <w:rFonts w:ascii="Book Antiqua" w:hAnsi="Book Antiqua" w:hint="eastAsia"/>
          <w:color w:val="000000" w:themeColor="text1"/>
          <w:sz w:val="24"/>
        </w:rPr>
        <w:t>（</w:t>
      </w:r>
      <w:r w:rsidRPr="00E224E9">
        <w:rPr>
          <w:rFonts w:ascii="Book Antiqua" w:hAnsi="標楷體"/>
          <w:color w:val="000000" w:themeColor="text1"/>
          <w:sz w:val="24"/>
        </w:rPr>
        <w:t>累積虧損</w:t>
      </w:r>
      <w:r w:rsidR="00705F25" w:rsidRPr="00E224E9">
        <w:rPr>
          <w:rFonts w:ascii="Book Antiqua" w:hAnsi="Book Antiqua" w:hint="eastAsia"/>
          <w:color w:val="000000" w:themeColor="text1"/>
          <w:sz w:val="24"/>
        </w:rPr>
        <w:t>）</w:t>
      </w:r>
    </w:p>
    <w:p w14:paraId="42BC679A"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由營業結果所產生之權益，包括法定盈餘公積、特別盈餘公積及未分配保留盈餘</w:t>
      </w:r>
      <w:r w:rsidR="00705F25" w:rsidRPr="00E224E9">
        <w:rPr>
          <w:rFonts w:ascii="Book Antiqua" w:hAnsi="Book Antiqua" w:hint="eastAsia"/>
          <w:color w:val="000000" w:themeColor="text1"/>
          <w:sz w:val="24"/>
          <w:lang w:eastAsia="zh-TW"/>
        </w:rPr>
        <w:t>（</w:t>
      </w:r>
      <w:r w:rsidRPr="00E224E9">
        <w:rPr>
          <w:rFonts w:ascii="Book Antiqua" w:hAnsi="標楷體"/>
          <w:color w:val="000000" w:themeColor="text1"/>
          <w:sz w:val="24"/>
        </w:rPr>
        <w:t>或待彌補虧損</w:t>
      </w:r>
      <w:r w:rsidR="00705F25" w:rsidRPr="00E224E9">
        <w:rPr>
          <w:rFonts w:ascii="Book Antiqua" w:hAnsi="Book Antiqua" w:hint="eastAsia"/>
          <w:color w:val="000000" w:themeColor="text1"/>
          <w:sz w:val="24"/>
          <w:lang w:eastAsia="zh-TW"/>
        </w:rPr>
        <w:t>）</w:t>
      </w:r>
      <w:r w:rsidRPr="00E224E9">
        <w:rPr>
          <w:rFonts w:ascii="Book Antiqua" w:hAnsi="標楷體"/>
          <w:color w:val="000000" w:themeColor="text1"/>
          <w:sz w:val="24"/>
        </w:rPr>
        <w:t>等。</w:t>
      </w:r>
    </w:p>
    <w:p w14:paraId="50DF66F2"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lastRenderedPageBreak/>
        <w:t>本列保留盈餘金額為第</w:t>
      </w:r>
      <w:r w:rsidR="00C17C64" w:rsidRPr="00E224E9">
        <w:rPr>
          <w:rFonts w:ascii="Book Antiqua" w:hAnsi="Book Antiqua" w:hint="eastAsia"/>
          <w:color w:val="000000" w:themeColor="text1"/>
          <w:sz w:val="24"/>
        </w:rPr>
        <w:t>7</w:t>
      </w:r>
      <w:r w:rsidR="00705F25" w:rsidRPr="00E224E9">
        <w:rPr>
          <w:rFonts w:ascii="Book Antiqua" w:hAnsi="Book Antiqua" w:hint="eastAsia"/>
          <w:color w:val="000000" w:themeColor="text1"/>
          <w:sz w:val="24"/>
          <w:lang w:eastAsia="zh-TW"/>
        </w:rPr>
        <w:t>6</w:t>
      </w:r>
      <w:r w:rsidRPr="00E224E9">
        <w:rPr>
          <w:rFonts w:ascii="Book Antiqua" w:hAnsi="標楷體"/>
          <w:color w:val="000000" w:themeColor="text1"/>
          <w:sz w:val="24"/>
        </w:rPr>
        <w:t>列至第</w:t>
      </w:r>
      <w:r w:rsidR="00705F25" w:rsidRPr="00E224E9">
        <w:rPr>
          <w:rFonts w:ascii="Book Antiqua" w:hAnsi="標楷體" w:hint="eastAsia"/>
          <w:color w:val="000000" w:themeColor="text1"/>
          <w:sz w:val="24"/>
          <w:lang w:eastAsia="zh-TW"/>
        </w:rPr>
        <w:t>7</w:t>
      </w:r>
      <w:r w:rsidR="00C17C64" w:rsidRPr="00E224E9">
        <w:rPr>
          <w:rFonts w:ascii="Book Antiqua" w:hAnsi="Book Antiqua" w:hint="eastAsia"/>
          <w:color w:val="000000" w:themeColor="text1"/>
          <w:sz w:val="24"/>
        </w:rPr>
        <w:t>8</w:t>
      </w:r>
      <w:r w:rsidRPr="00E224E9">
        <w:rPr>
          <w:rFonts w:ascii="Book Antiqua" w:hAnsi="標楷體"/>
          <w:color w:val="000000" w:themeColor="text1"/>
          <w:sz w:val="24"/>
        </w:rPr>
        <w:t>列各項保留盈餘</w:t>
      </w:r>
      <w:r w:rsidR="00705F25" w:rsidRPr="00E224E9">
        <w:rPr>
          <w:rFonts w:ascii="Book Antiqua" w:hAnsi="標楷體" w:hint="eastAsia"/>
          <w:color w:val="000000" w:themeColor="text1"/>
          <w:sz w:val="24"/>
          <w:lang w:eastAsia="zh-TW"/>
        </w:rPr>
        <w:t>項</w:t>
      </w:r>
      <w:r w:rsidRPr="00E224E9">
        <w:rPr>
          <w:rFonts w:ascii="Book Antiqua" w:hAnsi="標楷體"/>
          <w:color w:val="000000" w:themeColor="text1"/>
          <w:sz w:val="24"/>
        </w:rPr>
        <w:t>目加總之和。</w:t>
      </w:r>
    </w:p>
    <w:p w14:paraId="257D304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7</w:t>
      </w:r>
      <w:r w:rsidR="00705F25" w:rsidRPr="00E224E9">
        <w:rPr>
          <w:rFonts w:ascii="Book Antiqua" w:hAnsi="Book Antiqua" w:hint="eastAsia"/>
          <w:color w:val="000000" w:themeColor="text1"/>
          <w:sz w:val="24"/>
        </w:rPr>
        <w:t>6</w:t>
      </w:r>
      <w:r w:rsidRPr="00E224E9">
        <w:rPr>
          <w:rFonts w:ascii="Book Antiqua" w:hAnsi="標楷體"/>
          <w:color w:val="000000" w:themeColor="text1"/>
          <w:sz w:val="24"/>
        </w:rPr>
        <w:t>列－法定盈餘公積</w:t>
      </w:r>
    </w:p>
    <w:p w14:paraId="4EB0D506"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依公司法之規定應提撥定額之公積。</w:t>
      </w:r>
    </w:p>
    <w:p w14:paraId="70E935D9"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05F25" w:rsidRPr="00E224E9">
        <w:rPr>
          <w:rFonts w:ascii="Book Antiqua" w:hAnsi="標楷體" w:hint="eastAsia"/>
          <w:color w:val="000000" w:themeColor="text1"/>
          <w:sz w:val="24"/>
        </w:rPr>
        <w:t>7</w:t>
      </w:r>
      <w:r w:rsidR="00705F25" w:rsidRPr="00E224E9">
        <w:rPr>
          <w:rFonts w:ascii="Book Antiqua" w:hAnsi="Book Antiqua" w:hint="eastAsia"/>
          <w:color w:val="000000" w:themeColor="text1"/>
          <w:sz w:val="24"/>
        </w:rPr>
        <w:t>7</w:t>
      </w:r>
      <w:r w:rsidRPr="00E224E9">
        <w:rPr>
          <w:rFonts w:ascii="Book Antiqua" w:hAnsi="標楷體"/>
          <w:color w:val="000000" w:themeColor="text1"/>
          <w:sz w:val="24"/>
        </w:rPr>
        <w:t>列－特別盈餘公積</w:t>
      </w:r>
    </w:p>
    <w:p w14:paraId="3DC3AA89"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因有關法令、契約、章程之規定或股東會決議由盈餘提撥之公積。</w:t>
      </w:r>
    </w:p>
    <w:p w14:paraId="16722868"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05F25" w:rsidRPr="00E224E9">
        <w:rPr>
          <w:rFonts w:ascii="Book Antiqua" w:hAnsi="標楷體" w:hint="eastAsia"/>
          <w:color w:val="000000" w:themeColor="text1"/>
          <w:sz w:val="24"/>
        </w:rPr>
        <w:t>7</w:t>
      </w:r>
      <w:r w:rsidR="00C17C64" w:rsidRPr="00E224E9">
        <w:rPr>
          <w:rFonts w:ascii="Book Antiqua" w:hAnsi="Book Antiqua" w:hint="eastAsia"/>
          <w:color w:val="000000" w:themeColor="text1"/>
          <w:sz w:val="24"/>
        </w:rPr>
        <w:t>8</w:t>
      </w:r>
      <w:r w:rsidRPr="00E224E9">
        <w:rPr>
          <w:rFonts w:ascii="Book Antiqua" w:hAnsi="標楷體"/>
          <w:color w:val="000000" w:themeColor="text1"/>
          <w:sz w:val="24"/>
        </w:rPr>
        <w:t>列－未分配保留盈餘</w:t>
      </w:r>
      <w:r w:rsidRPr="00E224E9">
        <w:rPr>
          <w:rFonts w:ascii="Book Antiqua" w:hAnsi="Book Antiqua"/>
          <w:color w:val="000000" w:themeColor="text1"/>
          <w:sz w:val="24"/>
        </w:rPr>
        <w:t>(</w:t>
      </w:r>
      <w:r w:rsidRPr="00E224E9">
        <w:rPr>
          <w:rFonts w:ascii="Book Antiqua" w:hAnsi="標楷體"/>
          <w:color w:val="000000" w:themeColor="text1"/>
          <w:sz w:val="24"/>
        </w:rPr>
        <w:t>待彌補虧損</w:t>
      </w:r>
      <w:r w:rsidRPr="00E224E9">
        <w:rPr>
          <w:rFonts w:ascii="Book Antiqua" w:hAnsi="Book Antiqua"/>
          <w:color w:val="000000" w:themeColor="text1"/>
          <w:sz w:val="24"/>
        </w:rPr>
        <w:t>)</w:t>
      </w:r>
    </w:p>
    <w:p w14:paraId="3484E11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尚未分配亦未提撥之盈餘</w:t>
      </w:r>
      <w:r w:rsidRPr="00E224E9">
        <w:rPr>
          <w:rFonts w:ascii="Book Antiqua" w:hAnsi="Book Antiqua"/>
          <w:color w:val="000000" w:themeColor="text1"/>
          <w:sz w:val="24"/>
        </w:rPr>
        <w:t xml:space="preserve"> (</w:t>
      </w:r>
      <w:r w:rsidRPr="00E224E9">
        <w:rPr>
          <w:rFonts w:ascii="Book Antiqua" w:hAnsi="標楷體"/>
          <w:color w:val="000000" w:themeColor="text1"/>
          <w:sz w:val="24"/>
        </w:rPr>
        <w:t>未經彌補之虧損為待彌補虧損</w:t>
      </w:r>
      <w:r w:rsidRPr="00E224E9">
        <w:rPr>
          <w:rFonts w:ascii="Book Antiqua" w:hAnsi="Book Antiqua"/>
          <w:color w:val="000000" w:themeColor="text1"/>
          <w:sz w:val="24"/>
        </w:rPr>
        <w:t xml:space="preserve">) </w:t>
      </w:r>
      <w:r w:rsidRPr="00E224E9">
        <w:rPr>
          <w:rFonts w:ascii="Book Antiqua" w:hAnsi="標楷體"/>
          <w:color w:val="000000" w:themeColor="text1"/>
          <w:sz w:val="24"/>
        </w:rPr>
        <w:t>。</w:t>
      </w:r>
    </w:p>
    <w:p w14:paraId="68BB275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8</w:t>
      </w:r>
      <w:r w:rsidR="00705F25" w:rsidRPr="00E224E9">
        <w:rPr>
          <w:rFonts w:ascii="Book Antiqua" w:hAnsi="Book Antiqua" w:hint="eastAsia"/>
          <w:color w:val="000000" w:themeColor="text1"/>
          <w:sz w:val="24"/>
        </w:rPr>
        <w:t>0</w:t>
      </w:r>
      <w:r w:rsidRPr="00E224E9">
        <w:rPr>
          <w:rFonts w:ascii="Book Antiqua" w:hAnsi="標楷體"/>
          <w:color w:val="000000" w:themeColor="text1"/>
          <w:sz w:val="24"/>
        </w:rPr>
        <w:t>列－其他</w:t>
      </w:r>
      <w:r w:rsidR="00C17C64" w:rsidRPr="00E224E9">
        <w:rPr>
          <w:rFonts w:ascii="Book Antiqua" w:hAnsi="標楷體" w:hint="eastAsia"/>
          <w:color w:val="000000" w:themeColor="text1"/>
          <w:sz w:val="24"/>
        </w:rPr>
        <w:t>權益</w:t>
      </w:r>
    </w:p>
    <w:p w14:paraId="6EE1DA9F"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本列股東權益其他項目金額為第</w:t>
      </w:r>
      <w:r w:rsidR="00C17C64" w:rsidRPr="00E224E9">
        <w:rPr>
          <w:rFonts w:ascii="Book Antiqua" w:hAnsi="Book Antiqua" w:hint="eastAsia"/>
          <w:color w:val="000000" w:themeColor="text1"/>
          <w:sz w:val="24"/>
        </w:rPr>
        <w:t>8</w:t>
      </w:r>
      <w:r w:rsidR="00705F25" w:rsidRPr="00E224E9">
        <w:rPr>
          <w:rFonts w:ascii="Book Antiqua" w:hAnsi="Book Antiqua" w:hint="eastAsia"/>
          <w:color w:val="000000" w:themeColor="text1"/>
          <w:sz w:val="24"/>
          <w:lang w:eastAsia="zh-TW"/>
        </w:rPr>
        <w:t>1</w:t>
      </w:r>
      <w:r w:rsidRPr="00E224E9">
        <w:rPr>
          <w:rFonts w:ascii="Book Antiqua" w:hAnsi="標楷體"/>
          <w:color w:val="000000" w:themeColor="text1"/>
          <w:sz w:val="24"/>
        </w:rPr>
        <w:t>列至第</w:t>
      </w:r>
      <w:r w:rsidR="00705F25" w:rsidRPr="00E224E9">
        <w:rPr>
          <w:rFonts w:ascii="Book Antiqua" w:hAnsi="標楷體" w:hint="eastAsia"/>
          <w:color w:val="000000" w:themeColor="text1"/>
          <w:sz w:val="24"/>
          <w:lang w:eastAsia="zh-TW"/>
        </w:rPr>
        <w:t>8</w:t>
      </w:r>
      <w:r w:rsidR="00B7525B" w:rsidRPr="00E224E9">
        <w:rPr>
          <w:rFonts w:ascii="Book Antiqua" w:hAnsi="Book Antiqua" w:hint="eastAsia"/>
          <w:color w:val="000000" w:themeColor="text1"/>
          <w:sz w:val="24"/>
        </w:rPr>
        <w:t>9</w:t>
      </w:r>
      <w:r w:rsidRPr="00E224E9">
        <w:rPr>
          <w:rFonts w:ascii="Book Antiqua" w:hAnsi="標楷體"/>
          <w:color w:val="000000" w:themeColor="text1"/>
          <w:sz w:val="24"/>
        </w:rPr>
        <w:t>列各項股東權益其他</w:t>
      </w:r>
      <w:r w:rsidR="00705F25" w:rsidRPr="00E224E9">
        <w:rPr>
          <w:rFonts w:ascii="Book Antiqua" w:hAnsi="標楷體" w:hint="eastAsia"/>
          <w:color w:val="000000" w:themeColor="text1"/>
          <w:sz w:val="24"/>
          <w:lang w:eastAsia="zh-TW"/>
        </w:rPr>
        <w:t>項</w:t>
      </w:r>
      <w:r w:rsidRPr="00E224E9">
        <w:rPr>
          <w:rFonts w:ascii="Book Antiqua" w:hAnsi="標楷體"/>
          <w:color w:val="000000" w:themeColor="text1"/>
          <w:sz w:val="24"/>
        </w:rPr>
        <w:t>目加總之和。</w:t>
      </w:r>
    </w:p>
    <w:p w14:paraId="698CFCA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8</w:t>
      </w:r>
      <w:r w:rsidR="00705F25" w:rsidRPr="00E224E9">
        <w:rPr>
          <w:rFonts w:ascii="Book Antiqua" w:hAnsi="Book Antiqua" w:hint="eastAsia"/>
          <w:color w:val="000000" w:themeColor="text1"/>
          <w:sz w:val="24"/>
        </w:rPr>
        <w:t>2</w:t>
      </w:r>
      <w:r w:rsidRPr="00E224E9">
        <w:rPr>
          <w:rFonts w:ascii="Book Antiqua" w:hAnsi="標楷體"/>
          <w:color w:val="000000" w:themeColor="text1"/>
          <w:sz w:val="24"/>
        </w:rPr>
        <w:t>列－</w:t>
      </w:r>
      <w:r w:rsidR="00705F25" w:rsidRPr="00E224E9">
        <w:rPr>
          <w:rFonts w:ascii="Book Antiqua" w:hAnsi="標楷體" w:hint="eastAsia"/>
          <w:color w:val="000000" w:themeColor="text1"/>
          <w:sz w:val="24"/>
        </w:rPr>
        <w:t>透過其他綜合損益按公允價值衡量之</w:t>
      </w:r>
      <w:r w:rsidRPr="00E224E9">
        <w:rPr>
          <w:rFonts w:ascii="Book Antiqua" w:hAnsi="標楷體"/>
          <w:color w:val="000000" w:themeColor="text1"/>
          <w:sz w:val="24"/>
        </w:rPr>
        <w:t>金融商品損益</w:t>
      </w:r>
    </w:p>
    <w:p w14:paraId="60C63683" w14:textId="77777777" w:rsidR="00065C53" w:rsidRPr="00E224E9" w:rsidRDefault="00705F25">
      <w:pPr>
        <w:spacing w:line="440" w:lineRule="exact"/>
        <w:ind w:left="900" w:firstLine="1"/>
        <w:jc w:val="both"/>
        <w:rPr>
          <w:rFonts w:ascii="Book Antiqua" w:hAnsi="Book Antiqua"/>
          <w:color w:val="000000" w:themeColor="text1"/>
          <w:sz w:val="24"/>
        </w:rPr>
      </w:pPr>
      <w:r w:rsidRPr="00E224E9">
        <w:rPr>
          <w:rFonts w:ascii="Book Antiqua" w:hAnsi="標楷體" w:hint="eastAsia"/>
          <w:color w:val="000000" w:themeColor="text1"/>
          <w:sz w:val="24"/>
        </w:rPr>
        <w:t>包括透過其他綜合損益按公允價值衡量之權益工具評價損益及透過其他綜合損益按公允價值衡量之債務工具損益。</w:t>
      </w:r>
    </w:p>
    <w:p w14:paraId="2F262C3D"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8</w:t>
      </w:r>
      <w:r w:rsidR="00705F25" w:rsidRPr="00E224E9">
        <w:rPr>
          <w:rFonts w:ascii="Book Antiqua" w:hAnsi="Book Antiqua" w:hint="eastAsia"/>
          <w:color w:val="000000" w:themeColor="text1"/>
          <w:sz w:val="24"/>
        </w:rPr>
        <w:t>7</w:t>
      </w:r>
      <w:r w:rsidRPr="00E224E9">
        <w:rPr>
          <w:rFonts w:ascii="Book Antiqua" w:hAnsi="標楷體"/>
          <w:color w:val="000000" w:themeColor="text1"/>
          <w:sz w:val="24"/>
        </w:rPr>
        <w:t>列－與待出售非流動資產直接相關之權益</w:t>
      </w:r>
    </w:p>
    <w:p w14:paraId="667BE22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係指目前情況下，可依一般條件及商業慣例立即出售，且高度很有可能於一年內完成出售之待出售處分群組內之權益。</w:t>
      </w:r>
    </w:p>
    <w:p w14:paraId="39A08CC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05F25" w:rsidRPr="00E224E9">
        <w:rPr>
          <w:rFonts w:ascii="Book Antiqua" w:hAnsi="Book Antiqua" w:hint="eastAsia"/>
          <w:color w:val="000000" w:themeColor="text1"/>
          <w:sz w:val="24"/>
        </w:rPr>
        <w:t>88</w:t>
      </w:r>
      <w:r w:rsidRPr="00E224E9">
        <w:rPr>
          <w:rFonts w:ascii="Book Antiqua" w:hAnsi="標楷體"/>
          <w:color w:val="000000" w:themeColor="text1"/>
          <w:sz w:val="24"/>
        </w:rPr>
        <w:t>列－庫藏股票</w:t>
      </w:r>
    </w:p>
    <w:p w14:paraId="5F464DA4"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係指公司持有自己已發行並尚未註銷之股份。</w:t>
      </w:r>
    </w:p>
    <w:p w14:paraId="271D7D1F"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公司買入庫藏股票時，應按成本借記庫藏股票</w:t>
      </w:r>
      <w:r w:rsidR="00A04FFF" w:rsidRPr="00E224E9">
        <w:rPr>
          <w:rFonts w:ascii="Book Antiqua" w:hAnsi="標楷體" w:hint="eastAsia"/>
          <w:color w:val="000000" w:themeColor="text1"/>
          <w:sz w:val="24"/>
          <w:lang w:eastAsia="zh-TW"/>
        </w:rPr>
        <w:t>項</w:t>
      </w:r>
      <w:r w:rsidRPr="00E224E9">
        <w:rPr>
          <w:rFonts w:ascii="Book Antiqua" w:hAnsi="標楷體"/>
          <w:color w:val="000000" w:themeColor="text1"/>
          <w:sz w:val="24"/>
        </w:rPr>
        <w:t>目，即為本列第</w:t>
      </w:r>
      <w:r w:rsidRPr="00E224E9">
        <w:rPr>
          <w:rFonts w:ascii="Book Antiqua" w:hAnsi="Book Antiqua"/>
          <w:color w:val="000000" w:themeColor="text1"/>
          <w:sz w:val="24"/>
        </w:rPr>
        <w:t>14</w:t>
      </w:r>
      <w:r w:rsidRPr="00E224E9">
        <w:rPr>
          <w:rFonts w:ascii="Book Antiqua" w:hAnsi="標楷體"/>
          <w:color w:val="000000" w:themeColor="text1"/>
          <w:sz w:val="24"/>
        </w:rPr>
        <w:t>欄之金額。</w:t>
      </w:r>
    </w:p>
    <w:p w14:paraId="3155E15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rPr>
        <w:t>0</w:t>
      </w:r>
      <w:r w:rsidRPr="00E224E9">
        <w:rPr>
          <w:rFonts w:ascii="Book Antiqua" w:hAnsi="標楷體"/>
          <w:color w:val="000000" w:themeColor="text1"/>
          <w:sz w:val="24"/>
        </w:rPr>
        <w:t>列－權益合計</w:t>
      </w:r>
    </w:p>
    <w:p w14:paraId="46B34AC2"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本列權益合計金額為第</w:t>
      </w:r>
      <w:r w:rsidR="00C17C64" w:rsidRPr="00E224E9">
        <w:rPr>
          <w:rFonts w:ascii="Book Antiqua" w:hAnsi="Book Antiqua" w:hint="eastAsia"/>
          <w:color w:val="000000" w:themeColor="text1"/>
          <w:sz w:val="24"/>
        </w:rPr>
        <w:t>6</w:t>
      </w:r>
      <w:r w:rsidR="00A04FFF" w:rsidRPr="00E224E9">
        <w:rPr>
          <w:rFonts w:ascii="Book Antiqua" w:hAnsi="Book Antiqua" w:hint="eastAsia"/>
          <w:color w:val="000000" w:themeColor="text1"/>
          <w:sz w:val="24"/>
          <w:lang w:eastAsia="zh-TW"/>
        </w:rPr>
        <w:t>1</w:t>
      </w:r>
      <w:r w:rsidRPr="00E224E9">
        <w:rPr>
          <w:rFonts w:ascii="Book Antiqua" w:hAnsi="標楷體"/>
          <w:color w:val="000000" w:themeColor="text1"/>
          <w:sz w:val="24"/>
        </w:rPr>
        <w:t>列股本金額加第</w:t>
      </w:r>
      <w:r w:rsidR="00A04FFF" w:rsidRPr="00E224E9">
        <w:rPr>
          <w:rFonts w:ascii="Book Antiqua" w:hAnsi="標楷體" w:hint="eastAsia"/>
          <w:color w:val="000000" w:themeColor="text1"/>
          <w:sz w:val="24"/>
          <w:lang w:eastAsia="zh-TW"/>
        </w:rPr>
        <w:t>6</w:t>
      </w:r>
      <w:r w:rsidR="00C17C64" w:rsidRPr="00E224E9">
        <w:rPr>
          <w:rFonts w:ascii="Book Antiqua" w:hAnsi="Book Antiqua" w:hint="eastAsia"/>
          <w:color w:val="000000" w:themeColor="text1"/>
          <w:sz w:val="24"/>
        </w:rPr>
        <w:t>7</w:t>
      </w:r>
      <w:r w:rsidRPr="00E224E9">
        <w:rPr>
          <w:rFonts w:ascii="Book Antiqua" w:hAnsi="標楷體"/>
          <w:color w:val="000000" w:themeColor="text1"/>
          <w:sz w:val="24"/>
        </w:rPr>
        <w:t>列資本公積金額、第</w:t>
      </w:r>
      <w:r w:rsidR="00C17C64" w:rsidRPr="00E224E9">
        <w:rPr>
          <w:rFonts w:ascii="Book Antiqua" w:hAnsi="Book Antiqua" w:hint="eastAsia"/>
          <w:color w:val="000000" w:themeColor="text1"/>
          <w:sz w:val="24"/>
        </w:rPr>
        <w:t>7</w:t>
      </w:r>
      <w:r w:rsidR="00A04FFF" w:rsidRPr="00E224E9">
        <w:rPr>
          <w:rFonts w:ascii="Book Antiqua" w:hAnsi="Book Antiqua" w:hint="eastAsia"/>
          <w:color w:val="000000" w:themeColor="text1"/>
          <w:sz w:val="24"/>
          <w:lang w:eastAsia="zh-TW"/>
        </w:rPr>
        <w:t>5</w:t>
      </w:r>
      <w:r w:rsidRPr="00E224E9">
        <w:rPr>
          <w:rFonts w:ascii="Book Antiqua" w:hAnsi="標楷體"/>
          <w:color w:val="000000" w:themeColor="text1"/>
          <w:sz w:val="24"/>
        </w:rPr>
        <w:t>列保留盈餘</w:t>
      </w:r>
      <w:r w:rsidRPr="00E224E9">
        <w:rPr>
          <w:rFonts w:ascii="Book Antiqua" w:hAnsi="Book Antiqua"/>
          <w:color w:val="000000" w:themeColor="text1"/>
          <w:sz w:val="24"/>
        </w:rPr>
        <w:t>(</w:t>
      </w:r>
      <w:r w:rsidRPr="00E224E9">
        <w:rPr>
          <w:rFonts w:ascii="Book Antiqua" w:hAnsi="標楷體"/>
          <w:color w:val="000000" w:themeColor="text1"/>
          <w:sz w:val="24"/>
        </w:rPr>
        <w:t>累積虧損</w:t>
      </w:r>
      <w:r w:rsidRPr="00E224E9">
        <w:rPr>
          <w:rFonts w:ascii="Book Antiqua" w:hAnsi="Book Antiqua"/>
          <w:color w:val="000000" w:themeColor="text1"/>
          <w:sz w:val="24"/>
        </w:rPr>
        <w:t>)</w:t>
      </w:r>
      <w:r w:rsidRPr="00E224E9">
        <w:rPr>
          <w:rFonts w:ascii="Book Antiqua" w:hAnsi="標楷體"/>
          <w:color w:val="000000" w:themeColor="text1"/>
          <w:sz w:val="24"/>
        </w:rPr>
        <w:t>金額及第</w:t>
      </w:r>
      <w:r w:rsidR="00C17C64" w:rsidRPr="00E224E9">
        <w:rPr>
          <w:rFonts w:ascii="Book Antiqua" w:hAnsi="Book Antiqua" w:hint="eastAsia"/>
          <w:color w:val="000000" w:themeColor="text1"/>
          <w:sz w:val="24"/>
        </w:rPr>
        <w:t>8</w:t>
      </w:r>
      <w:r w:rsidR="00A04FFF" w:rsidRPr="00E224E9">
        <w:rPr>
          <w:rFonts w:ascii="Book Antiqua" w:hAnsi="Book Antiqua" w:hint="eastAsia"/>
          <w:color w:val="000000" w:themeColor="text1"/>
          <w:sz w:val="24"/>
          <w:lang w:eastAsia="zh-TW"/>
        </w:rPr>
        <w:t>0</w:t>
      </w:r>
      <w:r w:rsidRPr="00E224E9">
        <w:rPr>
          <w:rFonts w:ascii="Book Antiqua" w:hAnsi="標楷體"/>
          <w:color w:val="000000" w:themeColor="text1"/>
          <w:sz w:val="24"/>
        </w:rPr>
        <w:t>列股東權益其他項目金額。</w:t>
      </w:r>
    </w:p>
    <w:p w14:paraId="6747C12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rPr>
        <w:t>1</w:t>
      </w:r>
      <w:r w:rsidRPr="00E224E9">
        <w:rPr>
          <w:rFonts w:ascii="Book Antiqua" w:hAnsi="標楷體"/>
          <w:color w:val="000000" w:themeColor="text1"/>
          <w:sz w:val="24"/>
        </w:rPr>
        <w:t>列－未適格再保險盈餘調整數</w:t>
      </w:r>
    </w:p>
    <w:p w14:paraId="46C8E1D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E224E9">
        <w:rPr>
          <w:rFonts w:ascii="Book Antiqua" w:hAnsi="Book Antiqua" w:hint="eastAsia"/>
          <w:color w:val="000000" w:themeColor="text1"/>
          <w:sz w:val="24"/>
        </w:rPr>
        <w:t>2</w:t>
      </w:r>
      <w:r w:rsidR="00A04FFF" w:rsidRPr="00E224E9">
        <w:rPr>
          <w:rFonts w:ascii="Book Antiqua" w:hAnsi="Book Antiqua" w:hint="eastAsia"/>
          <w:color w:val="000000" w:themeColor="text1"/>
          <w:sz w:val="24"/>
          <w:lang w:eastAsia="zh-TW"/>
        </w:rPr>
        <w:t>8</w:t>
      </w:r>
      <w:r w:rsidRPr="00E224E9">
        <w:rPr>
          <w:rFonts w:ascii="Book Antiqua" w:hAnsi="標楷體"/>
          <w:color w:val="000000" w:themeColor="text1"/>
          <w:sz w:val="24"/>
        </w:rPr>
        <w:t>列未適格再保險準備之金額相一致，為股東權益之減項。</w:t>
      </w:r>
    </w:p>
    <w:p w14:paraId="238D8AB8"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rPr>
        <w:t>2</w:t>
      </w:r>
      <w:r w:rsidRPr="00E224E9">
        <w:rPr>
          <w:rFonts w:ascii="Book Antiqua" w:hAnsi="標楷體"/>
          <w:color w:val="000000" w:themeColor="text1"/>
          <w:sz w:val="24"/>
        </w:rPr>
        <w:t>列－淨認許資產調整數</w:t>
      </w:r>
    </w:p>
    <w:p w14:paraId="080F6780" w14:textId="77777777" w:rsidR="00065C53" w:rsidRPr="00E224E9" w:rsidRDefault="00065C53">
      <w:pPr>
        <w:pStyle w:val="4"/>
        <w:spacing w:line="440" w:lineRule="exact"/>
        <w:ind w:leftChars="346" w:left="900" w:firstLine="0"/>
        <w:jc w:val="both"/>
        <w:rPr>
          <w:rFonts w:ascii="Book Antiqua" w:hAnsi="標楷體"/>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14</w:t>
      </w:r>
      <w:r w:rsidRPr="00E224E9">
        <w:rPr>
          <w:rFonts w:ascii="Book Antiqua" w:hAnsi="標楷體"/>
          <w:color w:val="000000" w:themeColor="text1"/>
          <w:sz w:val="24"/>
        </w:rPr>
        <w:t>欄淨認許資產調整數金額須與資產部分第</w:t>
      </w:r>
      <w:r w:rsidR="00A04FFF" w:rsidRPr="00E224E9">
        <w:rPr>
          <w:rFonts w:ascii="Book Antiqua" w:hAnsi="Book Antiqua" w:hint="eastAsia"/>
          <w:color w:val="000000" w:themeColor="text1"/>
          <w:sz w:val="24"/>
          <w:lang w:eastAsia="zh-TW"/>
        </w:rPr>
        <w:t>98</w:t>
      </w:r>
      <w:r w:rsidRPr="00E224E9">
        <w:rPr>
          <w:rFonts w:ascii="Book Antiqua" w:hAnsi="標楷體"/>
          <w:color w:val="000000" w:themeColor="text1"/>
          <w:sz w:val="24"/>
        </w:rPr>
        <w:t>列第</w:t>
      </w:r>
      <w:r w:rsidRPr="00E224E9">
        <w:rPr>
          <w:rFonts w:ascii="Book Antiqua" w:hAnsi="Book Antiqua"/>
          <w:color w:val="000000" w:themeColor="text1"/>
          <w:sz w:val="24"/>
        </w:rPr>
        <w:t>6</w:t>
      </w:r>
      <w:r w:rsidRPr="00E224E9">
        <w:rPr>
          <w:rFonts w:ascii="Book Antiqua" w:hAnsi="標楷體"/>
          <w:color w:val="000000" w:themeColor="text1"/>
          <w:sz w:val="24"/>
        </w:rPr>
        <w:t>欄非認許資產金額相一致。</w:t>
      </w:r>
    </w:p>
    <w:p w14:paraId="520244E2" w14:textId="77777777" w:rsidR="002173E6" w:rsidRPr="00E224E9" w:rsidRDefault="002173E6" w:rsidP="002173E6">
      <w:pPr>
        <w:spacing w:line="440" w:lineRule="exact"/>
        <w:jc w:val="both"/>
        <w:rPr>
          <w:rFonts w:ascii="Book Antiqua" w:hAnsi="標楷體"/>
          <w:color w:val="000000" w:themeColor="text1"/>
          <w:sz w:val="24"/>
        </w:rPr>
      </w:pP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9</w:t>
      </w:r>
      <w:r w:rsidR="00A04FFF" w:rsidRPr="00E224E9">
        <w:rPr>
          <w:rFonts w:ascii="Book Antiqua" w:hAnsi="標楷體" w:hint="eastAsia"/>
          <w:color w:val="000000" w:themeColor="text1"/>
          <w:sz w:val="24"/>
        </w:rPr>
        <w:t>3</w:t>
      </w:r>
      <w:r w:rsidRPr="00E224E9">
        <w:rPr>
          <w:rFonts w:ascii="Book Antiqua" w:hAnsi="標楷體"/>
          <w:color w:val="000000" w:themeColor="text1"/>
          <w:sz w:val="24"/>
        </w:rPr>
        <w:t>列</w:t>
      </w:r>
      <w:r w:rsidRPr="00E224E9">
        <w:rPr>
          <w:rFonts w:ascii="Book Antiqua" w:hAnsi="標楷體" w:hint="eastAsia"/>
          <w:color w:val="000000" w:themeColor="text1"/>
          <w:sz w:val="24"/>
        </w:rPr>
        <w:t>－加：遞延所得稅負債調整數</w:t>
      </w:r>
    </w:p>
    <w:p w14:paraId="3C197276" w14:textId="77777777" w:rsidR="002173E6" w:rsidRPr="00E224E9" w:rsidRDefault="002173E6" w:rsidP="00F3152E">
      <w:pPr>
        <w:pStyle w:val="af4"/>
        <w:spacing w:line="440" w:lineRule="exact"/>
        <w:ind w:leftChars="346" w:left="902" w:firstLineChars="0" w:hanging="2"/>
        <w:rPr>
          <w:rFonts w:ascii="Book Antiqua" w:hAnsi="標楷體" w:cs="Times New Roman"/>
          <w:color w:val="000000" w:themeColor="text1"/>
        </w:rPr>
      </w:pPr>
      <w:r w:rsidRPr="00E224E9">
        <w:rPr>
          <w:rFonts w:ascii="Book Antiqua" w:hAnsi="標楷體" w:cs="Times New Roman" w:hint="eastAsia"/>
          <w:color w:val="000000" w:themeColor="text1"/>
        </w:rPr>
        <w:lastRenderedPageBreak/>
        <w:t>一般公認會計原則於採用</w:t>
      </w:r>
      <w:r w:rsidRPr="00E224E9">
        <w:rPr>
          <w:rFonts w:ascii="Book Antiqua" w:hAnsi="標楷體" w:cs="Times New Roman" w:hint="eastAsia"/>
          <w:color w:val="000000" w:themeColor="text1"/>
        </w:rPr>
        <w:t>IFRS</w:t>
      </w:r>
      <w:r w:rsidRPr="00E224E9">
        <w:rPr>
          <w:rFonts w:ascii="Book Antiqua" w:hAnsi="標楷體" w:cs="Times New Roman" w:hint="eastAsia"/>
          <w:color w:val="000000" w:themeColor="text1"/>
        </w:rPr>
        <w:t>前，遞延所得稅資產與遞延所得稅負債係採抵銷後之淨額表達，而採用</w:t>
      </w:r>
      <w:r w:rsidRPr="00E224E9">
        <w:rPr>
          <w:rFonts w:ascii="Book Antiqua" w:hAnsi="標楷體" w:cs="Times New Roman" w:hint="eastAsia"/>
          <w:color w:val="000000" w:themeColor="text1"/>
        </w:rPr>
        <w:t>IFRS</w:t>
      </w:r>
      <w:r w:rsidRPr="00E224E9">
        <w:rPr>
          <w:rFonts w:ascii="Book Antiqua" w:hAnsi="標楷體" w:cs="Times New Roman" w:hint="eastAsia"/>
          <w:color w:val="000000" w:themeColor="text1"/>
        </w:rPr>
        <w:t>後改採總額表達，故將保險業計算資本</w:t>
      </w:r>
      <w:r w:rsidR="00D40AEE" w:rsidRPr="00E224E9">
        <w:rPr>
          <w:rFonts w:ascii="Book Antiqua" w:hAnsi="標楷體" w:cs="Times New Roman" w:hint="eastAsia"/>
          <w:color w:val="000000" w:themeColor="text1"/>
        </w:rPr>
        <w:t>適</w:t>
      </w:r>
      <w:r w:rsidRPr="00E224E9">
        <w:rPr>
          <w:rFonts w:ascii="Book Antiqua" w:hAnsi="標楷體" w:cs="Times New Roman" w:hint="eastAsia"/>
          <w:color w:val="000000" w:themeColor="text1"/>
        </w:rPr>
        <w:t>足率之資產認許標準及評價原則第九點相關規範修正為「遞延所得稅資產與遞延所得稅負債相互抵銷後之淨額，認列為認許資產或負債」</w:t>
      </w:r>
      <w:r w:rsidRPr="00E224E9">
        <w:rPr>
          <w:rFonts w:ascii="Book Antiqua" w:hAnsi="標楷體" w:cs="Times New Roman"/>
          <w:color w:val="000000" w:themeColor="text1"/>
        </w:rPr>
        <w:t>。</w:t>
      </w:r>
    </w:p>
    <w:p w14:paraId="3748E2F9" w14:textId="77777777" w:rsidR="002173E6" w:rsidRPr="00E224E9" w:rsidRDefault="002173E6" w:rsidP="00E2314E">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hint="eastAsia"/>
          <w:color w:val="000000" w:themeColor="text1"/>
        </w:rPr>
        <w:t>故本列係指「遞延所得稅負債</w:t>
      </w:r>
      <w:r w:rsidRPr="00E224E9">
        <w:rPr>
          <w:rFonts w:ascii="Book Antiqua" w:hAnsi="標楷體" w:hint="eastAsia"/>
          <w:color w:val="000000" w:themeColor="text1"/>
        </w:rPr>
        <w:t>-</w:t>
      </w:r>
      <w:r w:rsidRPr="00E224E9">
        <w:rPr>
          <w:rFonts w:ascii="Book Antiqua" w:hAnsi="標楷體" w:hint="eastAsia"/>
          <w:color w:val="000000" w:themeColor="text1"/>
        </w:rPr>
        <w:t>帳載」減「遞延所得稅負債</w:t>
      </w:r>
      <w:r w:rsidRPr="00E224E9">
        <w:rPr>
          <w:rFonts w:ascii="Book Antiqua" w:hAnsi="標楷體" w:hint="eastAsia"/>
          <w:color w:val="000000" w:themeColor="text1"/>
        </w:rPr>
        <w:t>-</w:t>
      </w:r>
      <w:r w:rsidRPr="00E224E9">
        <w:rPr>
          <w:rFonts w:ascii="Book Antiqua" w:hAnsi="標楷體" w:hint="eastAsia"/>
          <w:color w:val="000000" w:themeColor="text1"/>
        </w:rPr>
        <w:t>認許」之金額</w:t>
      </w:r>
      <w:r w:rsidRPr="00E224E9">
        <w:rPr>
          <w:rFonts w:ascii="Book Antiqua" w:hAnsi="標楷體"/>
          <w:color w:val="000000" w:themeColor="text1"/>
        </w:rPr>
        <w:t>。</w:t>
      </w:r>
    </w:p>
    <w:p w14:paraId="0238369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rPr>
        <w:t>5</w:t>
      </w:r>
      <w:r w:rsidRPr="00E224E9">
        <w:rPr>
          <w:rFonts w:ascii="Book Antiqua" w:hAnsi="標楷體"/>
          <w:color w:val="000000" w:themeColor="text1"/>
          <w:sz w:val="24"/>
        </w:rPr>
        <w:t>列－淨認許權益</w:t>
      </w:r>
    </w:p>
    <w:p w14:paraId="4192E0F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lang w:eastAsia="zh-TW"/>
        </w:rPr>
        <w:t>0</w:t>
      </w:r>
      <w:r w:rsidRPr="00E224E9">
        <w:rPr>
          <w:rFonts w:ascii="Book Antiqua" w:hAnsi="標楷體"/>
          <w:color w:val="000000" w:themeColor="text1"/>
          <w:sz w:val="24"/>
        </w:rPr>
        <w:t>列權益合計扣除第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lang w:eastAsia="zh-TW"/>
        </w:rPr>
        <w:t>1</w:t>
      </w:r>
      <w:r w:rsidRPr="00E224E9">
        <w:rPr>
          <w:rFonts w:ascii="Book Antiqua" w:hAnsi="標楷體"/>
          <w:color w:val="000000" w:themeColor="text1"/>
          <w:sz w:val="24"/>
        </w:rPr>
        <w:t>列未適格再保險盈餘調整數與第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lang w:eastAsia="zh-TW"/>
        </w:rPr>
        <w:t>2</w:t>
      </w:r>
      <w:r w:rsidRPr="00E224E9">
        <w:rPr>
          <w:rFonts w:ascii="Book Antiqua" w:hAnsi="標楷體"/>
          <w:color w:val="000000" w:themeColor="text1"/>
          <w:sz w:val="24"/>
        </w:rPr>
        <w:t>列淨認許資產調整數</w:t>
      </w:r>
      <w:r w:rsidR="002173E6" w:rsidRPr="00E224E9">
        <w:rPr>
          <w:rFonts w:ascii="Book Antiqua" w:hAnsi="標楷體" w:hint="eastAsia"/>
          <w:color w:val="000000" w:themeColor="text1"/>
          <w:sz w:val="24"/>
        </w:rPr>
        <w:t>再加計</w:t>
      </w:r>
      <w:r w:rsidR="002173E6" w:rsidRPr="00E224E9">
        <w:rPr>
          <w:rFonts w:ascii="Book Antiqua" w:hAnsi="標楷體"/>
          <w:color w:val="000000" w:themeColor="text1"/>
          <w:sz w:val="24"/>
        </w:rPr>
        <w:t>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lang w:eastAsia="zh-TW"/>
        </w:rPr>
        <w:t>3</w:t>
      </w:r>
      <w:r w:rsidR="002173E6" w:rsidRPr="00E224E9">
        <w:rPr>
          <w:rFonts w:ascii="Book Antiqua" w:hAnsi="標楷體"/>
          <w:color w:val="000000" w:themeColor="text1"/>
          <w:sz w:val="24"/>
        </w:rPr>
        <w:t>列</w:t>
      </w:r>
      <w:r w:rsidR="002173E6" w:rsidRPr="00E224E9">
        <w:rPr>
          <w:rFonts w:ascii="Book Antiqua" w:hAnsi="標楷體" w:hint="eastAsia"/>
          <w:color w:val="000000" w:themeColor="text1"/>
          <w:sz w:val="24"/>
        </w:rPr>
        <w:t>遞延所得稅負債調整數</w:t>
      </w:r>
      <w:r w:rsidRPr="00E224E9">
        <w:rPr>
          <w:rFonts w:ascii="Book Antiqua" w:hAnsi="標楷體"/>
          <w:color w:val="000000" w:themeColor="text1"/>
          <w:sz w:val="24"/>
        </w:rPr>
        <w:t>。</w:t>
      </w:r>
    </w:p>
    <w:p w14:paraId="3ACC968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D5BA1"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rPr>
        <w:t>7</w:t>
      </w:r>
      <w:r w:rsidRPr="00E224E9">
        <w:rPr>
          <w:rFonts w:ascii="Book Antiqua" w:hAnsi="標楷體"/>
          <w:color w:val="000000" w:themeColor="text1"/>
          <w:sz w:val="24"/>
        </w:rPr>
        <w:t>列－帳載負債及權益總計</w:t>
      </w:r>
    </w:p>
    <w:p w14:paraId="55B8B2FB"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14</w:t>
      </w:r>
      <w:r w:rsidRPr="00E224E9">
        <w:rPr>
          <w:rFonts w:ascii="Book Antiqua" w:hAnsi="標楷體"/>
          <w:color w:val="000000" w:themeColor="text1"/>
          <w:sz w:val="24"/>
        </w:rPr>
        <w:t>欄帳載負債及權益總計為第</w:t>
      </w:r>
      <w:r w:rsidR="00A04FFF" w:rsidRPr="00E224E9">
        <w:rPr>
          <w:rFonts w:ascii="Book Antiqua" w:hAnsi="Book Antiqua" w:hint="eastAsia"/>
          <w:color w:val="000000" w:themeColor="text1"/>
          <w:sz w:val="24"/>
          <w:lang w:eastAsia="zh-TW"/>
        </w:rPr>
        <w:t>58</w:t>
      </w:r>
      <w:r w:rsidRPr="00E224E9">
        <w:rPr>
          <w:rFonts w:ascii="Book Antiqua" w:hAnsi="標楷體"/>
          <w:color w:val="000000" w:themeColor="text1"/>
          <w:sz w:val="24"/>
        </w:rPr>
        <w:t>列負債合計－帳載與第</w:t>
      </w:r>
      <w:r w:rsidR="00D95A3F"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lang w:eastAsia="zh-TW"/>
        </w:rPr>
        <w:t>0</w:t>
      </w:r>
      <w:r w:rsidRPr="00E224E9">
        <w:rPr>
          <w:rFonts w:ascii="Book Antiqua" w:hAnsi="標楷體"/>
          <w:color w:val="000000" w:themeColor="text1"/>
          <w:sz w:val="24"/>
        </w:rPr>
        <w:t>列權益合計加總後之金額，且須與資產部分第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A04FFF" w:rsidRPr="00E224E9">
        <w:rPr>
          <w:rFonts w:ascii="Book Antiqua" w:hAnsi="Book Antiqua" w:hint="eastAsia"/>
          <w:color w:val="000000" w:themeColor="text1"/>
          <w:sz w:val="24"/>
          <w:lang w:eastAsia="zh-TW"/>
        </w:rPr>
        <w:t>98</w:t>
      </w:r>
      <w:r w:rsidRPr="00E224E9">
        <w:rPr>
          <w:rFonts w:ascii="Book Antiqua" w:hAnsi="標楷體"/>
          <w:color w:val="000000" w:themeColor="text1"/>
          <w:sz w:val="24"/>
        </w:rPr>
        <w:t>列帳載金額總計金額相一致。</w:t>
      </w:r>
    </w:p>
    <w:p w14:paraId="29B7288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04FFF" w:rsidRPr="00E224E9">
        <w:rPr>
          <w:rFonts w:ascii="Book Antiqua" w:hAnsi="Book Antiqua" w:hint="eastAsia"/>
          <w:color w:val="000000" w:themeColor="text1"/>
          <w:sz w:val="24"/>
        </w:rPr>
        <w:t>98</w:t>
      </w:r>
      <w:r w:rsidRPr="00E224E9">
        <w:rPr>
          <w:rFonts w:ascii="Book Antiqua" w:hAnsi="標楷體"/>
          <w:color w:val="000000" w:themeColor="text1"/>
          <w:sz w:val="24"/>
        </w:rPr>
        <w:t>列－淨認許負債及權益總計</w:t>
      </w:r>
    </w:p>
    <w:p w14:paraId="729A27EB"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14</w:t>
      </w:r>
      <w:r w:rsidRPr="00E224E9">
        <w:rPr>
          <w:rFonts w:ascii="Book Antiqua" w:hAnsi="標楷體"/>
          <w:color w:val="000000" w:themeColor="text1"/>
          <w:sz w:val="24"/>
        </w:rPr>
        <w:t>欄淨認許負債及權益總計為第</w:t>
      </w:r>
      <w:r w:rsidR="00A04FFF" w:rsidRPr="00E224E9">
        <w:rPr>
          <w:rFonts w:ascii="Book Antiqua" w:hAnsi="Book Antiqua" w:hint="eastAsia"/>
          <w:color w:val="000000" w:themeColor="text1"/>
          <w:sz w:val="24"/>
          <w:lang w:eastAsia="zh-TW"/>
        </w:rPr>
        <w:t>59</w:t>
      </w:r>
      <w:r w:rsidRPr="00E224E9">
        <w:rPr>
          <w:rFonts w:ascii="Book Antiqua" w:hAnsi="標楷體"/>
          <w:color w:val="000000" w:themeColor="text1"/>
          <w:sz w:val="24"/>
        </w:rPr>
        <w:t>列負債合計－認許與第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lang w:eastAsia="zh-TW"/>
        </w:rPr>
        <w:t>5</w:t>
      </w:r>
      <w:r w:rsidRPr="00E224E9">
        <w:rPr>
          <w:rFonts w:ascii="Book Antiqua" w:hAnsi="標楷體"/>
          <w:color w:val="000000" w:themeColor="text1"/>
          <w:sz w:val="24"/>
        </w:rPr>
        <w:t>列淨認許股東權益加總後之金額，且須與資產部分第</w:t>
      </w:r>
      <w:r w:rsidRPr="00E224E9">
        <w:rPr>
          <w:rFonts w:ascii="Book Antiqua" w:hAnsi="Book Antiqua"/>
          <w:color w:val="000000" w:themeColor="text1"/>
          <w:sz w:val="24"/>
        </w:rPr>
        <w:t>7</w:t>
      </w:r>
      <w:r w:rsidRPr="00E224E9">
        <w:rPr>
          <w:rFonts w:ascii="Book Antiqua" w:hAnsi="標楷體"/>
          <w:color w:val="000000" w:themeColor="text1"/>
          <w:sz w:val="24"/>
        </w:rPr>
        <w:t>欄第</w:t>
      </w:r>
      <w:r w:rsidR="00A04FFF" w:rsidRPr="00E224E9">
        <w:rPr>
          <w:rFonts w:ascii="Book Antiqua" w:hAnsi="Book Antiqua" w:hint="eastAsia"/>
          <w:color w:val="000000" w:themeColor="text1"/>
          <w:sz w:val="24"/>
          <w:lang w:eastAsia="zh-TW"/>
        </w:rPr>
        <w:t>98</w:t>
      </w:r>
      <w:r w:rsidRPr="00E224E9">
        <w:rPr>
          <w:rFonts w:ascii="Book Antiqua" w:hAnsi="標楷體"/>
          <w:color w:val="000000" w:themeColor="text1"/>
          <w:sz w:val="24"/>
        </w:rPr>
        <w:t>列淨認許資產總計金額相一致。</w:t>
      </w:r>
    </w:p>
    <w:p w14:paraId="1EFA45A7"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024EE51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27B6AF5E"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26727C19"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110F987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1E5998E0"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6E4A9C5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3F5BD28D"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40A94044"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381350C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580E1D6F"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308C07F0"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Book Antiqua"/>
          <w:color w:val="000000" w:themeColor="text1"/>
          <w:sz w:val="24"/>
        </w:rPr>
        <w:br w:type="page"/>
      </w:r>
    </w:p>
    <w:p w14:paraId="07194926" w14:textId="77777777" w:rsidR="00065C53" w:rsidRPr="00E224E9" w:rsidRDefault="00065C53" w:rsidP="004373AD">
      <w:pPr>
        <w:numPr>
          <w:ilvl w:val="0"/>
          <w:numId w:val="6"/>
        </w:numPr>
        <w:tabs>
          <w:tab w:val="num" w:pos="855"/>
        </w:tabs>
        <w:spacing w:line="440" w:lineRule="exact"/>
        <w:ind w:left="540" w:hanging="540"/>
        <w:jc w:val="both"/>
        <w:rPr>
          <w:rFonts w:ascii="Book Antiqua" w:hAnsi="Book Antiqua"/>
          <w:color w:val="000000" w:themeColor="text1"/>
          <w:sz w:val="24"/>
        </w:rPr>
      </w:pPr>
      <w:r w:rsidRPr="00E224E9">
        <w:rPr>
          <w:rFonts w:ascii="Book Antiqua" w:hAnsi="標楷體"/>
          <w:color w:val="000000" w:themeColor="text1"/>
          <w:sz w:val="24"/>
        </w:rPr>
        <w:lastRenderedPageBreak/>
        <w:t>關係人之定義及分類說明</w:t>
      </w:r>
    </w:p>
    <w:p w14:paraId="7017EACD" w14:textId="77777777" w:rsidR="00065C53" w:rsidRPr="00E224E9" w:rsidRDefault="00065C53">
      <w:pPr>
        <w:pStyle w:val="4"/>
        <w:spacing w:line="440" w:lineRule="exact"/>
        <w:ind w:firstLineChars="225" w:firstLine="540"/>
        <w:jc w:val="both"/>
        <w:rPr>
          <w:rFonts w:ascii="Book Antiqua" w:hAnsi="Book Antiqua"/>
          <w:color w:val="000000" w:themeColor="text1"/>
          <w:sz w:val="24"/>
        </w:rPr>
      </w:pPr>
      <w:r w:rsidRPr="00E224E9">
        <w:rPr>
          <w:rFonts w:ascii="Book Antiqua" w:hAnsi="標楷體"/>
          <w:color w:val="000000" w:themeColor="text1"/>
          <w:sz w:val="24"/>
        </w:rPr>
        <w:t>本表所稱關係人係依</w:t>
      </w:r>
      <w:r w:rsidR="00C65703" w:rsidRPr="00E224E9">
        <w:rPr>
          <w:rFonts w:ascii="Book Antiqua" w:hAnsi="標楷體"/>
          <w:color w:val="000000" w:themeColor="text1"/>
          <w:sz w:val="24"/>
        </w:rPr>
        <w:t>國際會計準則第</w:t>
      </w:r>
      <w:r w:rsidR="00C65703" w:rsidRPr="00E224E9">
        <w:rPr>
          <w:rFonts w:ascii="Book Antiqua" w:hAnsi="標楷體"/>
          <w:color w:val="000000" w:themeColor="text1"/>
          <w:sz w:val="24"/>
        </w:rPr>
        <w:t>24</w:t>
      </w:r>
      <w:r w:rsidR="00C65703" w:rsidRPr="00E224E9">
        <w:rPr>
          <w:rFonts w:ascii="Book Antiqua" w:hAnsi="標楷體"/>
          <w:color w:val="000000" w:themeColor="text1"/>
          <w:sz w:val="24"/>
        </w:rPr>
        <w:t>號公報</w:t>
      </w:r>
      <w:r w:rsidRPr="00E224E9">
        <w:rPr>
          <w:rFonts w:ascii="Book Antiqua" w:hAnsi="標楷體"/>
          <w:color w:val="000000" w:themeColor="text1"/>
          <w:sz w:val="24"/>
        </w:rPr>
        <w:t>及公司法第</w:t>
      </w:r>
      <w:r w:rsidRPr="00E224E9">
        <w:rPr>
          <w:rFonts w:ascii="Book Antiqua" w:hAnsi="Book Antiqua"/>
          <w:color w:val="000000" w:themeColor="text1"/>
          <w:sz w:val="24"/>
        </w:rPr>
        <w:t>369-1~369-3</w:t>
      </w:r>
      <w:r w:rsidRPr="00E224E9">
        <w:rPr>
          <w:rFonts w:ascii="Book Antiqua" w:hAnsi="標楷體"/>
          <w:color w:val="000000" w:themeColor="text1"/>
          <w:sz w:val="24"/>
        </w:rPr>
        <w:t>條、第</w:t>
      </w:r>
      <w:r w:rsidRPr="00E224E9">
        <w:rPr>
          <w:rFonts w:ascii="Book Antiqua" w:hAnsi="Book Antiqua"/>
          <w:color w:val="000000" w:themeColor="text1"/>
          <w:sz w:val="24"/>
        </w:rPr>
        <w:t>369-9</w:t>
      </w:r>
      <w:r w:rsidRPr="00E224E9">
        <w:rPr>
          <w:rFonts w:ascii="Book Antiqua" w:hAnsi="標楷體"/>
          <w:color w:val="000000" w:themeColor="text1"/>
          <w:sz w:val="24"/>
        </w:rPr>
        <w:t>條、及第</w:t>
      </w:r>
      <w:r w:rsidRPr="00E224E9">
        <w:rPr>
          <w:rFonts w:ascii="Book Antiqua" w:hAnsi="Book Antiqua"/>
          <w:color w:val="000000" w:themeColor="text1"/>
          <w:sz w:val="24"/>
        </w:rPr>
        <w:t>369-11</w:t>
      </w:r>
      <w:r w:rsidRPr="00E224E9">
        <w:rPr>
          <w:rFonts w:ascii="Book Antiqua" w:hAnsi="標楷體"/>
          <w:color w:val="000000" w:themeColor="text1"/>
          <w:sz w:val="24"/>
        </w:rPr>
        <w:t>條及關係企業合併營業報告書關係企業合併財務報表及關係報告書編製準則第六條之規定，茲將有關定義及分類說明如下：</w:t>
      </w:r>
    </w:p>
    <w:p w14:paraId="6097BCEC" w14:textId="77777777" w:rsidR="00065C53" w:rsidRPr="00E224E9" w:rsidRDefault="00065C53" w:rsidP="004373AD">
      <w:pPr>
        <w:pStyle w:val="af1"/>
        <w:numPr>
          <w:ilvl w:val="0"/>
          <w:numId w:val="10"/>
        </w:numPr>
        <w:tabs>
          <w:tab w:val="clear" w:pos="2400"/>
          <w:tab w:val="num" w:pos="540"/>
        </w:tabs>
        <w:ind w:hanging="2400"/>
        <w:jc w:val="both"/>
        <w:rPr>
          <w:rFonts w:ascii="Book Antiqua" w:eastAsia="標楷體" w:hAnsi="Book Antiqua"/>
          <w:color w:val="000000" w:themeColor="text1"/>
          <w:sz w:val="24"/>
          <w:szCs w:val="24"/>
        </w:rPr>
      </w:pPr>
      <w:r w:rsidRPr="00E224E9">
        <w:rPr>
          <w:rFonts w:ascii="Book Antiqua" w:eastAsia="標楷體" w:hAnsi="標楷體"/>
          <w:color w:val="000000" w:themeColor="text1"/>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E224E9" w:rsidRPr="00E224E9" w14:paraId="0CC9D8F5" w14:textId="77777777">
        <w:trPr>
          <w:tblHeader/>
        </w:trPr>
        <w:tc>
          <w:tcPr>
            <w:tcW w:w="2520" w:type="dxa"/>
          </w:tcPr>
          <w:p w14:paraId="38378CB7" w14:textId="77777777" w:rsidR="00065C53" w:rsidRPr="00E224E9" w:rsidRDefault="00065C53">
            <w:pPr>
              <w:jc w:val="both"/>
              <w:rPr>
                <w:rFonts w:ascii="Book Antiqua" w:hAnsi="Book Antiqua"/>
                <w:color w:val="000000" w:themeColor="text1"/>
                <w:sz w:val="24"/>
              </w:rPr>
            </w:pPr>
            <w:r w:rsidRPr="00E224E9">
              <w:rPr>
                <w:rFonts w:ascii="Book Antiqua" w:hAnsi="標楷體"/>
                <w:color w:val="000000" w:themeColor="text1"/>
                <w:sz w:val="24"/>
              </w:rPr>
              <w:t>關係人之定義依據</w:t>
            </w:r>
          </w:p>
        </w:tc>
        <w:tc>
          <w:tcPr>
            <w:tcW w:w="7004" w:type="dxa"/>
          </w:tcPr>
          <w:p w14:paraId="461E204C" w14:textId="77777777" w:rsidR="00065C53" w:rsidRPr="00E224E9" w:rsidRDefault="00065C53">
            <w:pPr>
              <w:jc w:val="both"/>
              <w:rPr>
                <w:rFonts w:ascii="Book Antiqua" w:hAnsi="Book Antiqua"/>
                <w:color w:val="000000" w:themeColor="text1"/>
                <w:sz w:val="24"/>
              </w:rPr>
            </w:pPr>
            <w:r w:rsidRPr="00E224E9">
              <w:rPr>
                <w:rFonts w:ascii="Book Antiqua" w:hAnsi="標楷體"/>
                <w:color w:val="000000" w:themeColor="text1"/>
                <w:sz w:val="24"/>
              </w:rPr>
              <w:t>關係人之範圍</w:t>
            </w:r>
          </w:p>
        </w:tc>
      </w:tr>
      <w:tr w:rsidR="00E224E9" w:rsidRPr="00E224E9" w14:paraId="0DFE5865" w14:textId="77777777">
        <w:tc>
          <w:tcPr>
            <w:tcW w:w="2520" w:type="dxa"/>
          </w:tcPr>
          <w:p w14:paraId="3694DE36" w14:textId="77777777" w:rsidR="002D5D4F" w:rsidRPr="00E224E9" w:rsidRDefault="00C6570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國際會計準則第</w:t>
            </w:r>
            <w:r w:rsidRPr="00E224E9">
              <w:rPr>
                <w:rFonts w:ascii="Book Antiqua" w:hAnsi="Book Antiqua"/>
                <w:color w:val="000000" w:themeColor="text1"/>
                <w:sz w:val="24"/>
              </w:rPr>
              <w:t>24</w:t>
            </w:r>
            <w:r w:rsidRPr="00E224E9">
              <w:rPr>
                <w:rFonts w:ascii="Book Antiqua" w:hAnsi="Book Antiqua"/>
                <w:color w:val="000000" w:themeColor="text1"/>
                <w:sz w:val="24"/>
              </w:rPr>
              <w:t>號公報</w:t>
            </w:r>
            <w:r w:rsidR="002D5D4F" w:rsidRPr="00E224E9">
              <w:rPr>
                <w:rFonts w:ascii="Book Antiqua" w:hAnsi="Book Antiqua"/>
                <w:color w:val="000000" w:themeColor="text1"/>
                <w:sz w:val="24"/>
              </w:rPr>
              <w:t>第</w:t>
            </w:r>
            <w:r w:rsidR="002D5D4F" w:rsidRPr="00E224E9">
              <w:rPr>
                <w:rFonts w:ascii="Book Antiqua" w:hAnsi="Book Antiqua"/>
                <w:color w:val="000000" w:themeColor="text1"/>
                <w:sz w:val="24"/>
              </w:rPr>
              <w:t>9</w:t>
            </w:r>
            <w:r w:rsidR="002D5D4F" w:rsidRPr="00E224E9">
              <w:rPr>
                <w:rFonts w:ascii="Book Antiqua" w:hAnsi="Book Antiqua"/>
                <w:color w:val="000000" w:themeColor="text1"/>
                <w:sz w:val="24"/>
              </w:rPr>
              <w:t>段</w:t>
            </w:r>
          </w:p>
        </w:tc>
        <w:tc>
          <w:tcPr>
            <w:tcW w:w="7004" w:type="dxa"/>
          </w:tcPr>
          <w:p w14:paraId="081D81BB" w14:textId="77777777" w:rsidR="002D5D4F" w:rsidRPr="00E224E9" w:rsidRDefault="002D5D4F" w:rsidP="00C65703">
            <w:pPr>
              <w:keepNext/>
              <w:spacing w:line="440" w:lineRule="exact"/>
              <w:jc w:val="both"/>
              <w:rPr>
                <w:rFonts w:ascii="Book Antiqua" w:hAnsi="Book Antiqua"/>
                <w:color w:val="000000" w:themeColor="text1"/>
                <w:sz w:val="24"/>
              </w:rPr>
            </w:pPr>
            <w:r w:rsidRPr="00E224E9">
              <w:rPr>
                <w:rFonts w:ascii="Book Antiqua" w:hAnsi="Book Antiqua"/>
                <w:color w:val="000000" w:themeColor="text1"/>
                <w:sz w:val="24"/>
              </w:rPr>
              <w:t>關係人係指與報導個體有關之個人或個體。</w:t>
            </w:r>
          </w:p>
          <w:p w14:paraId="6F069AAD" w14:textId="77777777" w:rsidR="002D5D4F" w:rsidRPr="00E224E9" w:rsidRDefault="002D5D4F" w:rsidP="004373AD">
            <w:pPr>
              <w:keepNext/>
              <w:numPr>
                <w:ilvl w:val="0"/>
                <w:numId w:val="11"/>
              </w:numPr>
              <w:tabs>
                <w:tab w:val="clear" w:pos="2400"/>
                <w:tab w:val="num" w:pos="432"/>
              </w:tabs>
              <w:spacing w:line="440" w:lineRule="exact"/>
              <w:ind w:left="457" w:hanging="457"/>
              <w:jc w:val="both"/>
              <w:rPr>
                <w:rFonts w:ascii="Book Antiqua" w:hAnsi="Book Antiqua"/>
                <w:color w:val="000000" w:themeColor="text1"/>
                <w:sz w:val="24"/>
              </w:rPr>
            </w:pPr>
            <w:r w:rsidRPr="00E224E9">
              <w:rPr>
                <w:rFonts w:ascii="Book Antiqua" w:hAnsi="Book Antiqua"/>
                <w:color w:val="000000" w:themeColor="text1"/>
                <w:sz w:val="24"/>
              </w:rPr>
              <w:t>個人若有下列情況之一，則該個人或該個人之近親與報導個體有關係：</w:t>
            </w:r>
          </w:p>
          <w:p w14:paraId="6B68E471" w14:textId="77777777" w:rsidR="002D5D4F" w:rsidRPr="00E224E9" w:rsidRDefault="002D5D4F" w:rsidP="004373AD">
            <w:pPr>
              <w:keepNext/>
              <w:numPr>
                <w:ilvl w:val="0"/>
                <w:numId w:val="32"/>
              </w:num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對該報導個體具控制或聯合控制；</w:t>
            </w:r>
          </w:p>
          <w:p w14:paraId="3210BE29" w14:textId="77777777" w:rsidR="002D5D4F" w:rsidRPr="00E224E9" w:rsidRDefault="002D5D4F" w:rsidP="004373AD">
            <w:pPr>
              <w:keepNext/>
              <w:numPr>
                <w:ilvl w:val="0"/>
                <w:numId w:val="32"/>
              </w:num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對該報導個體具重大影響；或</w:t>
            </w:r>
          </w:p>
          <w:p w14:paraId="475BEF27" w14:textId="77777777" w:rsidR="002D5D4F" w:rsidRPr="00E224E9" w:rsidRDefault="002D5D4F" w:rsidP="004373AD">
            <w:pPr>
              <w:keepNext/>
              <w:numPr>
                <w:ilvl w:val="0"/>
                <w:numId w:val="32"/>
              </w:num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為該報導個體或其母公司主要管理階層之成員。</w:t>
            </w:r>
          </w:p>
          <w:p w14:paraId="2CF29737" w14:textId="77777777" w:rsidR="002D5D4F" w:rsidRPr="00E224E9" w:rsidRDefault="002D5D4F" w:rsidP="004373AD">
            <w:pPr>
              <w:keepNext/>
              <w:numPr>
                <w:ilvl w:val="0"/>
                <w:numId w:val="11"/>
              </w:numPr>
              <w:tabs>
                <w:tab w:val="clear" w:pos="2400"/>
                <w:tab w:val="num" w:pos="432"/>
              </w:tabs>
              <w:spacing w:line="440" w:lineRule="exact"/>
              <w:ind w:hanging="2400"/>
              <w:jc w:val="both"/>
              <w:rPr>
                <w:rFonts w:ascii="Book Antiqua" w:hAnsi="Book Antiqua"/>
                <w:color w:val="000000" w:themeColor="text1"/>
                <w:sz w:val="24"/>
              </w:rPr>
            </w:pPr>
            <w:r w:rsidRPr="00E224E9">
              <w:rPr>
                <w:rFonts w:ascii="Book Antiqua" w:hAnsi="Book Antiqua"/>
                <w:color w:val="000000" w:themeColor="text1"/>
                <w:sz w:val="24"/>
              </w:rPr>
              <w:t>個體若符合下列情形之一，則與報導個體有關係：</w:t>
            </w:r>
          </w:p>
          <w:p w14:paraId="719FEFF8"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r w:rsidRPr="00E224E9">
              <w:rPr>
                <w:rFonts w:ascii="Book Antiqua" w:hAnsi="Book Antiqua"/>
                <w:color w:val="000000" w:themeColor="text1"/>
                <w:sz w:val="24"/>
              </w:rPr>
              <w:t>該個體與報導個體為同一集團之成員</w:t>
            </w:r>
            <w:r w:rsidRPr="00E224E9">
              <w:rPr>
                <w:rFonts w:ascii="Book Antiqua" w:hAnsi="Book Antiqua"/>
                <w:color w:val="000000" w:themeColor="text1"/>
                <w:sz w:val="24"/>
              </w:rPr>
              <w:t>(</w:t>
            </w:r>
            <w:r w:rsidRPr="00E224E9">
              <w:rPr>
                <w:rFonts w:ascii="Book Antiqua" w:hAnsi="Book Antiqua"/>
                <w:color w:val="000000" w:themeColor="text1"/>
                <w:sz w:val="24"/>
              </w:rPr>
              <w:t>意指母公司、子公司及兄弟公司間彼此具有關係</w:t>
            </w:r>
            <w:r w:rsidRPr="00E224E9">
              <w:rPr>
                <w:rFonts w:ascii="Book Antiqua" w:hAnsi="Book Antiqua"/>
                <w:color w:val="000000" w:themeColor="text1"/>
                <w:sz w:val="24"/>
              </w:rPr>
              <w:t>)</w:t>
            </w:r>
            <w:r w:rsidRPr="00E224E9">
              <w:rPr>
                <w:rFonts w:ascii="Book Antiqua" w:hAnsi="Book Antiqua"/>
                <w:color w:val="000000" w:themeColor="text1"/>
                <w:sz w:val="24"/>
              </w:rPr>
              <w:t>。</w:t>
            </w:r>
          </w:p>
          <w:p w14:paraId="1FC5F8E1"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r w:rsidRPr="00E224E9">
              <w:rPr>
                <w:rFonts w:ascii="Book Antiqua" w:hAnsi="Book Antiqua"/>
                <w:color w:val="000000" w:themeColor="text1"/>
                <w:sz w:val="24"/>
              </w:rPr>
              <w:t>一個體或另一個體之關聯企業或合資</w:t>
            </w:r>
            <w:r w:rsidRPr="00E224E9">
              <w:rPr>
                <w:rFonts w:ascii="Book Antiqua" w:hAnsi="Book Antiqua"/>
                <w:color w:val="000000" w:themeColor="text1"/>
                <w:sz w:val="24"/>
              </w:rPr>
              <w:t>(</w:t>
            </w:r>
            <w:r w:rsidRPr="00E224E9">
              <w:rPr>
                <w:rFonts w:ascii="Book Antiqua" w:hAnsi="Book Antiqua"/>
                <w:color w:val="000000" w:themeColor="text1"/>
                <w:sz w:val="24"/>
              </w:rPr>
              <w:t>或為某集團中某成員之關聯企業或合資，而另一個體亦為該集團之成員</w:t>
            </w:r>
            <w:r w:rsidRPr="00E224E9">
              <w:rPr>
                <w:rFonts w:ascii="Book Antiqua" w:hAnsi="Book Antiqua"/>
                <w:color w:val="000000" w:themeColor="text1"/>
                <w:sz w:val="24"/>
              </w:rPr>
              <w:t>)</w:t>
            </w:r>
            <w:r w:rsidRPr="00E224E9">
              <w:rPr>
                <w:rFonts w:ascii="Book Antiqua" w:hAnsi="Book Antiqua"/>
                <w:color w:val="000000" w:themeColor="text1"/>
                <w:sz w:val="24"/>
              </w:rPr>
              <w:t>。</w:t>
            </w:r>
          </w:p>
          <w:p w14:paraId="08E985EA"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r w:rsidRPr="00E224E9">
              <w:rPr>
                <w:rFonts w:ascii="Book Antiqua" w:hAnsi="Book Antiqua"/>
                <w:color w:val="000000" w:themeColor="text1"/>
                <w:sz w:val="24"/>
              </w:rPr>
              <w:t>兩個體均為相同第三方之合資。</w:t>
            </w:r>
          </w:p>
          <w:p w14:paraId="01C32200"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r w:rsidRPr="00E224E9">
              <w:rPr>
                <w:rFonts w:ascii="Book Antiqua" w:hAnsi="Book Antiqua"/>
                <w:color w:val="000000" w:themeColor="text1"/>
                <w:sz w:val="24"/>
              </w:rPr>
              <w:t>一個體為第三方之合資且另一個體為該第三方之關聯企業。</w:t>
            </w:r>
          </w:p>
          <w:p w14:paraId="35FC121F"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r w:rsidRPr="00E224E9">
              <w:rPr>
                <w:rFonts w:ascii="Book Antiqua" w:hAnsi="Book Antiqua"/>
                <w:color w:val="000000" w:themeColor="text1"/>
                <w:sz w:val="24"/>
              </w:rPr>
              <w:t>該個體為報導個體或報導個體有關係之個體之員工福利所設之退職後福利計畫。若報導個體即為前述計畫，則主辦雇主亦與該報導個體有關係。</w:t>
            </w:r>
          </w:p>
          <w:p w14:paraId="22500AFA"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r w:rsidRPr="00E224E9">
              <w:rPr>
                <w:rFonts w:ascii="Book Antiqua" w:hAnsi="Book Antiqua"/>
                <w:color w:val="000000" w:themeColor="text1"/>
                <w:sz w:val="24"/>
              </w:rPr>
              <w:t>該個體受</w:t>
            </w:r>
            <w:r w:rsidRPr="00E224E9">
              <w:rPr>
                <w:rFonts w:ascii="Book Antiqua" w:hAnsi="Book Antiqua"/>
                <w:color w:val="000000" w:themeColor="text1"/>
                <w:sz w:val="24"/>
              </w:rPr>
              <w:t>(</w:t>
            </w:r>
            <w:r w:rsidRPr="00E224E9">
              <w:rPr>
                <w:rFonts w:ascii="Book Antiqua" w:hAnsi="Book Antiqua"/>
                <w:color w:val="000000" w:themeColor="text1"/>
                <w:sz w:val="24"/>
              </w:rPr>
              <w:t>一</w:t>
            </w:r>
            <w:r w:rsidRPr="00E224E9">
              <w:rPr>
                <w:rFonts w:ascii="Book Antiqua" w:hAnsi="Book Antiqua"/>
                <w:color w:val="000000" w:themeColor="text1"/>
                <w:sz w:val="24"/>
              </w:rPr>
              <w:t>)</w:t>
            </w:r>
            <w:r w:rsidRPr="00E224E9">
              <w:rPr>
                <w:rFonts w:ascii="Book Antiqua" w:hAnsi="Book Antiqua"/>
                <w:color w:val="000000" w:themeColor="text1"/>
                <w:sz w:val="24"/>
              </w:rPr>
              <w:t>所列舉之個人控制或聯合控制。</w:t>
            </w:r>
          </w:p>
          <w:p w14:paraId="73C1EFE2"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r w:rsidRPr="00E224E9">
              <w:rPr>
                <w:rFonts w:ascii="Book Antiqua" w:hAnsi="Book Antiqua"/>
                <w:color w:val="000000" w:themeColor="text1"/>
                <w:sz w:val="24"/>
              </w:rPr>
              <w:t>於</w:t>
            </w:r>
            <w:r w:rsidRPr="00E224E9">
              <w:rPr>
                <w:rFonts w:ascii="Book Antiqua" w:hAnsi="Book Antiqua"/>
                <w:color w:val="000000" w:themeColor="text1"/>
                <w:sz w:val="24"/>
              </w:rPr>
              <w:t>(</w:t>
            </w:r>
            <w:r w:rsidRPr="00E224E9">
              <w:rPr>
                <w:rFonts w:ascii="Book Antiqua" w:hAnsi="Book Antiqua"/>
                <w:color w:val="000000" w:themeColor="text1"/>
                <w:sz w:val="24"/>
              </w:rPr>
              <w:t>一</w:t>
            </w:r>
            <w:r w:rsidRPr="00E224E9">
              <w:rPr>
                <w:rFonts w:ascii="Book Antiqua" w:hAnsi="Book Antiqua"/>
                <w:color w:val="000000" w:themeColor="text1"/>
                <w:sz w:val="24"/>
              </w:rPr>
              <w:t>)1</w:t>
            </w:r>
            <w:r w:rsidRPr="00E224E9">
              <w:rPr>
                <w:rFonts w:ascii="Book Antiqua" w:hAnsi="Book Antiqua"/>
                <w:color w:val="000000" w:themeColor="text1"/>
                <w:sz w:val="24"/>
              </w:rPr>
              <w:t>、所列舉之個人對該個體具重大影響或為該個體</w:t>
            </w:r>
            <w:r w:rsidRPr="00E224E9">
              <w:rPr>
                <w:rFonts w:ascii="Book Antiqua" w:hAnsi="Book Antiqua"/>
                <w:color w:val="000000" w:themeColor="text1"/>
                <w:sz w:val="24"/>
              </w:rPr>
              <w:t>(</w:t>
            </w:r>
            <w:r w:rsidRPr="00E224E9">
              <w:rPr>
                <w:rFonts w:ascii="Book Antiqua" w:hAnsi="Book Antiqua"/>
                <w:color w:val="000000" w:themeColor="text1"/>
                <w:sz w:val="24"/>
              </w:rPr>
              <w:t>或該個體之母公司</w:t>
            </w:r>
            <w:r w:rsidRPr="00E224E9">
              <w:rPr>
                <w:rFonts w:ascii="Book Antiqua" w:hAnsi="Book Antiqua"/>
                <w:color w:val="000000" w:themeColor="text1"/>
                <w:sz w:val="24"/>
              </w:rPr>
              <w:t>)</w:t>
            </w:r>
            <w:r w:rsidRPr="00E224E9">
              <w:rPr>
                <w:rFonts w:ascii="Book Antiqua" w:hAnsi="Book Antiqua"/>
                <w:color w:val="000000" w:themeColor="text1"/>
                <w:sz w:val="24"/>
              </w:rPr>
              <w:t>主要管理階層之成員。</w:t>
            </w:r>
          </w:p>
          <w:p w14:paraId="721CB3D9" w14:textId="77777777" w:rsidR="002D5D4F" w:rsidRPr="00E224E9" w:rsidRDefault="002D5D4F" w:rsidP="00C65703">
            <w:pPr>
              <w:keepNext/>
              <w:spacing w:line="440" w:lineRule="exact"/>
              <w:jc w:val="both"/>
              <w:rPr>
                <w:rFonts w:ascii="Book Antiqua" w:hAnsi="Book Antiqua"/>
                <w:color w:val="000000" w:themeColor="text1"/>
                <w:sz w:val="24"/>
              </w:rPr>
            </w:pPr>
            <w:r w:rsidRPr="00E224E9">
              <w:rPr>
                <w:rFonts w:ascii="Book Antiqua" w:hAnsi="Book Antiqua"/>
                <w:color w:val="000000" w:themeColor="text1"/>
                <w:sz w:val="24"/>
              </w:rPr>
              <w:t>個人之近親係指個人之家庭成員、在其與個體往來時，可能被預</w:t>
            </w:r>
            <w:r w:rsidRPr="00E224E9">
              <w:rPr>
                <w:rFonts w:ascii="Book Antiqua" w:hAnsi="Book Antiqua"/>
                <w:color w:val="000000" w:themeColor="text1"/>
                <w:sz w:val="24"/>
              </w:rPr>
              <w:lastRenderedPageBreak/>
              <w:t>期會影響該個人或受該個人影響者，包括：</w:t>
            </w:r>
          </w:p>
          <w:p w14:paraId="522C8AAF" w14:textId="77777777" w:rsidR="002D5D4F" w:rsidRPr="00E224E9" w:rsidRDefault="002D5D4F" w:rsidP="004373AD">
            <w:pPr>
              <w:keepNext/>
              <w:numPr>
                <w:ilvl w:val="1"/>
                <w:numId w:val="6"/>
              </w:numPr>
              <w:tabs>
                <w:tab w:val="clear" w:pos="-589"/>
                <w:tab w:val="num" w:pos="457"/>
              </w:tabs>
              <w:spacing w:line="440" w:lineRule="exact"/>
              <w:ind w:left="960" w:hanging="960"/>
              <w:jc w:val="both"/>
              <w:rPr>
                <w:rFonts w:ascii="Book Antiqua" w:hAnsi="Book Antiqua"/>
                <w:color w:val="000000" w:themeColor="text1"/>
                <w:sz w:val="24"/>
              </w:rPr>
            </w:pPr>
            <w:r w:rsidRPr="00E224E9">
              <w:rPr>
                <w:rFonts w:ascii="Book Antiqua" w:hAnsi="Book Antiqua"/>
                <w:color w:val="000000" w:themeColor="text1"/>
                <w:sz w:val="24"/>
              </w:rPr>
              <w:t>該個人之子女及配偶或同居人；</w:t>
            </w:r>
          </w:p>
          <w:p w14:paraId="11D14959" w14:textId="77777777" w:rsidR="002D5D4F" w:rsidRPr="00E224E9" w:rsidRDefault="002D5D4F" w:rsidP="004373AD">
            <w:pPr>
              <w:keepNext/>
              <w:numPr>
                <w:ilvl w:val="1"/>
                <w:numId w:val="6"/>
              </w:numPr>
              <w:tabs>
                <w:tab w:val="clear" w:pos="-589"/>
                <w:tab w:val="num" w:pos="457"/>
              </w:tabs>
              <w:spacing w:line="440" w:lineRule="exact"/>
              <w:ind w:left="960" w:hanging="960"/>
              <w:jc w:val="both"/>
              <w:rPr>
                <w:rFonts w:ascii="Book Antiqua" w:hAnsi="Book Antiqua"/>
                <w:color w:val="000000" w:themeColor="text1"/>
                <w:sz w:val="24"/>
              </w:rPr>
            </w:pPr>
            <w:r w:rsidRPr="00E224E9">
              <w:rPr>
                <w:rFonts w:ascii="Book Antiqua" w:hAnsi="Book Antiqua"/>
                <w:color w:val="000000" w:themeColor="text1"/>
                <w:sz w:val="24"/>
              </w:rPr>
              <w:t>該個人之配偶或同居人之子女；</w:t>
            </w:r>
          </w:p>
          <w:p w14:paraId="24F792C8" w14:textId="77777777" w:rsidR="002D5D4F" w:rsidRPr="00E224E9" w:rsidRDefault="002D5D4F" w:rsidP="004373AD">
            <w:pPr>
              <w:keepNext/>
              <w:numPr>
                <w:ilvl w:val="1"/>
                <w:numId w:val="6"/>
              </w:numPr>
              <w:tabs>
                <w:tab w:val="clear" w:pos="-589"/>
                <w:tab w:val="num" w:pos="457"/>
              </w:tabs>
              <w:spacing w:line="440" w:lineRule="exact"/>
              <w:ind w:left="960" w:hanging="960"/>
              <w:jc w:val="both"/>
              <w:rPr>
                <w:rFonts w:ascii="Book Antiqua" w:hAnsi="Book Antiqua"/>
                <w:color w:val="000000" w:themeColor="text1"/>
                <w:sz w:val="24"/>
              </w:rPr>
            </w:pPr>
            <w:r w:rsidRPr="00E224E9">
              <w:rPr>
                <w:rFonts w:ascii="Book Antiqua" w:hAnsi="Book Antiqua"/>
                <w:color w:val="000000" w:themeColor="text1"/>
                <w:sz w:val="24"/>
              </w:rPr>
              <w:t>該個人或其配偶或同居人之扶養親屬。</w:t>
            </w:r>
          </w:p>
          <w:p w14:paraId="48C6C604" w14:textId="77777777" w:rsidR="002D5D4F" w:rsidRPr="00E224E9" w:rsidRDefault="002D5D4F" w:rsidP="00C65703">
            <w:pPr>
              <w:keepNext/>
              <w:spacing w:line="440" w:lineRule="exact"/>
              <w:jc w:val="both"/>
              <w:rPr>
                <w:rFonts w:ascii="Book Antiqua" w:hAnsi="Book Antiqua"/>
                <w:color w:val="000000" w:themeColor="text1"/>
              </w:rPr>
            </w:pPr>
            <w:r w:rsidRPr="00E224E9">
              <w:rPr>
                <w:rFonts w:ascii="Book Antiqua" w:hAnsi="Book Antiqua"/>
                <w:color w:val="000000" w:themeColor="text1"/>
                <w:sz w:val="24"/>
              </w:rPr>
              <w:t>於判斷每一可能之關係人關係時，應注意該關係之實質，而非僅注意其法律形式。</w:t>
            </w:r>
          </w:p>
          <w:p w14:paraId="0CA76C9C" w14:textId="77777777" w:rsidR="002D5D4F" w:rsidRPr="00E224E9" w:rsidRDefault="002D5D4F" w:rsidP="00C65703">
            <w:pPr>
              <w:keepNext/>
              <w:spacing w:line="440" w:lineRule="exact"/>
              <w:jc w:val="both"/>
              <w:rPr>
                <w:rFonts w:ascii="Book Antiqua" w:hAnsi="Book Antiqua"/>
                <w:color w:val="000000" w:themeColor="text1"/>
                <w:sz w:val="24"/>
              </w:rPr>
            </w:pPr>
          </w:p>
        </w:tc>
      </w:tr>
      <w:tr w:rsidR="00E224E9" w:rsidRPr="00E224E9" w14:paraId="6795E131" w14:textId="77777777">
        <w:tc>
          <w:tcPr>
            <w:tcW w:w="2520" w:type="dxa"/>
          </w:tcPr>
          <w:p w14:paraId="7191C53F" w14:textId="77777777" w:rsidR="002D5D4F" w:rsidRPr="00E224E9" w:rsidRDefault="002D5D4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lastRenderedPageBreak/>
              <w:t>公司法</w:t>
            </w:r>
          </w:p>
        </w:tc>
        <w:tc>
          <w:tcPr>
            <w:tcW w:w="7004" w:type="dxa"/>
          </w:tcPr>
          <w:p w14:paraId="004908B0" w14:textId="77777777" w:rsidR="002D5D4F" w:rsidRPr="00E224E9" w:rsidRDefault="002D5D4F" w:rsidP="004373AD">
            <w:pPr>
              <w:keepNext/>
              <w:numPr>
                <w:ilvl w:val="0"/>
                <w:numId w:val="13"/>
              </w:numPr>
              <w:tabs>
                <w:tab w:val="clear" w:pos="2400"/>
                <w:tab w:val="num" w:pos="432"/>
              </w:tabs>
              <w:spacing w:line="440" w:lineRule="exact"/>
              <w:ind w:left="432" w:hanging="432"/>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369-1</w:t>
            </w:r>
            <w:r w:rsidRPr="00E224E9">
              <w:rPr>
                <w:rFonts w:ascii="Book Antiqua" w:hAnsi="標楷體"/>
                <w:color w:val="000000" w:themeColor="text1"/>
                <w:sz w:val="24"/>
              </w:rPr>
              <w:t>條：</w:t>
            </w:r>
          </w:p>
          <w:p w14:paraId="0CDEF2BA" w14:textId="77777777" w:rsidR="002D5D4F" w:rsidRPr="00E224E9" w:rsidRDefault="002D5D4F">
            <w:pPr>
              <w:keepNext/>
              <w:tabs>
                <w:tab w:val="num" w:pos="432"/>
              </w:tabs>
              <w:spacing w:line="440" w:lineRule="exact"/>
              <w:ind w:firstLineChars="245" w:firstLine="588"/>
              <w:jc w:val="both"/>
              <w:rPr>
                <w:rFonts w:ascii="Book Antiqua" w:hAnsi="Book Antiqua"/>
                <w:color w:val="000000" w:themeColor="text1"/>
                <w:sz w:val="24"/>
              </w:rPr>
            </w:pPr>
            <w:r w:rsidRPr="00E224E9">
              <w:rPr>
                <w:rFonts w:ascii="Book Antiqua" w:hAnsi="標楷體"/>
                <w:color w:val="000000" w:themeColor="text1"/>
                <w:kern w:val="0"/>
                <w:sz w:val="24"/>
              </w:rPr>
              <w:t>所稱關係企業，指獨立存在而相互間具有下列關係之企業：</w:t>
            </w:r>
          </w:p>
          <w:p w14:paraId="6012722E" w14:textId="77777777" w:rsidR="002D5D4F" w:rsidRPr="00E224E9" w:rsidRDefault="002D5D4F" w:rsidP="004373AD">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E224E9">
              <w:rPr>
                <w:rFonts w:ascii="Book Antiqua" w:hAnsi="標楷體"/>
                <w:color w:val="000000" w:themeColor="text1"/>
                <w:kern w:val="0"/>
                <w:sz w:val="24"/>
              </w:rPr>
              <w:t>有控制與從屬關係之公司。</w:t>
            </w:r>
          </w:p>
          <w:p w14:paraId="3EB34829" w14:textId="77777777" w:rsidR="002D5D4F" w:rsidRPr="00E224E9" w:rsidRDefault="002D5D4F" w:rsidP="004373AD">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E224E9">
              <w:rPr>
                <w:rFonts w:ascii="Book Antiqua" w:hAnsi="標楷體"/>
                <w:color w:val="000000" w:themeColor="text1"/>
                <w:kern w:val="0"/>
                <w:sz w:val="24"/>
              </w:rPr>
              <w:t>相互投資之公司。</w:t>
            </w:r>
          </w:p>
          <w:p w14:paraId="7EE4284E" w14:textId="77777777" w:rsidR="002D5D4F" w:rsidRPr="00E224E9" w:rsidRDefault="002D5D4F" w:rsidP="004373AD">
            <w:pPr>
              <w:keepNext/>
              <w:numPr>
                <w:ilvl w:val="0"/>
                <w:numId w:val="13"/>
              </w:numPr>
              <w:tabs>
                <w:tab w:val="clear" w:pos="2400"/>
                <w:tab w:val="num" w:pos="432"/>
              </w:tabs>
              <w:spacing w:line="440" w:lineRule="exact"/>
              <w:ind w:left="432" w:hanging="432"/>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369-2</w:t>
            </w:r>
            <w:r w:rsidRPr="00E224E9">
              <w:rPr>
                <w:rFonts w:ascii="Book Antiqua" w:hAnsi="標楷體"/>
                <w:color w:val="000000" w:themeColor="text1"/>
                <w:sz w:val="24"/>
              </w:rPr>
              <w:t>條：</w:t>
            </w:r>
          </w:p>
          <w:p w14:paraId="11EB2942" w14:textId="77777777" w:rsidR="002D5D4F" w:rsidRPr="00E224E9" w:rsidRDefault="002D5D4F">
            <w:pPr>
              <w:keepNext/>
              <w:spacing w:line="440" w:lineRule="exact"/>
              <w:ind w:firstLineChars="245" w:firstLine="588"/>
              <w:jc w:val="both"/>
              <w:rPr>
                <w:rFonts w:ascii="Book Antiqua" w:hAnsi="Book Antiqua"/>
                <w:color w:val="000000" w:themeColor="text1"/>
                <w:kern w:val="0"/>
                <w:sz w:val="24"/>
              </w:rPr>
            </w:pPr>
            <w:r w:rsidRPr="00E224E9">
              <w:rPr>
                <w:rFonts w:ascii="Book Antiqua" w:hAnsi="標楷體"/>
                <w:color w:val="000000" w:themeColor="text1"/>
                <w:kern w:val="0"/>
                <w:sz w:val="24"/>
              </w:rPr>
              <w:t>公司持有他公司有表決權之股份或出資額，超過他公司已發行有表決權之股份總數或資本總額半數者為控制公司，該他公司為從屬公司。</w:t>
            </w:r>
          </w:p>
          <w:p w14:paraId="059A7244" w14:textId="77777777" w:rsidR="002D5D4F" w:rsidRPr="00E224E9" w:rsidRDefault="002D5D4F">
            <w:pPr>
              <w:keepNext/>
              <w:tabs>
                <w:tab w:val="num" w:pos="432"/>
              </w:tabs>
              <w:spacing w:line="440" w:lineRule="exact"/>
              <w:ind w:firstLineChars="245" w:firstLine="588"/>
              <w:jc w:val="both"/>
              <w:rPr>
                <w:rFonts w:ascii="Book Antiqua" w:hAnsi="Book Antiqua"/>
                <w:color w:val="000000" w:themeColor="text1"/>
                <w:sz w:val="24"/>
              </w:rPr>
            </w:pPr>
            <w:r w:rsidRPr="00E224E9">
              <w:rPr>
                <w:rFonts w:ascii="Book Antiqua" w:hAnsi="標楷體"/>
                <w:color w:val="000000" w:themeColor="text1"/>
                <w:kern w:val="0"/>
                <w:sz w:val="24"/>
              </w:rPr>
              <w:t>除前項外，公司直接或間接控制他公司之人事、財務或業務經營者亦為控制公司，該他公司為從屬公司。</w:t>
            </w:r>
          </w:p>
          <w:p w14:paraId="111E5167" w14:textId="77777777" w:rsidR="002D5D4F" w:rsidRPr="00E224E9" w:rsidRDefault="002D5D4F" w:rsidP="004373AD">
            <w:pPr>
              <w:keepNext/>
              <w:numPr>
                <w:ilvl w:val="0"/>
                <w:numId w:val="13"/>
              </w:numPr>
              <w:tabs>
                <w:tab w:val="clear" w:pos="2400"/>
                <w:tab w:val="num" w:pos="432"/>
              </w:tabs>
              <w:spacing w:line="440" w:lineRule="exact"/>
              <w:ind w:hanging="24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369-3</w:t>
            </w:r>
            <w:r w:rsidRPr="00E224E9">
              <w:rPr>
                <w:rFonts w:ascii="Book Antiqua" w:hAnsi="標楷體"/>
                <w:color w:val="000000" w:themeColor="text1"/>
                <w:sz w:val="24"/>
              </w:rPr>
              <w:t>條：</w:t>
            </w:r>
          </w:p>
          <w:p w14:paraId="5325A6D2" w14:textId="77777777" w:rsidR="002D5D4F" w:rsidRPr="00E224E9" w:rsidRDefault="002D5D4F">
            <w:pPr>
              <w:keepNext/>
              <w:spacing w:line="440" w:lineRule="exact"/>
              <w:ind w:firstLineChars="225" w:firstLine="540"/>
              <w:jc w:val="both"/>
              <w:rPr>
                <w:rFonts w:ascii="Book Antiqua" w:hAnsi="Book Antiqua"/>
                <w:color w:val="000000" w:themeColor="text1"/>
                <w:kern w:val="0"/>
                <w:sz w:val="24"/>
              </w:rPr>
            </w:pPr>
            <w:r w:rsidRPr="00E224E9">
              <w:rPr>
                <w:rFonts w:ascii="Book Antiqua" w:hAnsi="標楷體"/>
                <w:color w:val="000000" w:themeColor="text1"/>
                <w:kern w:val="0"/>
                <w:sz w:val="24"/>
              </w:rPr>
              <w:t>有下列情形之一者，推定為有控制與從屬關係：</w:t>
            </w:r>
          </w:p>
          <w:p w14:paraId="667DAE4A" w14:textId="77777777" w:rsidR="002D5D4F" w:rsidRPr="00E224E9" w:rsidRDefault="002D5D4F" w:rsidP="004373AD">
            <w:pPr>
              <w:keepNext/>
              <w:numPr>
                <w:ilvl w:val="2"/>
                <w:numId w:val="13"/>
              </w:numPr>
              <w:tabs>
                <w:tab w:val="clear" w:pos="1320"/>
                <w:tab w:val="left" w:pos="735"/>
              </w:tabs>
              <w:spacing w:line="440" w:lineRule="exact"/>
              <w:ind w:left="2" w:firstLineChars="224" w:firstLine="538"/>
              <w:jc w:val="both"/>
              <w:rPr>
                <w:rFonts w:ascii="Book Antiqua" w:hAnsi="Book Antiqua"/>
                <w:color w:val="000000" w:themeColor="text1"/>
                <w:sz w:val="24"/>
              </w:rPr>
            </w:pPr>
            <w:r w:rsidRPr="00E224E9">
              <w:rPr>
                <w:rFonts w:ascii="Book Antiqua" w:hAnsi="標楷體"/>
                <w:color w:val="000000" w:themeColor="text1"/>
                <w:kern w:val="0"/>
                <w:sz w:val="24"/>
              </w:rPr>
              <w:t>公司與他公司之執行業務股東或董事有半數以上相同者。</w:t>
            </w:r>
          </w:p>
          <w:p w14:paraId="7E942B37" w14:textId="77777777" w:rsidR="002D5D4F" w:rsidRPr="00E224E9" w:rsidRDefault="002D5D4F" w:rsidP="004373AD">
            <w:pPr>
              <w:keepNext/>
              <w:numPr>
                <w:ilvl w:val="2"/>
                <w:numId w:val="13"/>
              </w:numPr>
              <w:tabs>
                <w:tab w:val="clear" w:pos="1320"/>
                <w:tab w:val="left" w:pos="735"/>
              </w:tabs>
              <w:spacing w:line="440" w:lineRule="exact"/>
              <w:ind w:left="720" w:hanging="181"/>
              <w:jc w:val="both"/>
              <w:rPr>
                <w:rFonts w:ascii="Book Antiqua" w:hAnsi="Book Antiqua"/>
                <w:color w:val="000000" w:themeColor="text1"/>
                <w:sz w:val="24"/>
              </w:rPr>
            </w:pPr>
            <w:r w:rsidRPr="00E224E9">
              <w:rPr>
                <w:rFonts w:ascii="Book Antiqua" w:hAnsi="標楷體"/>
                <w:color w:val="000000" w:themeColor="text1"/>
                <w:kern w:val="0"/>
                <w:sz w:val="24"/>
              </w:rPr>
              <w:t>公司與他公司之已發行有表決權之股份總數或資本總額有半數以上為相同之股東持有或出資者。</w:t>
            </w:r>
          </w:p>
          <w:p w14:paraId="154AD11F" w14:textId="77777777" w:rsidR="002D5D4F" w:rsidRPr="00E224E9" w:rsidRDefault="002D5D4F" w:rsidP="004373AD">
            <w:pPr>
              <w:keepNext/>
              <w:numPr>
                <w:ilvl w:val="0"/>
                <w:numId w:val="13"/>
              </w:numPr>
              <w:tabs>
                <w:tab w:val="clear" w:pos="2400"/>
                <w:tab w:val="num" w:pos="432"/>
              </w:tabs>
              <w:spacing w:line="440" w:lineRule="exact"/>
              <w:ind w:hanging="24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369-9</w:t>
            </w:r>
            <w:r w:rsidRPr="00E224E9">
              <w:rPr>
                <w:rFonts w:ascii="Book Antiqua" w:hAnsi="標楷體"/>
                <w:color w:val="000000" w:themeColor="text1"/>
                <w:sz w:val="24"/>
              </w:rPr>
              <w:t>條：</w:t>
            </w:r>
          </w:p>
          <w:p w14:paraId="72455AB7" w14:textId="77777777" w:rsidR="002D5D4F" w:rsidRPr="00E224E9" w:rsidRDefault="002D5D4F">
            <w:pPr>
              <w:keepNext/>
              <w:spacing w:line="440" w:lineRule="exact"/>
              <w:ind w:firstLineChars="225" w:firstLine="540"/>
              <w:jc w:val="both"/>
              <w:rPr>
                <w:rFonts w:ascii="Book Antiqua" w:hAnsi="Book Antiqua"/>
                <w:color w:val="000000" w:themeColor="text1"/>
                <w:kern w:val="0"/>
                <w:sz w:val="24"/>
              </w:rPr>
            </w:pPr>
            <w:r w:rsidRPr="00E224E9">
              <w:rPr>
                <w:rFonts w:ascii="Book Antiqua" w:hAnsi="標楷體"/>
                <w:color w:val="000000" w:themeColor="text1"/>
                <w:kern w:val="0"/>
                <w:sz w:val="24"/>
              </w:rPr>
              <w:t>公司與他公司相互投資各達對方有表決權之股份總數或資本總額三分之一以上者，為相互投資公司。</w:t>
            </w:r>
          </w:p>
          <w:p w14:paraId="69B6111E" w14:textId="77777777" w:rsidR="002D5D4F" w:rsidRPr="00E224E9" w:rsidRDefault="002D5D4F">
            <w:pPr>
              <w:keepNext/>
              <w:tabs>
                <w:tab w:val="num" w:pos="432"/>
              </w:tabs>
              <w:spacing w:line="440" w:lineRule="exact"/>
              <w:ind w:firstLineChars="225" w:firstLine="540"/>
              <w:jc w:val="both"/>
              <w:rPr>
                <w:rFonts w:ascii="Book Antiqua" w:hAnsi="Book Antiqua"/>
                <w:color w:val="000000" w:themeColor="text1"/>
                <w:sz w:val="24"/>
              </w:rPr>
            </w:pPr>
            <w:r w:rsidRPr="00E224E9">
              <w:rPr>
                <w:rFonts w:ascii="Book Antiqua" w:hAnsi="標楷體"/>
                <w:color w:val="000000" w:themeColor="text1"/>
                <w:kern w:val="0"/>
                <w:sz w:val="24"/>
              </w:rPr>
              <w:t>相互投資公司各持有對方已發行有表決權之股份總數或資本總額超過半數者，或互可直接或間接控制對方之人事、財務或業務經營者，互為控制公司與從屬公司。</w:t>
            </w:r>
          </w:p>
          <w:p w14:paraId="08BBA8CF" w14:textId="77777777" w:rsidR="002D5D4F" w:rsidRPr="00E224E9" w:rsidRDefault="002D5D4F" w:rsidP="004373AD">
            <w:pPr>
              <w:keepNext/>
              <w:numPr>
                <w:ilvl w:val="0"/>
                <w:numId w:val="13"/>
              </w:numPr>
              <w:tabs>
                <w:tab w:val="clear" w:pos="2400"/>
                <w:tab w:val="num" w:pos="432"/>
              </w:tabs>
              <w:spacing w:line="440" w:lineRule="exact"/>
              <w:ind w:hanging="24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369-11</w:t>
            </w:r>
            <w:r w:rsidRPr="00E224E9">
              <w:rPr>
                <w:rFonts w:ascii="Book Antiqua" w:hAnsi="標楷體"/>
                <w:color w:val="000000" w:themeColor="text1"/>
                <w:sz w:val="24"/>
              </w:rPr>
              <w:t>條：</w:t>
            </w:r>
          </w:p>
          <w:p w14:paraId="2247B8CF" w14:textId="77777777" w:rsidR="002D5D4F" w:rsidRPr="00E224E9" w:rsidRDefault="002D5D4F">
            <w:pPr>
              <w:keepNext/>
              <w:spacing w:line="440" w:lineRule="exact"/>
              <w:ind w:firstLineChars="225" w:firstLine="540"/>
              <w:jc w:val="both"/>
              <w:rPr>
                <w:rFonts w:ascii="Book Antiqua" w:hAnsi="Book Antiqua"/>
                <w:color w:val="000000" w:themeColor="text1"/>
                <w:kern w:val="0"/>
                <w:sz w:val="24"/>
              </w:rPr>
            </w:pPr>
            <w:r w:rsidRPr="00E224E9">
              <w:rPr>
                <w:rFonts w:ascii="Book Antiqua" w:hAnsi="標楷體"/>
                <w:color w:val="000000" w:themeColor="text1"/>
                <w:kern w:val="0"/>
                <w:sz w:val="24"/>
              </w:rPr>
              <w:t>計算本章公司所持有他公司之股份或出資額，應連同左列各</w:t>
            </w:r>
            <w:r w:rsidRPr="00E224E9">
              <w:rPr>
                <w:rFonts w:ascii="Book Antiqua" w:hAnsi="標楷體"/>
                <w:color w:val="000000" w:themeColor="text1"/>
                <w:kern w:val="0"/>
                <w:sz w:val="24"/>
              </w:rPr>
              <w:lastRenderedPageBreak/>
              <w:t>款之股份或出資額一併計入：</w:t>
            </w:r>
          </w:p>
          <w:p w14:paraId="3489AC1A" w14:textId="77777777" w:rsidR="002D5D4F" w:rsidRPr="00E224E9" w:rsidRDefault="002D5D4F" w:rsidP="004373AD">
            <w:pPr>
              <w:keepNext/>
              <w:numPr>
                <w:ilvl w:val="0"/>
                <w:numId w:val="14"/>
              </w:numPr>
              <w:tabs>
                <w:tab w:val="clear" w:pos="1320"/>
                <w:tab w:val="num" w:pos="720"/>
              </w:tabs>
              <w:spacing w:line="440" w:lineRule="exact"/>
              <w:ind w:hanging="780"/>
              <w:jc w:val="both"/>
              <w:rPr>
                <w:rFonts w:ascii="Book Antiqua" w:hAnsi="Book Antiqua"/>
                <w:color w:val="000000" w:themeColor="text1"/>
                <w:sz w:val="24"/>
              </w:rPr>
            </w:pPr>
            <w:r w:rsidRPr="00E224E9">
              <w:rPr>
                <w:rFonts w:ascii="Book Antiqua" w:hAnsi="標楷體"/>
                <w:color w:val="000000" w:themeColor="text1"/>
                <w:kern w:val="0"/>
                <w:sz w:val="24"/>
              </w:rPr>
              <w:t>公司之從屬公司所持有他公司之股份或出資額。</w:t>
            </w:r>
          </w:p>
          <w:p w14:paraId="209C1F30" w14:textId="77777777" w:rsidR="002D5D4F" w:rsidRPr="00E224E9" w:rsidRDefault="002D5D4F" w:rsidP="004373AD">
            <w:pPr>
              <w:keepNext/>
              <w:numPr>
                <w:ilvl w:val="0"/>
                <w:numId w:val="14"/>
              </w:numPr>
              <w:tabs>
                <w:tab w:val="clear" w:pos="1320"/>
                <w:tab w:val="num" w:pos="720"/>
              </w:tabs>
              <w:spacing w:line="440" w:lineRule="exact"/>
              <w:ind w:hanging="780"/>
              <w:jc w:val="both"/>
              <w:rPr>
                <w:rFonts w:ascii="Book Antiqua" w:hAnsi="Book Antiqua"/>
                <w:color w:val="000000" w:themeColor="text1"/>
                <w:sz w:val="24"/>
              </w:rPr>
            </w:pPr>
            <w:r w:rsidRPr="00E224E9">
              <w:rPr>
                <w:rFonts w:ascii="Book Antiqua" w:hAnsi="標楷體"/>
                <w:color w:val="000000" w:themeColor="text1"/>
                <w:kern w:val="0"/>
                <w:sz w:val="24"/>
              </w:rPr>
              <w:t>第三人為該公司而持有之股份或出資額。</w:t>
            </w:r>
          </w:p>
          <w:p w14:paraId="206541B1" w14:textId="77777777" w:rsidR="002D5D4F" w:rsidRPr="00E224E9" w:rsidRDefault="002D5D4F" w:rsidP="004373AD">
            <w:pPr>
              <w:keepNext/>
              <w:numPr>
                <w:ilvl w:val="0"/>
                <w:numId w:val="14"/>
              </w:numPr>
              <w:tabs>
                <w:tab w:val="clear" w:pos="1320"/>
                <w:tab w:val="num" w:pos="720"/>
              </w:tabs>
              <w:spacing w:line="440" w:lineRule="exact"/>
              <w:ind w:hanging="780"/>
              <w:jc w:val="both"/>
              <w:rPr>
                <w:rFonts w:ascii="Book Antiqua" w:hAnsi="Book Antiqua"/>
                <w:color w:val="000000" w:themeColor="text1"/>
                <w:sz w:val="24"/>
              </w:rPr>
            </w:pPr>
            <w:r w:rsidRPr="00E224E9">
              <w:rPr>
                <w:rFonts w:ascii="Book Antiqua" w:hAnsi="標楷體"/>
                <w:color w:val="000000" w:themeColor="text1"/>
                <w:kern w:val="0"/>
                <w:sz w:val="24"/>
              </w:rPr>
              <w:t>第三人為該公司之從屬公司而持有之股份或出資額。</w:t>
            </w:r>
          </w:p>
        </w:tc>
      </w:tr>
      <w:tr w:rsidR="002D5D4F" w:rsidRPr="00E224E9" w14:paraId="54C308B3" w14:textId="77777777">
        <w:tc>
          <w:tcPr>
            <w:tcW w:w="2520" w:type="dxa"/>
          </w:tcPr>
          <w:p w14:paraId="7BECEFFC" w14:textId="77777777" w:rsidR="002D5D4F" w:rsidRPr="00E224E9" w:rsidRDefault="002D5D4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lastRenderedPageBreak/>
              <w:t>關係企業合併營業報告書關係企業合併財務報表及關係報告書編製準則</w:t>
            </w:r>
          </w:p>
        </w:tc>
        <w:tc>
          <w:tcPr>
            <w:tcW w:w="7004" w:type="dxa"/>
            <w:vAlign w:val="center"/>
          </w:tcPr>
          <w:p w14:paraId="4BBF98EC"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第六條</w:t>
            </w:r>
          </w:p>
          <w:p w14:paraId="105A71AD"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公開發行公司於判斷為有關係企業之控制與從屬關係時，除依其法律之關係外，應考慮其實質關係。</w:t>
            </w:r>
          </w:p>
          <w:p w14:paraId="78C7A873"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公開發行公司有下列情形之一者，應依本準則規定編製關係企業合併營業報告書及關係企業合併財務報表。但有相關事證證明無控制與從屬關係者，不在此限。</w:t>
            </w:r>
          </w:p>
          <w:p w14:paraId="1E96433C"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一、取得他公司過半數之董事席位者。</w:t>
            </w:r>
          </w:p>
          <w:p w14:paraId="059E073A"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二、指派人員獲聘為他公司總經理者。</w:t>
            </w:r>
          </w:p>
          <w:p w14:paraId="1A87F8EA"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三、對他公司依合資經營契約規定，擁有經營權者。</w:t>
            </w:r>
          </w:p>
          <w:p w14:paraId="6D64EF5D"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四、對他公司資金融通金額達他公司總資產之三分之一以上者。</w:t>
            </w:r>
          </w:p>
          <w:p w14:paraId="543FB221"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五、對他公司背書保證金額達他公司總資產之三分之一以上者。</w:t>
            </w:r>
          </w:p>
          <w:p w14:paraId="2AA172D5"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公開發行公司依前項各款判斷為屬從屬關係者，應依本準則規定編製關係報告書。但有相關事證證明無控制與從屬關係者，不在此限。</w:t>
            </w:r>
          </w:p>
          <w:p w14:paraId="0EBF1CDD"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公開發行公司因前二項規定依有關事證證明無控制與從屬關係者，應於關係企業合併營業報告書或關係報告書揭露未納入編製之公司名稱及原因。</w:t>
            </w:r>
          </w:p>
        </w:tc>
      </w:tr>
    </w:tbl>
    <w:p w14:paraId="5931A0A1" w14:textId="77777777" w:rsidR="00065C53" w:rsidRPr="00E224E9" w:rsidRDefault="00065C53">
      <w:pPr>
        <w:pStyle w:val="af1"/>
        <w:spacing w:line="440" w:lineRule="exact"/>
        <w:jc w:val="both"/>
        <w:rPr>
          <w:rFonts w:ascii="Book Antiqua" w:eastAsia="標楷體" w:hAnsi="Book Antiqua"/>
          <w:color w:val="000000" w:themeColor="text1"/>
          <w:sz w:val="24"/>
          <w:szCs w:val="24"/>
        </w:rPr>
      </w:pPr>
    </w:p>
    <w:p w14:paraId="5FEC2604" w14:textId="77777777" w:rsidR="00065C53" w:rsidRPr="00E224E9" w:rsidRDefault="00065C53" w:rsidP="004373AD">
      <w:pPr>
        <w:numPr>
          <w:ilvl w:val="0"/>
          <w:numId w:val="10"/>
        </w:numPr>
        <w:tabs>
          <w:tab w:val="clear" w:pos="2400"/>
          <w:tab w:val="num" w:pos="540"/>
        </w:tabs>
        <w:spacing w:line="440" w:lineRule="exact"/>
        <w:ind w:hanging="2400"/>
        <w:jc w:val="both"/>
        <w:rPr>
          <w:rFonts w:ascii="Book Antiqua" w:hAnsi="Book Antiqua"/>
          <w:color w:val="000000" w:themeColor="text1"/>
          <w:sz w:val="24"/>
        </w:rPr>
      </w:pPr>
      <w:r w:rsidRPr="00E224E9">
        <w:rPr>
          <w:rFonts w:ascii="Book Antiqua" w:hAnsi="標楷體"/>
          <w:color w:val="000000" w:themeColor="text1"/>
          <w:sz w:val="24"/>
        </w:rPr>
        <w:t>關係人之分類</w:t>
      </w:r>
    </w:p>
    <w:p w14:paraId="017B4604" w14:textId="77777777" w:rsidR="00065C53" w:rsidRPr="00E224E9" w:rsidRDefault="00065C53">
      <w:pPr>
        <w:pStyle w:val="af1"/>
        <w:spacing w:line="440" w:lineRule="exact"/>
        <w:ind w:firstLineChars="225" w:firstLine="540"/>
        <w:jc w:val="both"/>
        <w:rPr>
          <w:rFonts w:ascii="Book Antiqua" w:eastAsia="標楷體" w:hAnsi="Book Antiqua"/>
          <w:color w:val="000000" w:themeColor="text1"/>
          <w:sz w:val="24"/>
          <w:szCs w:val="24"/>
        </w:rPr>
      </w:pPr>
      <w:r w:rsidRPr="00E224E9">
        <w:rPr>
          <w:rFonts w:ascii="Book Antiqua" w:eastAsia="標楷體" w:hAnsi="標楷體"/>
          <w:color w:val="000000" w:themeColor="text1"/>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139C3C5" w14:textId="77777777" w:rsidR="00065C53" w:rsidRPr="00E224E9" w:rsidRDefault="00065C53">
      <w:pPr>
        <w:tabs>
          <w:tab w:val="left" w:pos="180"/>
          <w:tab w:val="left" w:pos="360"/>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所稱「控制能力」係指為期能從一經濟活動中獲益，而具有對其他個體財務、營運及人事方針加以主導及監管之能力。其判斷原則如下：</w:t>
      </w:r>
      <w:r w:rsidRPr="00E224E9">
        <w:rPr>
          <w:rFonts w:ascii="Book Antiqua" w:hAnsi="Book Antiqua"/>
          <w:color w:val="000000" w:themeColor="text1"/>
          <w:sz w:val="24"/>
        </w:rPr>
        <w:t xml:space="preserve"> </w:t>
      </w:r>
    </w:p>
    <w:p w14:paraId="50183EDF" w14:textId="77777777" w:rsidR="00065C53" w:rsidRPr="00E224E9" w:rsidRDefault="00065C53" w:rsidP="004373AD">
      <w:pPr>
        <w:numPr>
          <w:ilvl w:val="0"/>
          <w:numId w:val="12"/>
        </w:numPr>
        <w:tabs>
          <w:tab w:val="clear" w:pos="1320"/>
          <w:tab w:val="left" w:pos="18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投資公司直接或間接持有被投資公司有表決權之股份超過</w:t>
      </w:r>
      <w:r w:rsidRPr="00E224E9">
        <w:rPr>
          <w:rFonts w:ascii="Book Antiqua" w:hAnsi="Book Antiqua"/>
          <w:color w:val="000000" w:themeColor="text1"/>
          <w:sz w:val="24"/>
        </w:rPr>
        <w:t>50%</w:t>
      </w:r>
      <w:r w:rsidRPr="00E224E9">
        <w:rPr>
          <w:rFonts w:ascii="Book Antiqua" w:hAnsi="標楷體"/>
          <w:color w:val="000000" w:themeColor="text1"/>
          <w:sz w:val="24"/>
        </w:rPr>
        <w:t>以上者，即對被投資公司具有控制能力，但有證據顯示其持股未具有控制能力者，不在此限。</w:t>
      </w:r>
    </w:p>
    <w:p w14:paraId="4D30E261" w14:textId="77777777" w:rsidR="00065C53" w:rsidRPr="00E224E9" w:rsidRDefault="00065C53" w:rsidP="004373AD">
      <w:pPr>
        <w:numPr>
          <w:ilvl w:val="0"/>
          <w:numId w:val="12"/>
        </w:numPr>
        <w:tabs>
          <w:tab w:val="clear" w:pos="1320"/>
          <w:tab w:val="left" w:pos="18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投資公司直接或間接持有被投資公司有表決權之股份雖未超過</w:t>
      </w:r>
      <w:r w:rsidRPr="00E224E9">
        <w:rPr>
          <w:rFonts w:ascii="Book Antiqua" w:hAnsi="Book Antiqua"/>
          <w:color w:val="000000" w:themeColor="text1"/>
          <w:sz w:val="24"/>
        </w:rPr>
        <w:t>50%</w:t>
      </w:r>
      <w:r w:rsidRPr="00E224E9">
        <w:rPr>
          <w:rFonts w:ascii="Book Antiqua" w:hAnsi="標楷體"/>
          <w:color w:val="000000" w:themeColor="text1"/>
          <w:sz w:val="24"/>
        </w:rPr>
        <w:t>，但若有下列情況之ㄧ者，仍視為對被投資公司有控制能力：</w:t>
      </w:r>
    </w:p>
    <w:p w14:paraId="67697642" w14:textId="77777777" w:rsidR="00065C53" w:rsidRPr="00E224E9" w:rsidRDefault="00065C53" w:rsidP="004373AD">
      <w:pPr>
        <w:numPr>
          <w:ilvl w:val="1"/>
          <w:numId w:val="12"/>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E224E9">
        <w:rPr>
          <w:rFonts w:ascii="Book Antiqua" w:hAnsi="標楷體"/>
          <w:color w:val="000000" w:themeColor="text1"/>
          <w:sz w:val="24"/>
        </w:rPr>
        <w:t>與其他投資人約定下，具超過半數之有表決權股份之能力。</w:t>
      </w:r>
    </w:p>
    <w:p w14:paraId="53EAA5B5" w14:textId="77777777" w:rsidR="00065C53" w:rsidRPr="00E224E9" w:rsidRDefault="00065C53" w:rsidP="004373AD">
      <w:pPr>
        <w:numPr>
          <w:ilvl w:val="1"/>
          <w:numId w:val="12"/>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E224E9">
        <w:rPr>
          <w:rFonts w:ascii="Book Antiqua" w:hAnsi="標楷體"/>
          <w:color w:val="000000" w:themeColor="text1"/>
          <w:sz w:val="24"/>
        </w:rPr>
        <w:t>依法令或契約約定，可操控公司之財務、營運及人事方針。</w:t>
      </w:r>
    </w:p>
    <w:p w14:paraId="6BE3E186" w14:textId="77777777" w:rsidR="00065C53" w:rsidRPr="00E224E9" w:rsidRDefault="00065C53" w:rsidP="004373AD">
      <w:pPr>
        <w:numPr>
          <w:ilvl w:val="1"/>
          <w:numId w:val="12"/>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E224E9">
        <w:rPr>
          <w:rFonts w:ascii="Book Antiqua" w:hAnsi="標楷體"/>
          <w:color w:val="000000" w:themeColor="text1"/>
          <w:sz w:val="24"/>
        </w:rPr>
        <w:lastRenderedPageBreak/>
        <w:t>有權任免董事會</w:t>
      </w:r>
      <w:r w:rsidRPr="00E224E9">
        <w:rPr>
          <w:rFonts w:ascii="Book Antiqua" w:hAnsi="Book Antiqua"/>
          <w:color w:val="000000" w:themeColor="text1"/>
          <w:sz w:val="24"/>
        </w:rPr>
        <w:t>(</w:t>
      </w:r>
      <w:r w:rsidRPr="00E224E9">
        <w:rPr>
          <w:rFonts w:ascii="Book Antiqua" w:hAnsi="標楷體"/>
          <w:color w:val="000000" w:themeColor="text1"/>
          <w:sz w:val="24"/>
        </w:rPr>
        <w:t>或約當組織</w:t>
      </w:r>
      <w:r w:rsidRPr="00E224E9">
        <w:rPr>
          <w:rFonts w:ascii="Book Antiqua" w:hAnsi="Book Antiqua"/>
          <w:color w:val="000000" w:themeColor="text1"/>
          <w:sz w:val="24"/>
        </w:rPr>
        <w:t>)</w:t>
      </w:r>
      <w:r w:rsidRPr="00E224E9">
        <w:rPr>
          <w:rFonts w:ascii="Book Antiqua" w:hAnsi="標楷體"/>
          <w:color w:val="000000" w:themeColor="text1"/>
          <w:sz w:val="24"/>
        </w:rPr>
        <w:t>超過半數之主要成員，且公司之控制操控於該董事會</w:t>
      </w:r>
      <w:r w:rsidRPr="00E224E9">
        <w:rPr>
          <w:rFonts w:ascii="Book Antiqua" w:hAnsi="Book Antiqua"/>
          <w:color w:val="000000" w:themeColor="text1"/>
          <w:sz w:val="24"/>
        </w:rPr>
        <w:t>(</w:t>
      </w:r>
      <w:r w:rsidRPr="00E224E9">
        <w:rPr>
          <w:rFonts w:ascii="Book Antiqua" w:hAnsi="標楷體"/>
          <w:color w:val="000000" w:themeColor="text1"/>
          <w:sz w:val="24"/>
        </w:rPr>
        <w:t>或約當組織</w:t>
      </w:r>
      <w:r w:rsidRPr="00E224E9">
        <w:rPr>
          <w:rFonts w:ascii="Book Antiqua" w:hAnsi="Book Antiqua"/>
          <w:color w:val="000000" w:themeColor="text1"/>
          <w:sz w:val="24"/>
        </w:rPr>
        <w:t>)</w:t>
      </w:r>
      <w:r w:rsidRPr="00E224E9">
        <w:rPr>
          <w:rFonts w:ascii="Book Antiqua" w:hAnsi="標楷體"/>
          <w:color w:val="000000" w:themeColor="text1"/>
          <w:sz w:val="24"/>
        </w:rPr>
        <w:t>。</w:t>
      </w:r>
    </w:p>
    <w:p w14:paraId="204FCA8B" w14:textId="77777777" w:rsidR="00065C53" w:rsidRPr="00E224E9" w:rsidRDefault="00065C53" w:rsidP="004373AD">
      <w:pPr>
        <w:numPr>
          <w:ilvl w:val="1"/>
          <w:numId w:val="12"/>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E224E9">
        <w:rPr>
          <w:rFonts w:ascii="Book Antiqua" w:hAnsi="標楷體"/>
          <w:color w:val="000000" w:themeColor="text1"/>
          <w:sz w:val="24"/>
        </w:rPr>
        <w:t>有權主導董事</w:t>
      </w:r>
      <w:r w:rsidRPr="00E224E9">
        <w:rPr>
          <w:rFonts w:ascii="Book Antiqua" w:hAnsi="Book Antiqua"/>
          <w:color w:val="000000" w:themeColor="text1"/>
          <w:sz w:val="24"/>
        </w:rPr>
        <w:t>(</w:t>
      </w:r>
      <w:r w:rsidRPr="00E224E9">
        <w:rPr>
          <w:rFonts w:ascii="Book Antiqua" w:hAnsi="標楷體"/>
          <w:color w:val="000000" w:themeColor="text1"/>
          <w:sz w:val="24"/>
        </w:rPr>
        <w:t>或約當組織</w:t>
      </w:r>
      <w:r w:rsidRPr="00E224E9">
        <w:rPr>
          <w:rFonts w:ascii="Book Antiqua" w:hAnsi="Book Antiqua"/>
          <w:color w:val="000000" w:themeColor="text1"/>
          <w:sz w:val="24"/>
        </w:rPr>
        <w:t>)</w:t>
      </w:r>
      <w:r w:rsidRPr="00E224E9">
        <w:rPr>
          <w:rFonts w:ascii="Book Antiqua" w:hAnsi="標楷體"/>
          <w:color w:val="000000" w:themeColor="text1"/>
          <w:sz w:val="24"/>
        </w:rPr>
        <w:t>超過半數之投票權，且公司之控制操控於該董事會</w:t>
      </w:r>
      <w:r w:rsidRPr="00E224E9">
        <w:rPr>
          <w:rFonts w:ascii="Book Antiqua" w:hAnsi="Book Antiqua"/>
          <w:color w:val="000000" w:themeColor="text1"/>
          <w:sz w:val="24"/>
        </w:rPr>
        <w:t>(</w:t>
      </w:r>
      <w:r w:rsidRPr="00E224E9">
        <w:rPr>
          <w:rFonts w:ascii="Book Antiqua" w:hAnsi="標楷體"/>
          <w:color w:val="000000" w:themeColor="text1"/>
          <w:sz w:val="24"/>
        </w:rPr>
        <w:t>或約當組織</w:t>
      </w:r>
      <w:r w:rsidRPr="00E224E9">
        <w:rPr>
          <w:rFonts w:ascii="Book Antiqua" w:hAnsi="Book Antiqua"/>
          <w:color w:val="000000" w:themeColor="text1"/>
          <w:sz w:val="24"/>
        </w:rPr>
        <w:t>)</w:t>
      </w:r>
      <w:r w:rsidRPr="00E224E9">
        <w:rPr>
          <w:rFonts w:ascii="Book Antiqua" w:hAnsi="標楷體"/>
          <w:color w:val="000000" w:themeColor="text1"/>
          <w:sz w:val="24"/>
        </w:rPr>
        <w:t>。</w:t>
      </w:r>
    </w:p>
    <w:p w14:paraId="3019E986" w14:textId="77777777" w:rsidR="00065C53" w:rsidRPr="00E224E9" w:rsidRDefault="00065C53" w:rsidP="004373AD">
      <w:pPr>
        <w:numPr>
          <w:ilvl w:val="1"/>
          <w:numId w:val="12"/>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E224E9">
        <w:rPr>
          <w:rFonts w:ascii="Book Antiqua" w:hAnsi="標楷體"/>
          <w:color w:val="000000" w:themeColor="text1"/>
          <w:sz w:val="24"/>
        </w:rPr>
        <w:t>其他具有控制能力者。</w:t>
      </w:r>
    </w:p>
    <w:p w14:paraId="6D2087E7" w14:textId="77777777" w:rsidR="00065C53" w:rsidRPr="00E224E9" w:rsidRDefault="00065C53" w:rsidP="004373AD">
      <w:pPr>
        <w:numPr>
          <w:ilvl w:val="0"/>
          <w:numId w:val="12"/>
        </w:numPr>
        <w:tabs>
          <w:tab w:val="clear" w:pos="1320"/>
          <w:tab w:val="left" w:pos="18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評估投資公司是否對被投資公司具有控制能力時，應同時考量是否存在目前已可執行或轉換之潛在表決權</w:t>
      </w:r>
      <w:r w:rsidRPr="00E224E9">
        <w:rPr>
          <w:rFonts w:ascii="Book Antiqua" w:hAnsi="Book Antiqua"/>
          <w:color w:val="000000" w:themeColor="text1"/>
          <w:sz w:val="24"/>
        </w:rPr>
        <w:t>(</w:t>
      </w:r>
      <w:r w:rsidRPr="00E224E9">
        <w:rPr>
          <w:rFonts w:ascii="Book Antiqua" w:hAnsi="標楷體"/>
          <w:color w:val="000000" w:themeColor="text1"/>
          <w:sz w:val="24"/>
        </w:rPr>
        <w:t>包括其他公司所持有之部分</w:t>
      </w:r>
      <w:r w:rsidRPr="00E224E9">
        <w:rPr>
          <w:rFonts w:ascii="Book Antiqua" w:hAnsi="Book Antiqua"/>
          <w:color w:val="000000" w:themeColor="text1"/>
          <w:sz w:val="24"/>
        </w:rPr>
        <w:t>)</w:t>
      </w:r>
      <w:r w:rsidRPr="00E224E9">
        <w:rPr>
          <w:rFonts w:ascii="Book Antiqua" w:hAnsi="標楷體"/>
          <w:color w:val="000000" w:themeColor="text1"/>
          <w:sz w:val="24"/>
        </w:rPr>
        <w:t>及其影響，並審查所有影響潛在表決權之事實與環境</w:t>
      </w:r>
      <w:r w:rsidRPr="00E224E9">
        <w:rPr>
          <w:rFonts w:ascii="Book Antiqua" w:hAnsi="Book Antiqua"/>
          <w:color w:val="000000" w:themeColor="text1"/>
          <w:sz w:val="24"/>
        </w:rPr>
        <w:t>(</w:t>
      </w:r>
      <w:r w:rsidRPr="00E224E9">
        <w:rPr>
          <w:rFonts w:ascii="Book Antiqua" w:hAnsi="標楷體"/>
          <w:color w:val="000000" w:themeColor="text1"/>
          <w:sz w:val="24"/>
        </w:rPr>
        <w:t>包括個別或綜合考量潛在表決權執行之條款與任何其他合約之安排</w:t>
      </w:r>
      <w:r w:rsidRPr="00E224E9">
        <w:rPr>
          <w:rFonts w:ascii="Book Antiqua" w:hAnsi="Book Antiqua"/>
          <w:color w:val="000000" w:themeColor="text1"/>
          <w:sz w:val="24"/>
        </w:rPr>
        <w:t>)</w:t>
      </w:r>
      <w:r w:rsidRPr="00E224E9">
        <w:rPr>
          <w:rFonts w:ascii="Book Antiqua" w:hAnsi="標楷體"/>
          <w:color w:val="000000" w:themeColor="text1"/>
          <w:sz w:val="24"/>
        </w:rPr>
        <w:t>，但無須審查管理當局對執行或轉換之意圖及財務能力。</w:t>
      </w:r>
    </w:p>
    <w:p w14:paraId="140A9B09" w14:textId="77777777" w:rsidR="00065C53" w:rsidRPr="00E224E9" w:rsidRDefault="00065C53" w:rsidP="00922C13">
      <w:pPr>
        <w:pStyle w:val="1"/>
        <w:spacing w:after="120" w:line="440" w:lineRule="exact"/>
        <w:rPr>
          <w:color w:val="000000" w:themeColor="text1"/>
          <w:szCs w:val="40"/>
        </w:rPr>
      </w:pPr>
      <w:r w:rsidRPr="00E224E9">
        <w:rPr>
          <w:rFonts w:ascii="Book Antiqua" w:hAnsi="Book Antiqua"/>
          <w:color w:val="000000" w:themeColor="text1"/>
          <w:sz w:val="24"/>
        </w:rPr>
        <w:br w:type="page"/>
      </w:r>
      <w:bookmarkStart w:id="5" w:name="_Toc153382413"/>
      <w:bookmarkStart w:id="6" w:name="_Toc296928207"/>
      <w:bookmarkStart w:id="7" w:name="_Toc200468512"/>
      <w:r w:rsidRPr="00E224E9">
        <w:rPr>
          <w:color w:val="000000" w:themeColor="text1"/>
          <w:szCs w:val="40"/>
        </w:rPr>
        <w:lastRenderedPageBreak/>
        <w:t>表04：</w:t>
      </w:r>
      <w:r w:rsidR="00985F9D" w:rsidRPr="00E224E9">
        <w:rPr>
          <w:rFonts w:hint="eastAsia"/>
          <w:color w:val="000000" w:themeColor="text1"/>
          <w:szCs w:val="40"/>
        </w:rPr>
        <w:t>綜合</w:t>
      </w:r>
      <w:r w:rsidRPr="00E224E9">
        <w:rPr>
          <w:color w:val="000000" w:themeColor="text1"/>
          <w:szCs w:val="40"/>
        </w:rPr>
        <w:t>損益表</w:t>
      </w:r>
      <w:bookmarkEnd w:id="5"/>
      <w:bookmarkEnd w:id="6"/>
      <w:bookmarkEnd w:id="7"/>
    </w:p>
    <w:p w14:paraId="75EA7452" w14:textId="77777777" w:rsidR="00065C53" w:rsidRPr="00E224E9" w:rsidRDefault="00FA2D83">
      <w:pPr>
        <w:spacing w:line="440" w:lineRule="exact"/>
        <w:ind w:firstLineChars="207" w:firstLine="497"/>
        <w:jc w:val="both"/>
        <w:rPr>
          <w:rFonts w:ascii="Book Antiqua" w:hAnsi="Book Antiqua"/>
          <w:color w:val="000000" w:themeColor="text1"/>
          <w:sz w:val="24"/>
        </w:rPr>
      </w:pPr>
      <w:r w:rsidRPr="00E224E9">
        <w:rPr>
          <w:rFonts w:ascii="Book Antiqua" w:hAnsi="標楷體" w:hint="eastAsia"/>
          <w:color w:val="000000" w:themeColor="text1"/>
          <w:sz w:val="24"/>
        </w:rPr>
        <w:t>綜合</w:t>
      </w:r>
      <w:r w:rsidR="00065C53" w:rsidRPr="00E224E9">
        <w:rPr>
          <w:rFonts w:ascii="Book Antiqua" w:hAnsi="標楷體"/>
          <w:color w:val="000000" w:themeColor="text1"/>
          <w:sz w:val="24"/>
        </w:rPr>
        <w:t>損益表係表達保險業之經營成果。本說明的目的為配合相關法令規定及資本適足性制度填報需求，簡介該表之填列規則，以利保險公司之填報。</w:t>
      </w:r>
    </w:p>
    <w:p w14:paraId="3E7D55A4"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各收</w:t>
      </w:r>
      <w:r w:rsidR="00FA2D83" w:rsidRPr="00E224E9">
        <w:rPr>
          <w:rFonts w:ascii="Book Antiqua" w:hAnsi="標楷體" w:hint="eastAsia"/>
          <w:color w:val="000000" w:themeColor="text1"/>
          <w:sz w:val="24"/>
        </w:rPr>
        <w:t>益</w:t>
      </w:r>
      <w:r w:rsidRPr="00E224E9">
        <w:rPr>
          <w:rFonts w:ascii="Book Antiqua" w:hAnsi="標楷體"/>
          <w:color w:val="000000" w:themeColor="text1"/>
          <w:sz w:val="24"/>
        </w:rPr>
        <w:t>費</w:t>
      </w:r>
      <w:r w:rsidR="00FA2D83" w:rsidRPr="00E224E9">
        <w:rPr>
          <w:rFonts w:ascii="Book Antiqua" w:hAnsi="標楷體" w:hint="eastAsia"/>
          <w:color w:val="000000" w:themeColor="text1"/>
          <w:sz w:val="24"/>
        </w:rPr>
        <w:t>損</w:t>
      </w:r>
      <w:r w:rsidRPr="00E224E9">
        <w:rPr>
          <w:rFonts w:ascii="Book Antiqua" w:hAnsi="標楷體"/>
          <w:color w:val="000000" w:themeColor="text1"/>
          <w:sz w:val="24"/>
        </w:rPr>
        <w:t>之金額茲以下列九欄表示：</w:t>
      </w:r>
    </w:p>
    <w:p w14:paraId="694B452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欄－本期金額</w:t>
      </w:r>
    </w:p>
    <w:p w14:paraId="07A7C095"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係指保險公司依「保險業財務報告編製準則」所編製之財務報表，其</w:t>
      </w:r>
      <w:r w:rsidR="00FA2D83" w:rsidRPr="00E224E9">
        <w:rPr>
          <w:rFonts w:ascii="Book Antiqua" w:hAnsi="標楷體" w:hint="eastAsia"/>
          <w:color w:val="000000" w:themeColor="text1"/>
          <w:sz w:val="24"/>
        </w:rPr>
        <w:t>綜合</w:t>
      </w:r>
      <w:r w:rsidRPr="00E224E9">
        <w:rPr>
          <w:rFonts w:ascii="Book Antiqua" w:hAnsi="標楷體"/>
          <w:color w:val="000000" w:themeColor="text1"/>
          <w:sz w:val="24"/>
        </w:rPr>
        <w:t>損益表所帳列各項收</w:t>
      </w:r>
      <w:r w:rsidR="00FA2D83" w:rsidRPr="00E224E9">
        <w:rPr>
          <w:rFonts w:ascii="Book Antiqua" w:hAnsi="標楷體" w:hint="eastAsia"/>
          <w:color w:val="000000" w:themeColor="text1"/>
          <w:sz w:val="24"/>
        </w:rPr>
        <w:t>益</w:t>
      </w:r>
      <w:r w:rsidRPr="00E224E9">
        <w:rPr>
          <w:rFonts w:ascii="Book Antiqua" w:hAnsi="標楷體"/>
          <w:color w:val="000000" w:themeColor="text1"/>
          <w:sz w:val="24"/>
        </w:rPr>
        <w:t>費損的金額。</w:t>
      </w:r>
    </w:p>
    <w:p w14:paraId="4993D371"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欄－本期金額</w:t>
      </w:r>
      <w:r w:rsidRPr="00E224E9">
        <w:rPr>
          <w:rFonts w:ascii="Book Antiqua" w:hAnsi="Book Antiqua"/>
          <w:color w:val="000000" w:themeColor="text1"/>
          <w:sz w:val="24"/>
        </w:rPr>
        <w:t>%</w:t>
      </w:r>
    </w:p>
    <w:p w14:paraId="4723828C" w14:textId="77777777" w:rsidR="00065C53" w:rsidRPr="00E224E9" w:rsidRDefault="00065C53">
      <w:pPr>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本欄比率為第</w:t>
      </w:r>
      <w:r w:rsidRPr="00E224E9">
        <w:rPr>
          <w:rFonts w:ascii="Book Antiqua" w:hAnsi="Book Antiqua"/>
          <w:color w:val="000000" w:themeColor="text1"/>
          <w:sz w:val="24"/>
        </w:rPr>
        <w:t>2</w:t>
      </w:r>
      <w:r w:rsidRPr="00E224E9">
        <w:rPr>
          <w:rFonts w:ascii="Book Antiqua" w:hAnsi="標楷體"/>
          <w:color w:val="000000" w:themeColor="text1"/>
          <w:sz w:val="24"/>
        </w:rPr>
        <w:t>欄各列損益與第</w:t>
      </w:r>
      <w:r w:rsidRPr="00E224E9">
        <w:rPr>
          <w:rFonts w:ascii="Book Antiqua" w:hAnsi="Book Antiqua"/>
          <w:color w:val="000000" w:themeColor="text1"/>
          <w:sz w:val="24"/>
        </w:rPr>
        <w:t>2</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FA2D83" w:rsidRPr="00E224E9">
        <w:rPr>
          <w:rFonts w:ascii="Book Antiqua" w:hAnsi="Book Antiqua" w:hint="eastAsia"/>
          <w:color w:val="000000" w:themeColor="text1"/>
          <w:sz w:val="24"/>
        </w:rPr>
        <w:t>8</w:t>
      </w:r>
      <w:r w:rsidRPr="00E224E9">
        <w:rPr>
          <w:rFonts w:ascii="Book Antiqua" w:hAnsi="標楷體"/>
          <w:color w:val="000000" w:themeColor="text1"/>
          <w:sz w:val="24"/>
        </w:rPr>
        <w:t>列營業收入合計數之比。</w:t>
      </w:r>
    </w:p>
    <w:p w14:paraId="38540F4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欄－上期金額</w:t>
      </w:r>
    </w:p>
    <w:p w14:paraId="0BDBB9AB" w14:textId="77777777" w:rsidR="00065C53" w:rsidRPr="00E224E9" w:rsidRDefault="00065C53">
      <w:pPr>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本欄須與上期各損益項目之金額相一致。</w:t>
      </w:r>
    </w:p>
    <w:p w14:paraId="076E8D8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欄－上期金額</w:t>
      </w:r>
      <w:r w:rsidRPr="00E224E9">
        <w:rPr>
          <w:rFonts w:ascii="Book Antiqua" w:hAnsi="Book Antiqua"/>
          <w:color w:val="000000" w:themeColor="text1"/>
          <w:sz w:val="24"/>
        </w:rPr>
        <w:t>%</w:t>
      </w:r>
    </w:p>
    <w:p w14:paraId="3738DEB8"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本欄比率為第</w:t>
      </w:r>
      <w:r w:rsidRPr="00E224E9">
        <w:rPr>
          <w:rFonts w:ascii="Book Antiqua" w:hAnsi="Book Antiqua"/>
          <w:color w:val="000000" w:themeColor="text1"/>
          <w:sz w:val="24"/>
        </w:rPr>
        <w:t>4</w:t>
      </w:r>
      <w:r w:rsidRPr="00E224E9">
        <w:rPr>
          <w:rFonts w:ascii="Book Antiqua" w:hAnsi="標楷體"/>
          <w:color w:val="000000" w:themeColor="text1"/>
          <w:sz w:val="24"/>
        </w:rPr>
        <w:t>欄各列損益與第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FA2D83" w:rsidRPr="00E224E9">
        <w:rPr>
          <w:rFonts w:ascii="Book Antiqua" w:hAnsi="Book Antiqua" w:hint="eastAsia"/>
          <w:color w:val="000000" w:themeColor="text1"/>
          <w:sz w:val="24"/>
        </w:rPr>
        <w:t>8</w:t>
      </w:r>
      <w:r w:rsidRPr="00E224E9">
        <w:rPr>
          <w:rFonts w:ascii="Book Antiqua" w:hAnsi="標楷體"/>
          <w:color w:val="000000" w:themeColor="text1"/>
          <w:sz w:val="24"/>
        </w:rPr>
        <w:t>列營業收入合計數之比。空白欄位不須填列。</w:t>
      </w:r>
    </w:p>
    <w:p w14:paraId="1BC50EC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6</w:t>
      </w:r>
      <w:r w:rsidRPr="00E224E9">
        <w:rPr>
          <w:rFonts w:ascii="Book Antiqua" w:hAnsi="標楷體"/>
          <w:color w:val="000000" w:themeColor="text1"/>
          <w:sz w:val="24"/>
        </w:rPr>
        <w:t>欄－比較增減金額</w:t>
      </w:r>
    </w:p>
    <w:p w14:paraId="71D51BF8" w14:textId="77777777" w:rsidR="00065C53" w:rsidRPr="00E224E9" w:rsidRDefault="00065C53">
      <w:pPr>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本欄為第</w:t>
      </w:r>
      <w:r w:rsidRPr="00E224E9">
        <w:rPr>
          <w:rFonts w:ascii="Book Antiqua" w:hAnsi="Book Antiqua"/>
          <w:color w:val="000000" w:themeColor="text1"/>
          <w:sz w:val="24"/>
        </w:rPr>
        <w:t>2</w:t>
      </w:r>
      <w:r w:rsidRPr="00E224E9">
        <w:rPr>
          <w:rFonts w:ascii="Book Antiqua" w:hAnsi="標楷體"/>
          <w:color w:val="000000" w:themeColor="text1"/>
          <w:sz w:val="24"/>
        </w:rPr>
        <w:t>欄減除第</w:t>
      </w:r>
      <w:r w:rsidRPr="00E224E9">
        <w:rPr>
          <w:rFonts w:ascii="Book Antiqua" w:hAnsi="Book Antiqua"/>
          <w:color w:val="000000" w:themeColor="text1"/>
          <w:sz w:val="24"/>
        </w:rPr>
        <w:t>4</w:t>
      </w:r>
      <w:r w:rsidRPr="00E224E9">
        <w:rPr>
          <w:rFonts w:ascii="Book Antiqua" w:hAnsi="標楷體"/>
          <w:color w:val="000000" w:themeColor="text1"/>
          <w:sz w:val="24"/>
        </w:rPr>
        <w:t>欄後的金額。</w:t>
      </w:r>
    </w:p>
    <w:p w14:paraId="179EE8F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7</w:t>
      </w:r>
      <w:r w:rsidRPr="00E224E9">
        <w:rPr>
          <w:rFonts w:ascii="Book Antiqua" w:hAnsi="標楷體"/>
          <w:color w:val="000000" w:themeColor="text1"/>
          <w:sz w:val="24"/>
        </w:rPr>
        <w:t>欄－比較增減金額</w:t>
      </w:r>
      <w:r w:rsidRPr="00E224E9">
        <w:rPr>
          <w:rFonts w:ascii="Book Antiqua" w:hAnsi="Book Antiqua"/>
          <w:color w:val="000000" w:themeColor="text1"/>
          <w:sz w:val="24"/>
        </w:rPr>
        <w:t>%</w:t>
      </w:r>
    </w:p>
    <w:p w14:paraId="465C068D" w14:textId="77777777" w:rsidR="00065C53" w:rsidRPr="00E224E9" w:rsidRDefault="00065C53">
      <w:pPr>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本欄為第</w:t>
      </w:r>
      <w:r w:rsidRPr="00E224E9">
        <w:rPr>
          <w:rFonts w:ascii="Book Antiqua" w:hAnsi="Book Antiqua"/>
          <w:color w:val="000000" w:themeColor="text1"/>
          <w:sz w:val="24"/>
        </w:rPr>
        <w:t>6</w:t>
      </w:r>
      <w:r w:rsidRPr="00E224E9">
        <w:rPr>
          <w:rFonts w:ascii="Book Antiqua" w:hAnsi="標楷體"/>
          <w:color w:val="000000" w:themeColor="text1"/>
          <w:sz w:val="24"/>
        </w:rPr>
        <w:t>欄除以第</w:t>
      </w:r>
      <w:r w:rsidRPr="00E224E9">
        <w:rPr>
          <w:rFonts w:ascii="Book Antiqua" w:hAnsi="Book Antiqua"/>
          <w:color w:val="000000" w:themeColor="text1"/>
          <w:sz w:val="24"/>
        </w:rPr>
        <w:t>4</w:t>
      </w:r>
      <w:r w:rsidRPr="00E224E9">
        <w:rPr>
          <w:rFonts w:ascii="Book Antiqua" w:hAnsi="標楷體"/>
          <w:color w:val="000000" w:themeColor="text1"/>
          <w:sz w:val="24"/>
        </w:rPr>
        <w:t>欄後的百分比。空白欄位不須填列。</w:t>
      </w:r>
    </w:p>
    <w:p w14:paraId="5374194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欄－本年度餘額</w:t>
      </w:r>
    </w:p>
    <w:p w14:paraId="27F997C6" w14:textId="77777777" w:rsidR="00065C53" w:rsidRPr="00E224E9" w:rsidRDefault="00065C53" w:rsidP="00F3152E">
      <w:pPr>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本欄係填報月報</w:t>
      </w:r>
      <w:r w:rsidRPr="00E224E9">
        <w:rPr>
          <w:rFonts w:ascii="Book Antiqua" w:hAnsi="Book Antiqua"/>
          <w:color w:val="000000" w:themeColor="text1"/>
          <w:sz w:val="24"/>
        </w:rPr>
        <w:t>(</w:t>
      </w:r>
      <w:r w:rsidRPr="00E224E9">
        <w:rPr>
          <w:rFonts w:ascii="Book Antiqua" w:hAnsi="標楷體"/>
          <w:color w:val="000000" w:themeColor="text1"/>
          <w:sz w:val="24"/>
        </w:rPr>
        <w:t>半年</w:t>
      </w:r>
      <w:r w:rsidRPr="00E224E9">
        <w:rPr>
          <w:rFonts w:ascii="Book Antiqua" w:hAnsi="Book Antiqua"/>
          <w:color w:val="000000" w:themeColor="text1"/>
          <w:sz w:val="24"/>
        </w:rPr>
        <w:t>)</w:t>
      </w:r>
      <w:r w:rsidRPr="00E224E9">
        <w:rPr>
          <w:rFonts w:ascii="Book Antiqua" w:hAnsi="標楷體"/>
          <w:color w:val="000000" w:themeColor="text1"/>
          <w:sz w:val="24"/>
        </w:rPr>
        <w:t>時當年度累積至填報月份</w:t>
      </w:r>
      <w:r w:rsidRPr="00E224E9">
        <w:rPr>
          <w:rFonts w:ascii="Book Antiqua" w:hAnsi="Book Antiqua"/>
          <w:color w:val="000000" w:themeColor="text1"/>
          <w:sz w:val="24"/>
        </w:rPr>
        <w:t>(</w:t>
      </w:r>
      <w:r w:rsidRPr="00E224E9">
        <w:rPr>
          <w:rFonts w:ascii="Book Antiqua" w:hAnsi="標楷體"/>
          <w:color w:val="000000" w:themeColor="text1"/>
          <w:sz w:val="24"/>
        </w:rPr>
        <w:t>半年報</w:t>
      </w:r>
      <w:r w:rsidRPr="00E224E9">
        <w:rPr>
          <w:rFonts w:ascii="Book Antiqua" w:hAnsi="Book Antiqua"/>
          <w:color w:val="000000" w:themeColor="text1"/>
          <w:sz w:val="24"/>
        </w:rPr>
        <w:t>)</w:t>
      </w:r>
      <w:r w:rsidRPr="00E224E9">
        <w:rPr>
          <w:rFonts w:ascii="Book Antiqua" w:hAnsi="標楷體"/>
          <w:color w:val="000000" w:themeColor="text1"/>
          <w:sz w:val="24"/>
        </w:rPr>
        <w:t>時之累積數</w:t>
      </w:r>
      <w:r w:rsidR="00FA2D83" w:rsidRPr="00E224E9">
        <w:rPr>
          <w:rFonts w:ascii="Book Antiqua" w:hAnsi="Book Antiqua" w:hint="eastAsia"/>
          <w:color w:val="000000" w:themeColor="text1"/>
          <w:sz w:val="24"/>
        </w:rPr>
        <w:t>，</w:t>
      </w:r>
      <w:r w:rsidRPr="00E224E9">
        <w:rPr>
          <w:rFonts w:ascii="Book Antiqua" w:hAnsi="標楷體"/>
          <w:color w:val="000000" w:themeColor="text1"/>
          <w:sz w:val="24"/>
        </w:rPr>
        <w:t>填列年報時免填。</w:t>
      </w:r>
    </w:p>
    <w:p w14:paraId="2D405382"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9</w:t>
      </w:r>
      <w:r w:rsidRPr="00E224E9">
        <w:rPr>
          <w:rFonts w:ascii="Book Antiqua" w:hAnsi="標楷體"/>
          <w:color w:val="000000" w:themeColor="text1"/>
          <w:sz w:val="24"/>
        </w:rPr>
        <w:t>欄－本年度餘額</w:t>
      </w:r>
      <w:r w:rsidRPr="00E224E9">
        <w:rPr>
          <w:rFonts w:ascii="Book Antiqua" w:hAnsi="Book Antiqua"/>
          <w:color w:val="000000" w:themeColor="text1"/>
          <w:sz w:val="24"/>
        </w:rPr>
        <w:t>%</w:t>
      </w:r>
    </w:p>
    <w:p w14:paraId="17D06E22"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本欄比率為第</w:t>
      </w:r>
      <w:r w:rsidRPr="00E224E9">
        <w:rPr>
          <w:rFonts w:ascii="Book Antiqua" w:hAnsi="Book Antiqua"/>
          <w:color w:val="000000" w:themeColor="text1"/>
          <w:sz w:val="24"/>
        </w:rPr>
        <w:t>8</w:t>
      </w:r>
      <w:r w:rsidRPr="00E224E9">
        <w:rPr>
          <w:rFonts w:ascii="Book Antiqua" w:hAnsi="標楷體"/>
          <w:color w:val="000000" w:themeColor="text1"/>
          <w:sz w:val="24"/>
        </w:rPr>
        <w:t>欄各列損益與第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FA2D83" w:rsidRPr="00E224E9">
        <w:rPr>
          <w:rFonts w:ascii="Book Antiqua" w:hAnsi="Book Antiqua" w:hint="eastAsia"/>
          <w:color w:val="000000" w:themeColor="text1"/>
          <w:sz w:val="24"/>
        </w:rPr>
        <w:t>8</w:t>
      </w:r>
      <w:r w:rsidRPr="00E224E9">
        <w:rPr>
          <w:rFonts w:ascii="Book Antiqua" w:hAnsi="標楷體"/>
          <w:color w:val="000000" w:themeColor="text1"/>
          <w:sz w:val="24"/>
        </w:rPr>
        <w:t>列營業收入合計數之比。空白欄位不須填列。</w:t>
      </w:r>
    </w:p>
    <w:p w14:paraId="321DC1E7" w14:textId="77777777" w:rsidR="00065C53" w:rsidRPr="00E224E9" w:rsidRDefault="00065C53">
      <w:pPr>
        <w:spacing w:line="440" w:lineRule="exact"/>
        <w:jc w:val="both"/>
        <w:rPr>
          <w:rFonts w:ascii="Book Antiqua" w:hAnsi="Book Antiqua"/>
          <w:color w:val="000000" w:themeColor="text1"/>
          <w:sz w:val="24"/>
        </w:rPr>
      </w:pPr>
    </w:p>
    <w:p w14:paraId="3AA4938F" w14:textId="77777777" w:rsidR="00065C53" w:rsidRPr="00E224E9" w:rsidRDefault="00FA2D83">
      <w:pPr>
        <w:spacing w:line="440" w:lineRule="exact"/>
        <w:ind w:firstLineChars="225" w:firstLine="540"/>
        <w:jc w:val="both"/>
        <w:rPr>
          <w:rFonts w:ascii="Book Antiqua" w:hAnsi="Book Antiqua"/>
          <w:color w:val="000000" w:themeColor="text1"/>
          <w:sz w:val="24"/>
        </w:rPr>
      </w:pPr>
      <w:r w:rsidRPr="00E224E9">
        <w:rPr>
          <w:rFonts w:ascii="Book Antiqua" w:hAnsi="標楷體" w:hint="eastAsia"/>
          <w:color w:val="000000" w:themeColor="text1"/>
          <w:sz w:val="24"/>
        </w:rPr>
        <w:t>綜合</w:t>
      </w:r>
      <w:r w:rsidR="00065C53" w:rsidRPr="00E224E9">
        <w:rPr>
          <w:rFonts w:ascii="Book Antiqua" w:hAnsi="標楷體"/>
          <w:color w:val="000000" w:themeColor="text1"/>
          <w:sz w:val="24"/>
        </w:rPr>
        <w:t>損益表之損益</w:t>
      </w:r>
      <w:r w:rsidRPr="00E224E9">
        <w:rPr>
          <w:rFonts w:ascii="Book Antiqua" w:hAnsi="標楷體" w:hint="eastAsia"/>
          <w:color w:val="000000" w:themeColor="text1"/>
          <w:sz w:val="24"/>
        </w:rPr>
        <w:t>項</w:t>
      </w:r>
      <w:r w:rsidR="00065C53" w:rsidRPr="00E224E9">
        <w:rPr>
          <w:rFonts w:ascii="Book Antiqua" w:hAnsi="標楷體"/>
          <w:color w:val="000000" w:themeColor="text1"/>
          <w:sz w:val="24"/>
        </w:rPr>
        <w:t>目分類及其帳項內涵，除下列註明項目外，應依照「保險業財務報告編製準則」辦理。</w:t>
      </w:r>
    </w:p>
    <w:p w14:paraId="56BDAA3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列－手續費收入</w:t>
      </w:r>
    </w:p>
    <w:p w14:paraId="4537F4F2"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凡收入之各項業務手續費除已設專用</w:t>
      </w:r>
      <w:r w:rsidR="00FA2D83" w:rsidRPr="00E224E9">
        <w:rPr>
          <w:rFonts w:ascii="Book Antiqua" w:hAnsi="標楷體" w:hint="eastAsia"/>
          <w:color w:val="000000" w:themeColor="text1"/>
          <w:sz w:val="24"/>
        </w:rPr>
        <w:t>項</w:t>
      </w:r>
      <w:r w:rsidRPr="00E224E9">
        <w:rPr>
          <w:rFonts w:ascii="Book Antiqua" w:hAnsi="標楷體"/>
          <w:color w:val="000000" w:themeColor="text1"/>
          <w:sz w:val="24"/>
        </w:rPr>
        <w:t>目者屬之。本</w:t>
      </w:r>
      <w:r w:rsidR="00FA2D83" w:rsidRPr="00E224E9">
        <w:rPr>
          <w:rFonts w:ascii="Book Antiqua" w:hAnsi="標楷體" w:hint="eastAsia"/>
          <w:color w:val="000000" w:themeColor="text1"/>
          <w:sz w:val="24"/>
        </w:rPr>
        <w:t>項</w:t>
      </w:r>
      <w:r w:rsidRPr="00E224E9">
        <w:rPr>
          <w:rFonts w:ascii="Book Antiqua" w:hAnsi="標楷體"/>
          <w:color w:val="000000" w:themeColor="text1"/>
          <w:sz w:val="24"/>
        </w:rPr>
        <w:t>目之內涵與以前年度之「佣金及手續費收入」科目相一致。</w:t>
      </w:r>
    </w:p>
    <w:p w14:paraId="0EBCB026" w14:textId="77777777" w:rsidR="00065C53" w:rsidRPr="00E224E9" w:rsidRDefault="00065C53">
      <w:pPr>
        <w:spacing w:line="440" w:lineRule="exact"/>
        <w:jc w:val="both"/>
        <w:rPr>
          <w:rFonts w:ascii="Book Antiqua" w:hAnsi="Book Antiqua"/>
          <w:color w:val="000000" w:themeColor="text1"/>
        </w:rPr>
      </w:pPr>
      <w:r w:rsidRPr="00E224E9">
        <w:rPr>
          <w:rFonts w:ascii="Book Antiqua" w:hAnsi="標楷體"/>
          <w:color w:val="000000" w:themeColor="text1"/>
          <w:sz w:val="24"/>
        </w:rPr>
        <w:t>第</w:t>
      </w:r>
      <w:r w:rsidRPr="00E224E9">
        <w:rPr>
          <w:rFonts w:ascii="Book Antiqua" w:hAnsi="Book Antiqua"/>
          <w:color w:val="000000" w:themeColor="text1"/>
          <w:sz w:val="24"/>
        </w:rPr>
        <w:t>9</w:t>
      </w:r>
      <w:r w:rsidRPr="00E224E9">
        <w:rPr>
          <w:rFonts w:ascii="Book Antiqua" w:hAnsi="標楷體"/>
          <w:color w:val="000000" w:themeColor="text1"/>
          <w:sz w:val="24"/>
        </w:rPr>
        <w:t>列－淨投資損益</w:t>
      </w:r>
    </w:p>
    <w:p w14:paraId="77BE592C" w14:textId="77777777" w:rsidR="00065C53" w:rsidRPr="00E224E9" w:rsidRDefault="00065C53">
      <w:pPr>
        <w:spacing w:line="440" w:lineRule="exact"/>
        <w:ind w:leftChars="276" w:left="718"/>
        <w:jc w:val="both"/>
        <w:rPr>
          <w:rFonts w:ascii="Book Antiqua" w:hAnsi="Book Antiqua"/>
          <w:color w:val="000000" w:themeColor="text1"/>
          <w:kern w:val="0"/>
          <w:sz w:val="24"/>
        </w:rPr>
      </w:pPr>
      <w:r w:rsidRPr="00E224E9">
        <w:rPr>
          <w:rFonts w:ascii="Book Antiqua" w:hAnsi="標楷體"/>
          <w:color w:val="000000" w:themeColor="text1"/>
          <w:sz w:val="24"/>
        </w:rPr>
        <w:lastRenderedPageBreak/>
        <w:t>本列係第</w:t>
      </w:r>
      <w:r w:rsidRPr="00E224E9">
        <w:rPr>
          <w:rFonts w:ascii="Book Antiqua" w:hAnsi="Book Antiqua"/>
          <w:color w:val="000000" w:themeColor="text1"/>
          <w:sz w:val="24"/>
        </w:rPr>
        <w:t>10</w:t>
      </w:r>
      <w:r w:rsidRPr="00E224E9">
        <w:rPr>
          <w:rFonts w:ascii="Book Antiqua" w:hAnsi="標楷體"/>
          <w:color w:val="000000" w:themeColor="text1"/>
          <w:sz w:val="24"/>
        </w:rPr>
        <w:t>列至第</w:t>
      </w:r>
      <w:r w:rsidR="00964C4D" w:rsidRPr="00E224E9">
        <w:rPr>
          <w:rFonts w:ascii="Book Antiqua" w:hAnsi="Book Antiqua" w:hint="eastAsia"/>
          <w:color w:val="000000" w:themeColor="text1"/>
          <w:sz w:val="24"/>
        </w:rPr>
        <w:t>2</w:t>
      </w:r>
      <w:r w:rsidR="00FA2D83" w:rsidRPr="00E224E9">
        <w:rPr>
          <w:rFonts w:ascii="Book Antiqua" w:hAnsi="Book Antiqua" w:hint="eastAsia"/>
          <w:color w:val="000000" w:themeColor="text1"/>
          <w:sz w:val="24"/>
        </w:rPr>
        <w:t>2</w:t>
      </w:r>
      <w:r w:rsidRPr="00E224E9">
        <w:rPr>
          <w:rFonts w:ascii="Book Antiqua" w:hAnsi="標楷體"/>
          <w:color w:val="000000" w:themeColor="text1"/>
          <w:sz w:val="24"/>
        </w:rPr>
        <w:t>列之金額加總之和。</w:t>
      </w:r>
    </w:p>
    <w:p w14:paraId="5C6FF61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11</w:t>
      </w:r>
      <w:r w:rsidRPr="00E224E9">
        <w:rPr>
          <w:rFonts w:ascii="Book Antiqua" w:hAnsi="標楷體"/>
          <w:color w:val="000000" w:themeColor="text1"/>
          <w:sz w:val="24"/>
        </w:rPr>
        <w:t>列－</w:t>
      </w:r>
      <w:r w:rsidR="002E7346" w:rsidRPr="00E224E9">
        <w:rPr>
          <w:rFonts w:ascii="Book Antiqua" w:hAnsi="標楷體" w:hint="eastAsia"/>
          <w:color w:val="000000" w:themeColor="text1"/>
          <w:sz w:val="24"/>
        </w:rPr>
        <w:t>透過損益按公允價值衡量之金融資產及負債損益</w:t>
      </w:r>
    </w:p>
    <w:p w14:paraId="4E412CDE" w14:textId="77777777" w:rsidR="00065C53" w:rsidRPr="00E224E9" w:rsidRDefault="00065C53" w:rsidP="002E7346">
      <w:pPr>
        <w:spacing w:line="440" w:lineRule="exact"/>
        <w:ind w:leftChars="346" w:left="900"/>
        <w:jc w:val="both"/>
        <w:rPr>
          <w:rFonts w:ascii="Book Antiqua" w:hAnsi="標楷體"/>
          <w:color w:val="000000" w:themeColor="text1"/>
          <w:sz w:val="24"/>
        </w:rPr>
      </w:pPr>
      <w:r w:rsidRPr="00E224E9">
        <w:rPr>
          <w:rFonts w:ascii="Book Antiqua" w:hAnsi="標楷體"/>
          <w:color w:val="000000" w:themeColor="text1"/>
          <w:sz w:val="24"/>
        </w:rPr>
        <w:t>係</w:t>
      </w:r>
      <w:r w:rsidR="002E7346" w:rsidRPr="00E224E9">
        <w:rPr>
          <w:rFonts w:ascii="Book Antiqua" w:hAnsi="標楷體" w:hint="eastAsia"/>
          <w:color w:val="000000" w:themeColor="text1"/>
          <w:sz w:val="24"/>
        </w:rPr>
        <w:t>買賣或借貸透過損益按公允價值衡量之金融資產及負債，以及指定為透過損益按公允價值衡量之金融資產及負債所產生之損益</w:t>
      </w:r>
      <w:r w:rsidR="002E7346" w:rsidRPr="00E224E9">
        <w:rPr>
          <w:rFonts w:ascii="標楷體" w:hAnsi="標楷體" w:hint="eastAsia"/>
          <w:color w:val="000000" w:themeColor="text1"/>
          <w:sz w:val="24"/>
        </w:rPr>
        <w:t>、</w:t>
      </w:r>
      <w:r w:rsidR="002E7346" w:rsidRPr="00E224E9">
        <w:rPr>
          <w:rFonts w:ascii="Book Antiqua" w:hAnsi="標楷體" w:hint="eastAsia"/>
          <w:color w:val="000000" w:themeColor="text1"/>
          <w:sz w:val="24"/>
        </w:rPr>
        <w:t>股息紅利及期末按公允價值評價產生之評價損益</w:t>
      </w:r>
      <w:r w:rsidRPr="00E224E9">
        <w:rPr>
          <w:rFonts w:ascii="Book Antiqua" w:hAnsi="標楷體"/>
          <w:color w:val="000000" w:themeColor="text1"/>
          <w:sz w:val="24"/>
        </w:rPr>
        <w:t>。</w:t>
      </w:r>
    </w:p>
    <w:p w14:paraId="3563304B"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Book Antiqua" w:hint="eastAsia"/>
          <w:color w:val="000000" w:themeColor="text1"/>
          <w:sz w:val="24"/>
        </w:rPr>
        <w:t>2</w:t>
      </w:r>
      <w:r w:rsidRPr="00E224E9">
        <w:rPr>
          <w:rFonts w:ascii="Book Antiqua" w:hAnsi="標楷體"/>
          <w:color w:val="000000" w:themeColor="text1"/>
          <w:sz w:val="24"/>
        </w:rPr>
        <w:t>列－</w:t>
      </w:r>
      <w:r w:rsidR="00826AE8" w:rsidRPr="00E224E9">
        <w:rPr>
          <w:rFonts w:ascii="Book Antiqua" w:hAnsi="標楷體" w:hint="eastAsia"/>
          <w:color w:val="000000" w:themeColor="text1"/>
          <w:sz w:val="24"/>
        </w:rPr>
        <w:t>透過其他綜合損益按公允價值衡量之</w:t>
      </w:r>
      <w:r w:rsidRPr="00E224E9">
        <w:rPr>
          <w:rFonts w:ascii="Book Antiqua" w:hAnsi="標楷體" w:hint="eastAsia"/>
          <w:color w:val="000000" w:themeColor="text1"/>
          <w:sz w:val="24"/>
        </w:rPr>
        <w:t>金融資產已實現損益</w:t>
      </w:r>
    </w:p>
    <w:p w14:paraId="39407973"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color w:val="000000" w:themeColor="text1"/>
          <w:sz w:val="24"/>
        </w:rPr>
        <w:t>係</w:t>
      </w:r>
      <w:r w:rsidRPr="00E224E9">
        <w:rPr>
          <w:rFonts w:ascii="Book Antiqua" w:hAnsi="標楷體" w:hint="eastAsia"/>
          <w:color w:val="000000" w:themeColor="text1"/>
          <w:sz w:val="24"/>
        </w:rPr>
        <w:t>買賣或借貸</w:t>
      </w:r>
      <w:r w:rsidR="00826AE8" w:rsidRPr="00E224E9">
        <w:rPr>
          <w:rFonts w:ascii="Book Antiqua" w:hAnsi="標楷體" w:hint="eastAsia"/>
          <w:color w:val="000000" w:themeColor="text1"/>
          <w:sz w:val="24"/>
        </w:rPr>
        <w:t>透過其他綜合損益按公允價值衡量之債務工具所產生之損益、或透過其他綜合損益按公允價值衡量之權益工具所產生之股利及紅利收入</w:t>
      </w:r>
      <w:r w:rsidRPr="00E224E9">
        <w:rPr>
          <w:rFonts w:ascii="Book Antiqua" w:hAnsi="標楷體" w:hint="eastAsia"/>
          <w:color w:val="000000" w:themeColor="text1"/>
          <w:sz w:val="24"/>
        </w:rPr>
        <w:t>。</w:t>
      </w:r>
    </w:p>
    <w:p w14:paraId="79800033"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3111B6" w:rsidRPr="00E224E9">
        <w:rPr>
          <w:rFonts w:ascii="Book Antiqua" w:hAnsi="Book Antiqua" w:hint="eastAsia"/>
          <w:color w:val="000000" w:themeColor="text1"/>
          <w:sz w:val="24"/>
        </w:rPr>
        <w:t>3</w:t>
      </w:r>
      <w:r w:rsidRPr="00E224E9">
        <w:rPr>
          <w:rFonts w:ascii="Book Antiqua" w:hAnsi="標楷體"/>
          <w:color w:val="000000" w:themeColor="text1"/>
          <w:sz w:val="24"/>
        </w:rPr>
        <w:t>列－</w:t>
      </w:r>
      <w:r w:rsidR="003111B6" w:rsidRPr="00E224E9">
        <w:rPr>
          <w:rFonts w:ascii="Book Antiqua" w:hAnsi="標楷體" w:hint="eastAsia"/>
          <w:color w:val="000000" w:themeColor="text1"/>
          <w:sz w:val="24"/>
        </w:rPr>
        <w:t>除列按攤銷後成本衡量之金融資產淨</w:t>
      </w:r>
      <w:r w:rsidRPr="00E224E9">
        <w:rPr>
          <w:rFonts w:ascii="Book Antiqua" w:hAnsi="標楷體" w:hint="eastAsia"/>
          <w:color w:val="000000" w:themeColor="text1"/>
          <w:sz w:val="24"/>
        </w:rPr>
        <w:t>損益</w:t>
      </w:r>
    </w:p>
    <w:p w14:paraId="3E94930C"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係買賣或借貸</w:t>
      </w:r>
      <w:r w:rsidR="003111B6" w:rsidRPr="00E224E9">
        <w:rPr>
          <w:rFonts w:ascii="Book Antiqua" w:hAnsi="標楷體" w:hint="eastAsia"/>
          <w:color w:val="000000" w:themeColor="text1"/>
          <w:sz w:val="24"/>
        </w:rPr>
        <w:t>攤銷後成本衡量之</w:t>
      </w:r>
      <w:r w:rsidRPr="00E224E9">
        <w:rPr>
          <w:rFonts w:ascii="Book Antiqua" w:hAnsi="標楷體" w:hint="eastAsia"/>
          <w:color w:val="000000" w:themeColor="text1"/>
          <w:sz w:val="24"/>
        </w:rPr>
        <w:t>金融資產所產生之損益。</w:t>
      </w:r>
    </w:p>
    <w:p w14:paraId="64DA0A33"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3111B6" w:rsidRPr="00E224E9">
        <w:rPr>
          <w:rFonts w:ascii="Book Antiqua" w:hAnsi="Book Antiqua" w:hint="eastAsia"/>
          <w:color w:val="000000" w:themeColor="text1"/>
          <w:sz w:val="24"/>
        </w:rPr>
        <w:t>4</w:t>
      </w:r>
      <w:r w:rsidRPr="00E224E9">
        <w:rPr>
          <w:rFonts w:ascii="Book Antiqua" w:hAnsi="標楷體"/>
          <w:color w:val="000000" w:themeColor="text1"/>
          <w:sz w:val="24"/>
        </w:rPr>
        <w:t>列－</w:t>
      </w:r>
      <w:r w:rsidRPr="00E224E9">
        <w:rPr>
          <w:rFonts w:ascii="Book Antiqua" w:hAnsi="標楷體" w:hint="eastAsia"/>
          <w:color w:val="000000" w:themeColor="text1"/>
          <w:sz w:val="24"/>
        </w:rPr>
        <w:t>採用權益法認列之關聯企業及合資損益之份額</w:t>
      </w:r>
    </w:p>
    <w:p w14:paraId="1BC63460"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係保險業按其所享有關聯企業及聯合控制個體之份額，以權益法認列關聯企業及聯合控制個體之損益。</w:t>
      </w:r>
    </w:p>
    <w:p w14:paraId="1DD4054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3111B6" w:rsidRPr="00E224E9">
        <w:rPr>
          <w:rFonts w:ascii="Book Antiqua" w:hAnsi="Book Antiqua" w:hint="eastAsia"/>
          <w:color w:val="000000" w:themeColor="text1"/>
          <w:sz w:val="24"/>
        </w:rPr>
        <w:t>5</w:t>
      </w:r>
      <w:r w:rsidRPr="00E224E9">
        <w:rPr>
          <w:rFonts w:ascii="Book Antiqua" w:hAnsi="標楷體"/>
          <w:color w:val="000000" w:themeColor="text1"/>
          <w:sz w:val="24"/>
        </w:rPr>
        <w:t>列－</w:t>
      </w:r>
      <w:r w:rsidR="009A17CD" w:rsidRPr="00E224E9">
        <w:rPr>
          <w:rFonts w:hint="eastAsia"/>
          <w:color w:val="000000" w:themeColor="text1"/>
          <w:sz w:val="24"/>
        </w:rPr>
        <w:t>兌換損益</w:t>
      </w:r>
    </w:p>
    <w:p w14:paraId="69DBCD7C" w14:textId="77777777" w:rsidR="00065C53" w:rsidRPr="00E224E9" w:rsidRDefault="009A17CD" w:rsidP="009A17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color w:val="000000" w:themeColor="text1"/>
          <w:kern w:val="0"/>
          <w:sz w:val="24"/>
        </w:rPr>
      </w:pPr>
      <w:r w:rsidRPr="00E224E9">
        <w:rPr>
          <w:rFonts w:ascii="Book Antiqua" w:hAnsi="標楷體" w:hint="eastAsia"/>
          <w:color w:val="000000" w:themeColor="text1"/>
          <w:kern w:val="0"/>
          <w:sz w:val="24"/>
        </w:rPr>
        <w:t>係貨幣性外幣投資本金及孳息因匯率變動實際兌換、評價及避險之損益。</w:t>
      </w:r>
    </w:p>
    <w:p w14:paraId="3066F393"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3111B6" w:rsidRPr="00E224E9">
        <w:rPr>
          <w:rFonts w:ascii="Book Antiqua" w:hAnsi="Book Antiqua" w:hint="eastAsia"/>
          <w:color w:val="000000" w:themeColor="text1"/>
          <w:sz w:val="24"/>
        </w:rPr>
        <w:t>6</w:t>
      </w:r>
      <w:r w:rsidRPr="00E224E9">
        <w:rPr>
          <w:rFonts w:ascii="Book Antiqua" w:hAnsi="標楷體"/>
          <w:color w:val="000000" w:themeColor="text1"/>
          <w:sz w:val="24"/>
        </w:rPr>
        <w:t>列－</w:t>
      </w:r>
      <w:r w:rsidRPr="00E224E9">
        <w:rPr>
          <w:rFonts w:hint="eastAsia"/>
          <w:color w:val="000000" w:themeColor="text1"/>
          <w:sz w:val="24"/>
        </w:rPr>
        <w:t>外匯價格變動準備淨變動</w:t>
      </w:r>
    </w:p>
    <w:p w14:paraId="789B2CF5"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係指凡按</w:t>
      </w:r>
      <w:r w:rsidR="003111B6" w:rsidRPr="00E224E9">
        <w:rPr>
          <w:rFonts w:ascii="Book Antiqua" w:hAnsi="標楷體" w:hint="eastAsia"/>
          <w:color w:val="000000" w:themeColor="text1"/>
          <w:sz w:val="24"/>
        </w:rPr>
        <w:t>保險</w:t>
      </w:r>
      <w:r w:rsidRPr="00E224E9">
        <w:rPr>
          <w:rFonts w:ascii="Book Antiqua" w:hAnsi="標楷體" w:hint="eastAsia"/>
          <w:color w:val="000000" w:themeColor="text1"/>
          <w:sz w:val="24"/>
        </w:rPr>
        <w:t>法、保險業各種準備金提存辦法及其相關解釋函令規定提存及沖抵之外匯價格變動準備本期淨變動。保險業應分別於附註揭露本期收回及提存之外匯價格變動準備金額。</w:t>
      </w:r>
    </w:p>
    <w:p w14:paraId="7418BC0B"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3111B6" w:rsidRPr="00E224E9">
        <w:rPr>
          <w:rFonts w:ascii="Book Antiqua" w:hAnsi="Book Antiqua" w:hint="eastAsia"/>
          <w:color w:val="000000" w:themeColor="text1"/>
          <w:sz w:val="24"/>
        </w:rPr>
        <w:t>7</w:t>
      </w:r>
      <w:r w:rsidRPr="00E224E9">
        <w:rPr>
          <w:rFonts w:ascii="Book Antiqua" w:hAnsi="標楷體"/>
          <w:color w:val="000000" w:themeColor="text1"/>
          <w:sz w:val="24"/>
        </w:rPr>
        <w:t>列－</w:t>
      </w:r>
      <w:r w:rsidRPr="00E224E9">
        <w:rPr>
          <w:rFonts w:hint="eastAsia"/>
          <w:color w:val="000000" w:themeColor="text1"/>
          <w:sz w:val="24"/>
        </w:rPr>
        <w:t>投資性不動產損益</w:t>
      </w:r>
    </w:p>
    <w:p w14:paraId="73F2FABD"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係投資性不動產所產生之各項費用及因出租或出售所獲得之利益及損失皆屬之。</w:t>
      </w:r>
    </w:p>
    <w:p w14:paraId="4B8A1188" w14:textId="77777777" w:rsidR="003111B6" w:rsidRPr="00E224E9" w:rsidRDefault="003111B6" w:rsidP="003111B6">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Book Antiqua" w:hint="eastAsia"/>
          <w:color w:val="000000" w:themeColor="text1"/>
          <w:sz w:val="24"/>
        </w:rPr>
        <w:t>8</w:t>
      </w:r>
      <w:r w:rsidRPr="00E224E9">
        <w:rPr>
          <w:rFonts w:ascii="Book Antiqua" w:hAnsi="標楷體"/>
          <w:color w:val="000000" w:themeColor="text1"/>
          <w:sz w:val="24"/>
        </w:rPr>
        <w:t>列－</w:t>
      </w:r>
      <w:r w:rsidRPr="00E224E9">
        <w:rPr>
          <w:rFonts w:hint="eastAsia"/>
          <w:color w:val="000000" w:themeColor="text1"/>
          <w:sz w:val="24"/>
        </w:rPr>
        <w:t>投資之預期信用減損損失及迴轉利益</w:t>
      </w:r>
    </w:p>
    <w:p w14:paraId="0ACF6567" w14:textId="77777777" w:rsidR="003111B6" w:rsidRPr="00E224E9" w:rsidRDefault="003111B6"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係屬投資之金融資產依保險業資產評估及逾期放款催收款呆帳處理辦法等相關法令規定或國際財務報導準則第</w:t>
      </w:r>
      <w:r w:rsidRPr="00E224E9">
        <w:rPr>
          <w:rFonts w:ascii="Book Antiqua" w:hAnsi="標楷體" w:hint="eastAsia"/>
          <w:color w:val="000000" w:themeColor="text1"/>
          <w:sz w:val="24"/>
        </w:rPr>
        <w:t>9</w:t>
      </w:r>
      <w:r w:rsidRPr="00E224E9">
        <w:rPr>
          <w:rFonts w:ascii="Book Antiqua" w:hAnsi="標楷體" w:hint="eastAsia"/>
          <w:color w:val="000000" w:themeColor="text1"/>
          <w:sz w:val="24"/>
        </w:rPr>
        <w:t>號認列之預期信用損失（或迴轉）金額。</w:t>
      </w:r>
    </w:p>
    <w:p w14:paraId="5171CF79"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111B6" w:rsidRPr="00E224E9">
        <w:rPr>
          <w:rFonts w:ascii="Book Antiqua" w:hAnsi="Book Antiqua" w:hint="eastAsia"/>
          <w:color w:val="000000" w:themeColor="text1"/>
          <w:sz w:val="24"/>
        </w:rPr>
        <w:t>19</w:t>
      </w:r>
      <w:r w:rsidRPr="00E224E9">
        <w:rPr>
          <w:rFonts w:ascii="Book Antiqua" w:hAnsi="標楷體"/>
          <w:color w:val="000000" w:themeColor="text1"/>
          <w:sz w:val="24"/>
        </w:rPr>
        <w:t>列－</w:t>
      </w:r>
      <w:r w:rsidR="003111B6" w:rsidRPr="00E224E9">
        <w:rPr>
          <w:rFonts w:ascii="Book Antiqua" w:hAnsi="標楷體" w:hint="eastAsia"/>
          <w:color w:val="000000" w:themeColor="text1"/>
          <w:sz w:val="24"/>
        </w:rPr>
        <w:t>其他</w:t>
      </w:r>
      <w:r w:rsidRPr="00E224E9">
        <w:rPr>
          <w:rFonts w:hint="eastAsia"/>
          <w:color w:val="000000" w:themeColor="text1"/>
          <w:sz w:val="24"/>
        </w:rPr>
        <w:t>投資減損損失及迴轉利益</w:t>
      </w:r>
    </w:p>
    <w:p w14:paraId="1631317F" w14:textId="77777777" w:rsidR="009A17CD" w:rsidRPr="00E224E9" w:rsidRDefault="003111B6"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非屬前列應依國際財務報導準則第</w:t>
      </w:r>
      <w:r w:rsidRPr="00E224E9">
        <w:rPr>
          <w:rFonts w:ascii="Book Antiqua" w:hAnsi="標楷體" w:hint="eastAsia"/>
          <w:color w:val="000000" w:themeColor="text1"/>
          <w:sz w:val="24"/>
        </w:rPr>
        <w:t>9</w:t>
      </w:r>
      <w:r w:rsidRPr="00E224E9">
        <w:rPr>
          <w:rFonts w:ascii="Book Antiqua" w:hAnsi="標楷體" w:hint="eastAsia"/>
          <w:color w:val="000000" w:themeColor="text1"/>
          <w:sz w:val="24"/>
        </w:rPr>
        <w:t>號認列之預期信用損失之</w:t>
      </w:r>
      <w:r w:rsidR="009A17CD" w:rsidRPr="00E224E9">
        <w:rPr>
          <w:rFonts w:ascii="Book Antiqua" w:hAnsi="標楷體" w:hint="eastAsia"/>
          <w:color w:val="000000" w:themeColor="text1"/>
          <w:sz w:val="24"/>
        </w:rPr>
        <w:t>投資資產（包含投資性不動產）其損益之計算及表達，應依一般公認會計原則之規定辦理。</w:t>
      </w:r>
    </w:p>
    <w:p w14:paraId="7844951F" w14:textId="77777777" w:rsidR="003111B6" w:rsidRPr="00E224E9" w:rsidRDefault="003111B6" w:rsidP="003111B6">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20</w:t>
      </w:r>
      <w:r w:rsidRPr="00E224E9">
        <w:rPr>
          <w:rFonts w:ascii="Book Antiqua" w:hAnsi="標楷體"/>
          <w:color w:val="000000" w:themeColor="text1"/>
          <w:sz w:val="24"/>
        </w:rPr>
        <w:t>列－</w:t>
      </w:r>
      <w:r w:rsidRPr="00E224E9">
        <w:rPr>
          <w:rFonts w:hint="eastAsia"/>
          <w:color w:val="000000" w:themeColor="text1"/>
          <w:sz w:val="24"/>
        </w:rPr>
        <w:t>金融資產重分類損益</w:t>
      </w:r>
    </w:p>
    <w:p w14:paraId="7A19CB1B" w14:textId="77777777" w:rsidR="003111B6" w:rsidRPr="00E224E9" w:rsidRDefault="003111B6" w:rsidP="003111B6">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係指依國際財務報導準則第</w:t>
      </w:r>
      <w:r w:rsidRPr="00E224E9">
        <w:rPr>
          <w:rFonts w:ascii="Book Antiqua" w:hAnsi="標楷體" w:hint="eastAsia"/>
          <w:color w:val="000000" w:themeColor="text1"/>
          <w:sz w:val="24"/>
        </w:rPr>
        <w:t>9</w:t>
      </w:r>
      <w:r w:rsidRPr="00E224E9">
        <w:rPr>
          <w:rFonts w:ascii="Book Antiqua" w:hAnsi="標楷體" w:hint="eastAsia"/>
          <w:color w:val="000000" w:themeColor="text1"/>
          <w:sz w:val="24"/>
        </w:rPr>
        <w:t>號規定，符合下列條件之一者：</w:t>
      </w:r>
      <w:r w:rsidRPr="00E224E9">
        <w:rPr>
          <w:rFonts w:ascii="Book Antiqua" w:hAnsi="標楷體" w:hint="eastAsia"/>
          <w:color w:val="000000" w:themeColor="text1"/>
          <w:sz w:val="24"/>
        </w:rPr>
        <w:t xml:space="preserve"> </w:t>
      </w:r>
    </w:p>
    <w:p w14:paraId="4A91CCF5" w14:textId="77777777" w:rsidR="003111B6" w:rsidRPr="00E224E9" w:rsidRDefault="009E0C06" w:rsidP="00F3152E">
      <w:pPr>
        <w:spacing w:line="440" w:lineRule="exact"/>
        <w:ind w:leftChars="344" w:left="1086" w:hangingChars="80" w:hanging="192"/>
        <w:jc w:val="both"/>
        <w:rPr>
          <w:rFonts w:ascii="Book Antiqua" w:hAnsi="標楷體"/>
          <w:color w:val="000000" w:themeColor="text1"/>
          <w:sz w:val="24"/>
        </w:rPr>
      </w:pPr>
      <w:r w:rsidRPr="00E224E9">
        <w:rPr>
          <w:rFonts w:ascii="Book Antiqua" w:hAnsi="標楷體" w:hint="eastAsia"/>
          <w:color w:val="000000" w:themeColor="text1"/>
          <w:sz w:val="24"/>
        </w:rPr>
        <w:t>1.</w:t>
      </w:r>
      <w:r w:rsidR="003111B6" w:rsidRPr="00E224E9">
        <w:rPr>
          <w:rFonts w:ascii="Book Antiqua" w:hAnsi="標楷體" w:hint="eastAsia"/>
          <w:color w:val="000000" w:themeColor="text1"/>
          <w:sz w:val="24"/>
        </w:rPr>
        <w:t>自按攤銷後成本衡量重分類至透過損益按公允價值衡量所產生之淨利益（損失）。</w:t>
      </w:r>
    </w:p>
    <w:p w14:paraId="5670C079" w14:textId="77777777" w:rsidR="003111B6" w:rsidRPr="00E224E9" w:rsidRDefault="003111B6" w:rsidP="00F3152E">
      <w:pPr>
        <w:spacing w:line="440" w:lineRule="exact"/>
        <w:ind w:leftChars="344" w:left="1086" w:hangingChars="80" w:hanging="192"/>
        <w:jc w:val="both"/>
        <w:rPr>
          <w:rFonts w:ascii="Book Antiqua" w:hAnsi="標楷體"/>
          <w:color w:val="000000" w:themeColor="text1"/>
          <w:sz w:val="24"/>
        </w:rPr>
      </w:pPr>
      <w:r w:rsidRPr="00E224E9">
        <w:rPr>
          <w:rFonts w:ascii="Book Antiqua" w:hAnsi="標楷體" w:hint="eastAsia"/>
          <w:color w:val="000000" w:themeColor="text1"/>
          <w:sz w:val="24"/>
        </w:rPr>
        <w:lastRenderedPageBreak/>
        <w:t>2.</w:t>
      </w:r>
      <w:r w:rsidRPr="00E224E9">
        <w:rPr>
          <w:rFonts w:ascii="Book Antiqua" w:hAnsi="標楷體" w:hint="eastAsia"/>
          <w:color w:val="000000" w:themeColor="text1"/>
          <w:sz w:val="24"/>
        </w:rPr>
        <w:t>自透過其他綜合損益按公允價值衡量重分類至透過損益按公允價值衡量所產生之累計淨利益</w:t>
      </w:r>
      <w:r w:rsidR="00E2314E" w:rsidRPr="00E224E9">
        <w:rPr>
          <w:rFonts w:ascii="Book Antiqua" w:hAnsi="標楷體" w:hint="eastAsia"/>
          <w:color w:val="000000" w:themeColor="text1"/>
          <w:sz w:val="24"/>
        </w:rPr>
        <w:t>（</w:t>
      </w:r>
      <w:r w:rsidRPr="00E224E9">
        <w:rPr>
          <w:rFonts w:ascii="Book Antiqua" w:hAnsi="標楷體" w:hint="eastAsia"/>
          <w:color w:val="000000" w:themeColor="text1"/>
          <w:sz w:val="24"/>
        </w:rPr>
        <w:t>損失</w:t>
      </w:r>
      <w:r w:rsidR="00E2314E" w:rsidRPr="00E224E9">
        <w:rPr>
          <w:rFonts w:ascii="Book Antiqua" w:hAnsi="標楷體" w:hint="eastAsia"/>
          <w:color w:val="000000" w:themeColor="text1"/>
          <w:sz w:val="24"/>
        </w:rPr>
        <w:t>）。</w:t>
      </w:r>
    </w:p>
    <w:p w14:paraId="3E94CA42"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21</w:t>
      </w:r>
      <w:r w:rsidRPr="00E224E9">
        <w:rPr>
          <w:rFonts w:ascii="Book Antiqua" w:hAnsi="標楷體"/>
          <w:color w:val="000000" w:themeColor="text1"/>
          <w:sz w:val="24"/>
        </w:rPr>
        <w:t>列－</w:t>
      </w:r>
      <w:r w:rsidRPr="00E224E9">
        <w:rPr>
          <w:rFonts w:hint="eastAsia"/>
          <w:color w:val="000000" w:themeColor="text1"/>
          <w:sz w:val="24"/>
        </w:rPr>
        <w:t>其他淨投資損益</w:t>
      </w:r>
    </w:p>
    <w:p w14:paraId="6D2019D2"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凡投資活動所產生之損益，惟非屬上列各項目者屬之。</w:t>
      </w:r>
    </w:p>
    <w:p w14:paraId="038B70F3" w14:textId="77777777" w:rsidR="00E2314E" w:rsidRPr="00E224E9" w:rsidRDefault="00E2314E" w:rsidP="00E2314E">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22</w:t>
      </w:r>
      <w:r w:rsidRPr="00E224E9">
        <w:rPr>
          <w:rFonts w:ascii="Book Antiqua" w:hAnsi="標楷體"/>
          <w:color w:val="000000" w:themeColor="text1"/>
          <w:sz w:val="24"/>
        </w:rPr>
        <w:t>列－</w:t>
      </w:r>
      <w:r w:rsidRPr="00E224E9">
        <w:rPr>
          <w:rFonts w:hint="eastAsia"/>
          <w:color w:val="000000" w:themeColor="text1"/>
          <w:sz w:val="24"/>
        </w:rPr>
        <w:t>採用覆蓋法重分類之損益</w:t>
      </w:r>
    </w:p>
    <w:p w14:paraId="1778BDDF" w14:textId="77777777" w:rsidR="00E2314E" w:rsidRPr="00E224E9" w:rsidRDefault="00E2314E"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係依國際財務報導準則第</w:t>
      </w:r>
      <w:r w:rsidRPr="00E224E9">
        <w:rPr>
          <w:rFonts w:ascii="Book Antiqua" w:hAnsi="標楷體" w:hint="eastAsia"/>
          <w:color w:val="000000" w:themeColor="text1"/>
          <w:sz w:val="24"/>
        </w:rPr>
        <w:t>4</w:t>
      </w:r>
      <w:r w:rsidRPr="00E224E9">
        <w:rPr>
          <w:rFonts w:ascii="Book Antiqua" w:hAnsi="標楷體" w:hint="eastAsia"/>
          <w:color w:val="000000" w:themeColor="text1"/>
          <w:sz w:val="24"/>
        </w:rPr>
        <w:t>號選擇採用覆蓋法重分類至其他綜合損益者屬之。</w:t>
      </w:r>
      <w:r w:rsidRPr="00E224E9">
        <w:rPr>
          <w:rFonts w:ascii="Book Antiqua" w:hAnsi="標楷體" w:hint="eastAsia"/>
          <w:color w:val="000000" w:themeColor="text1"/>
          <w:sz w:val="24"/>
        </w:rPr>
        <w:t xml:space="preserve"> </w:t>
      </w:r>
    </w:p>
    <w:p w14:paraId="0E18D235"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w:t>
      </w:r>
      <w:r w:rsidR="00E2314E" w:rsidRPr="00E224E9">
        <w:rPr>
          <w:rFonts w:ascii="Book Antiqua" w:hAnsi="Book Antiqua" w:hint="eastAsia"/>
          <w:color w:val="000000" w:themeColor="text1"/>
          <w:sz w:val="24"/>
        </w:rPr>
        <w:t>3</w:t>
      </w:r>
      <w:r w:rsidRPr="00E224E9">
        <w:rPr>
          <w:rFonts w:ascii="Book Antiqua" w:hAnsi="標楷體"/>
          <w:color w:val="000000" w:themeColor="text1"/>
          <w:sz w:val="24"/>
        </w:rPr>
        <w:t>列－</w:t>
      </w:r>
      <w:r w:rsidRPr="00E224E9">
        <w:rPr>
          <w:rFonts w:hint="eastAsia"/>
          <w:color w:val="000000" w:themeColor="text1"/>
          <w:sz w:val="24"/>
        </w:rPr>
        <w:t>其他營業收入</w:t>
      </w:r>
    </w:p>
    <w:p w14:paraId="6944E596"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凡業務上之收入（益），惟非屬上列各項項目者屬之，如非因投資活動所產生之利息收入及兌換利益。</w:t>
      </w:r>
    </w:p>
    <w:p w14:paraId="13289D6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F841EF" w:rsidRPr="00E224E9">
        <w:rPr>
          <w:rFonts w:ascii="Book Antiqua" w:hAnsi="Book Antiqua" w:hint="eastAsia"/>
          <w:color w:val="000000" w:themeColor="text1"/>
          <w:sz w:val="24"/>
        </w:rPr>
        <w:t>2</w:t>
      </w:r>
      <w:r w:rsidR="00E2314E" w:rsidRPr="00E224E9">
        <w:rPr>
          <w:rFonts w:ascii="Book Antiqua" w:hAnsi="Book Antiqua" w:hint="eastAsia"/>
          <w:color w:val="000000" w:themeColor="text1"/>
          <w:sz w:val="24"/>
        </w:rPr>
        <w:t>4</w:t>
      </w:r>
      <w:r w:rsidRPr="00E224E9">
        <w:rPr>
          <w:rFonts w:ascii="Book Antiqua" w:hAnsi="標楷體"/>
          <w:color w:val="000000" w:themeColor="text1"/>
          <w:sz w:val="24"/>
        </w:rPr>
        <w:t>列－分離帳戶保險商品收益</w:t>
      </w:r>
    </w:p>
    <w:p w14:paraId="182A960A" w14:textId="77777777" w:rsidR="00065C53" w:rsidRPr="00E224E9" w:rsidRDefault="00065C53">
      <w:pPr>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2</w:t>
      </w:r>
      <w:r w:rsidR="00E2314E" w:rsidRPr="00E224E9">
        <w:rPr>
          <w:rFonts w:ascii="Book Antiqua" w:hAnsi="Book Antiqua" w:hint="eastAsia"/>
          <w:color w:val="000000" w:themeColor="text1"/>
          <w:sz w:val="24"/>
        </w:rPr>
        <w:t>5</w:t>
      </w:r>
      <w:r w:rsidRPr="00E224E9">
        <w:rPr>
          <w:rFonts w:ascii="Book Antiqua" w:hAnsi="標楷體"/>
          <w:color w:val="000000" w:themeColor="text1"/>
          <w:sz w:val="24"/>
        </w:rPr>
        <w:t>列投資型保險商品收益金額及第</w:t>
      </w:r>
      <w:r w:rsidRPr="00E224E9">
        <w:rPr>
          <w:rFonts w:ascii="Book Antiqua" w:hAnsi="Book Antiqua"/>
          <w:color w:val="000000" w:themeColor="text1"/>
          <w:sz w:val="24"/>
        </w:rPr>
        <w:t>2</w:t>
      </w:r>
      <w:r w:rsidR="00E2314E" w:rsidRPr="00E224E9">
        <w:rPr>
          <w:rFonts w:ascii="Book Antiqua" w:hAnsi="Book Antiqua" w:hint="eastAsia"/>
          <w:color w:val="000000" w:themeColor="text1"/>
          <w:sz w:val="24"/>
        </w:rPr>
        <w:t>6</w:t>
      </w:r>
      <w:r w:rsidRPr="00E224E9">
        <w:rPr>
          <w:rFonts w:ascii="Book Antiqua" w:hAnsi="標楷體"/>
          <w:color w:val="000000" w:themeColor="text1"/>
          <w:sz w:val="24"/>
        </w:rPr>
        <w:t>列勞退年金保險商品收益金額加總之和。</w:t>
      </w:r>
    </w:p>
    <w:p w14:paraId="34CAC48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E2314E" w:rsidRPr="00E224E9">
        <w:rPr>
          <w:rFonts w:ascii="Book Antiqua" w:hAnsi="Book Antiqua" w:hint="eastAsia"/>
          <w:color w:val="000000" w:themeColor="text1"/>
          <w:sz w:val="24"/>
        </w:rPr>
        <w:t>5</w:t>
      </w:r>
      <w:r w:rsidRPr="00E224E9">
        <w:rPr>
          <w:rFonts w:ascii="Book Antiqua" w:hAnsi="標楷體"/>
          <w:color w:val="000000" w:themeColor="text1"/>
          <w:sz w:val="24"/>
        </w:rPr>
        <w:t>列－投資型保險商品收益</w:t>
      </w:r>
    </w:p>
    <w:p w14:paraId="61E1CF59"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凡投資型保險商品之各項收益總和皆屬之。</w:t>
      </w:r>
    </w:p>
    <w:p w14:paraId="2EDC698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w:t>
      </w:r>
      <w:r w:rsidR="00E2314E" w:rsidRPr="00E224E9">
        <w:rPr>
          <w:rFonts w:ascii="Book Antiqua" w:hAnsi="Book Antiqua" w:hint="eastAsia"/>
          <w:color w:val="000000" w:themeColor="text1"/>
          <w:sz w:val="24"/>
        </w:rPr>
        <w:t>6</w:t>
      </w:r>
      <w:r w:rsidRPr="00E224E9">
        <w:rPr>
          <w:rFonts w:ascii="Book Antiqua" w:hAnsi="標楷體"/>
          <w:color w:val="000000" w:themeColor="text1"/>
          <w:sz w:val="24"/>
        </w:rPr>
        <w:t>列－勞退年金保險商品收益</w:t>
      </w:r>
    </w:p>
    <w:p w14:paraId="58C9B5AA"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凡「勞退企業年金保險」及「勞退個人年金保險」商品之各項收益總和皆屬之。</w:t>
      </w:r>
    </w:p>
    <w:p w14:paraId="4D4B0F2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w:t>
      </w:r>
      <w:r w:rsidR="00E2314E" w:rsidRPr="00E224E9">
        <w:rPr>
          <w:rFonts w:ascii="Book Antiqua" w:hAnsi="Book Antiqua" w:hint="eastAsia"/>
          <w:color w:val="000000" w:themeColor="text1"/>
          <w:sz w:val="24"/>
        </w:rPr>
        <w:t>8</w:t>
      </w:r>
      <w:r w:rsidRPr="00E224E9">
        <w:rPr>
          <w:rFonts w:ascii="Book Antiqua" w:hAnsi="標楷體"/>
          <w:color w:val="000000" w:themeColor="text1"/>
          <w:sz w:val="24"/>
        </w:rPr>
        <w:t>列－營業收入合計</w:t>
      </w:r>
    </w:p>
    <w:p w14:paraId="53902CB2"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本列係第</w:t>
      </w:r>
      <w:r w:rsidRPr="00E224E9">
        <w:rPr>
          <w:rFonts w:ascii="Book Antiqua" w:hAnsi="Book Antiqua"/>
          <w:color w:val="000000" w:themeColor="text1"/>
          <w:sz w:val="24"/>
        </w:rPr>
        <w:t>6</w:t>
      </w:r>
      <w:r w:rsidRPr="00E224E9">
        <w:rPr>
          <w:rFonts w:ascii="Book Antiqua" w:hAnsi="標楷體"/>
          <w:color w:val="000000" w:themeColor="text1"/>
          <w:sz w:val="24"/>
        </w:rPr>
        <w:t>列自留滿期保費收入金額加計第</w:t>
      </w:r>
      <w:r w:rsidRPr="00E224E9">
        <w:rPr>
          <w:rFonts w:ascii="Book Antiqua" w:hAnsi="Book Antiqua"/>
          <w:color w:val="000000" w:themeColor="text1"/>
          <w:sz w:val="24"/>
        </w:rPr>
        <w:t>7</w:t>
      </w:r>
      <w:r w:rsidRPr="00E224E9">
        <w:rPr>
          <w:rFonts w:ascii="Book Antiqua" w:hAnsi="標楷體"/>
          <w:color w:val="000000" w:themeColor="text1"/>
          <w:sz w:val="24"/>
        </w:rPr>
        <w:t>列再保佣金收入金額、第</w:t>
      </w:r>
      <w:r w:rsidRPr="00E224E9">
        <w:rPr>
          <w:rFonts w:ascii="Book Antiqua" w:hAnsi="Book Antiqua"/>
          <w:color w:val="000000" w:themeColor="text1"/>
          <w:sz w:val="24"/>
        </w:rPr>
        <w:t>8</w:t>
      </w:r>
      <w:r w:rsidRPr="00E224E9">
        <w:rPr>
          <w:rFonts w:ascii="Book Antiqua" w:hAnsi="標楷體"/>
          <w:color w:val="000000" w:themeColor="text1"/>
          <w:sz w:val="24"/>
        </w:rPr>
        <w:t>列手續費收入金額、第</w:t>
      </w:r>
      <w:r w:rsidRPr="00E224E9">
        <w:rPr>
          <w:rFonts w:ascii="Book Antiqua" w:hAnsi="Book Antiqua"/>
          <w:color w:val="000000" w:themeColor="text1"/>
          <w:sz w:val="24"/>
        </w:rPr>
        <w:t>9</w:t>
      </w:r>
      <w:r w:rsidRPr="00E224E9">
        <w:rPr>
          <w:rFonts w:ascii="Book Antiqua" w:hAnsi="標楷體"/>
          <w:color w:val="000000" w:themeColor="text1"/>
          <w:sz w:val="24"/>
        </w:rPr>
        <w:t>列淨投資損益金額、第</w:t>
      </w:r>
      <w:r w:rsidR="00F841EF" w:rsidRPr="00E224E9">
        <w:rPr>
          <w:rFonts w:ascii="Book Antiqua" w:hAnsi="Book Antiqua" w:hint="eastAsia"/>
          <w:color w:val="000000" w:themeColor="text1"/>
          <w:sz w:val="24"/>
        </w:rPr>
        <w:t>2</w:t>
      </w:r>
      <w:r w:rsidR="00E2314E" w:rsidRPr="00E224E9">
        <w:rPr>
          <w:rFonts w:ascii="Book Antiqua" w:hAnsi="Book Antiqua" w:hint="eastAsia"/>
          <w:color w:val="000000" w:themeColor="text1"/>
          <w:sz w:val="24"/>
        </w:rPr>
        <w:t>3</w:t>
      </w:r>
      <w:r w:rsidRPr="00E224E9">
        <w:rPr>
          <w:rFonts w:ascii="Book Antiqua" w:hAnsi="標楷體"/>
          <w:color w:val="000000" w:themeColor="text1"/>
          <w:sz w:val="24"/>
        </w:rPr>
        <w:t>列其他營業收入及第</w:t>
      </w:r>
      <w:r w:rsidRPr="00E224E9">
        <w:rPr>
          <w:rFonts w:ascii="Book Antiqua" w:hAnsi="Book Antiqua" w:hint="eastAsia"/>
          <w:color w:val="000000" w:themeColor="text1"/>
          <w:sz w:val="24"/>
        </w:rPr>
        <w:t>2</w:t>
      </w:r>
      <w:r w:rsidR="00E2314E" w:rsidRPr="00E224E9">
        <w:rPr>
          <w:rFonts w:ascii="Book Antiqua" w:hAnsi="Book Antiqua" w:hint="eastAsia"/>
          <w:color w:val="000000" w:themeColor="text1"/>
          <w:sz w:val="24"/>
        </w:rPr>
        <w:t>4</w:t>
      </w:r>
      <w:r w:rsidRPr="00E224E9">
        <w:rPr>
          <w:rFonts w:ascii="Book Antiqua" w:hAnsi="標楷體"/>
          <w:color w:val="000000" w:themeColor="text1"/>
          <w:sz w:val="24"/>
        </w:rPr>
        <w:t>列</w:t>
      </w:r>
      <w:r w:rsidR="00E2314E" w:rsidRPr="00E224E9">
        <w:rPr>
          <w:rFonts w:ascii="Book Antiqua" w:hAnsi="標楷體"/>
          <w:color w:val="000000" w:themeColor="text1"/>
          <w:sz w:val="24"/>
        </w:rPr>
        <w:t>分離帳戶</w:t>
      </w:r>
      <w:r w:rsidRPr="00E224E9">
        <w:rPr>
          <w:rFonts w:ascii="Book Antiqua" w:hAnsi="標楷體"/>
          <w:color w:val="000000" w:themeColor="text1"/>
          <w:sz w:val="24"/>
        </w:rPr>
        <w:t>保險商品收益金額加總之和。</w:t>
      </w:r>
    </w:p>
    <w:p w14:paraId="5D0F7BF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94819" w:rsidRPr="00E224E9">
        <w:rPr>
          <w:rFonts w:ascii="Book Antiqua" w:hAnsi="Book Antiqua" w:hint="eastAsia"/>
          <w:color w:val="000000" w:themeColor="text1"/>
          <w:sz w:val="24"/>
        </w:rPr>
        <w:t>4</w:t>
      </w:r>
      <w:r w:rsidR="00E2314E" w:rsidRPr="00E224E9">
        <w:rPr>
          <w:rFonts w:ascii="Book Antiqua" w:hAnsi="Book Antiqua" w:hint="eastAsia"/>
          <w:color w:val="000000" w:themeColor="text1"/>
          <w:sz w:val="24"/>
        </w:rPr>
        <w:t>5</w:t>
      </w:r>
      <w:r w:rsidRPr="00E224E9">
        <w:rPr>
          <w:rFonts w:ascii="Book Antiqua" w:hAnsi="標楷體"/>
          <w:color w:val="000000" w:themeColor="text1"/>
          <w:sz w:val="24"/>
        </w:rPr>
        <w:t>列－分離帳戶保險商品費用</w:t>
      </w:r>
    </w:p>
    <w:p w14:paraId="36144BCA" w14:textId="77777777" w:rsidR="00065C53" w:rsidRPr="00E224E9" w:rsidRDefault="00065C53">
      <w:pPr>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4</w:t>
      </w:r>
      <w:r w:rsidR="00E2314E" w:rsidRPr="00E224E9">
        <w:rPr>
          <w:rFonts w:ascii="Book Antiqua" w:hAnsi="Book Antiqua" w:hint="eastAsia"/>
          <w:color w:val="000000" w:themeColor="text1"/>
          <w:sz w:val="24"/>
        </w:rPr>
        <w:t>6</w:t>
      </w:r>
      <w:r w:rsidRPr="00E224E9">
        <w:rPr>
          <w:rFonts w:ascii="Book Antiqua" w:hAnsi="標楷體"/>
          <w:color w:val="000000" w:themeColor="text1"/>
          <w:sz w:val="24"/>
        </w:rPr>
        <w:t>投資型保險商品費用金額及第</w:t>
      </w:r>
      <w:r w:rsidRPr="00E224E9">
        <w:rPr>
          <w:rFonts w:ascii="Book Antiqua" w:hAnsi="Book Antiqua"/>
          <w:color w:val="000000" w:themeColor="text1"/>
          <w:sz w:val="24"/>
        </w:rPr>
        <w:t>4</w:t>
      </w:r>
      <w:r w:rsidR="00E2314E" w:rsidRPr="00E224E9">
        <w:rPr>
          <w:rFonts w:ascii="Book Antiqua" w:hAnsi="Book Antiqua" w:hint="eastAsia"/>
          <w:color w:val="000000" w:themeColor="text1"/>
          <w:sz w:val="24"/>
        </w:rPr>
        <w:t>7</w:t>
      </w:r>
      <w:r w:rsidRPr="00E224E9">
        <w:rPr>
          <w:rFonts w:ascii="Book Antiqua" w:hAnsi="標楷體"/>
          <w:color w:val="000000" w:themeColor="text1"/>
          <w:sz w:val="24"/>
        </w:rPr>
        <w:t>列勞退年金保險商品費用金額加總之和。</w:t>
      </w:r>
    </w:p>
    <w:p w14:paraId="43AC44A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4</w:t>
      </w:r>
      <w:r w:rsidR="00E2314E" w:rsidRPr="00E224E9">
        <w:rPr>
          <w:rFonts w:ascii="Book Antiqua" w:hAnsi="Book Antiqua" w:hint="eastAsia"/>
          <w:color w:val="000000" w:themeColor="text1"/>
          <w:sz w:val="24"/>
        </w:rPr>
        <w:t>6</w:t>
      </w:r>
      <w:r w:rsidRPr="00E224E9">
        <w:rPr>
          <w:rFonts w:ascii="Book Antiqua" w:hAnsi="標楷體"/>
          <w:color w:val="000000" w:themeColor="text1"/>
          <w:sz w:val="24"/>
        </w:rPr>
        <w:t>列－投資型保險商品費用</w:t>
      </w:r>
    </w:p>
    <w:p w14:paraId="42D34E7B"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凡投資型保險商品之各項費用總和皆屬之。</w:t>
      </w:r>
    </w:p>
    <w:p w14:paraId="3F768FE9"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4</w:t>
      </w:r>
      <w:r w:rsidR="00E2314E" w:rsidRPr="00E224E9">
        <w:rPr>
          <w:rFonts w:ascii="Book Antiqua" w:hAnsi="Book Antiqua" w:hint="eastAsia"/>
          <w:color w:val="000000" w:themeColor="text1"/>
          <w:sz w:val="24"/>
        </w:rPr>
        <w:t>7</w:t>
      </w:r>
      <w:r w:rsidRPr="00E224E9">
        <w:rPr>
          <w:rFonts w:ascii="Book Antiqua" w:hAnsi="標楷體"/>
          <w:color w:val="000000" w:themeColor="text1"/>
          <w:sz w:val="24"/>
        </w:rPr>
        <w:t>列－勞退年金保險商品費用</w:t>
      </w:r>
    </w:p>
    <w:p w14:paraId="427BC592"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凡「勞退企業年金保險」及「勞退個人年金保險」商品之各項費用總和皆屬之。</w:t>
      </w:r>
    </w:p>
    <w:p w14:paraId="21574968"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4</w:t>
      </w:r>
      <w:r w:rsidR="00E2314E" w:rsidRPr="00E224E9">
        <w:rPr>
          <w:rFonts w:ascii="Book Antiqua" w:hAnsi="Book Antiqua" w:hint="eastAsia"/>
          <w:color w:val="000000" w:themeColor="text1"/>
          <w:sz w:val="24"/>
        </w:rPr>
        <w:t>9</w:t>
      </w:r>
      <w:r w:rsidRPr="00E224E9">
        <w:rPr>
          <w:rFonts w:ascii="Book Antiqua" w:hAnsi="標楷體"/>
          <w:color w:val="000000" w:themeColor="text1"/>
          <w:sz w:val="24"/>
        </w:rPr>
        <w:t>列－營業成本合計</w:t>
      </w:r>
    </w:p>
    <w:p w14:paraId="2CA7ECAE"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本列係第</w:t>
      </w:r>
      <w:r w:rsidR="00994819" w:rsidRPr="00E224E9">
        <w:rPr>
          <w:rFonts w:ascii="Book Antiqua" w:hAnsi="Book Antiqua" w:hint="eastAsia"/>
          <w:color w:val="000000" w:themeColor="text1"/>
          <w:sz w:val="24"/>
        </w:rPr>
        <w:t>3</w:t>
      </w:r>
      <w:r w:rsidR="00E2314E" w:rsidRPr="00E224E9">
        <w:rPr>
          <w:rFonts w:ascii="Book Antiqua" w:hAnsi="Book Antiqua" w:hint="eastAsia"/>
          <w:color w:val="000000" w:themeColor="text1"/>
          <w:sz w:val="24"/>
        </w:rPr>
        <w:t>2</w:t>
      </w:r>
      <w:r w:rsidRPr="00E224E9">
        <w:rPr>
          <w:rFonts w:ascii="Book Antiqua" w:hAnsi="標楷體"/>
          <w:color w:val="000000" w:themeColor="text1"/>
          <w:sz w:val="24"/>
        </w:rPr>
        <w:t>列</w:t>
      </w:r>
      <w:r w:rsidR="00E2314E" w:rsidRPr="00E224E9">
        <w:rPr>
          <w:rFonts w:ascii="Book Antiqua" w:hAnsi="標楷體" w:hint="eastAsia"/>
          <w:color w:val="000000" w:themeColor="text1"/>
          <w:sz w:val="24"/>
        </w:rPr>
        <w:t>、</w:t>
      </w:r>
      <w:r w:rsidRPr="00E224E9">
        <w:rPr>
          <w:rFonts w:ascii="Book Antiqua" w:hAnsi="標楷體"/>
          <w:color w:val="000000" w:themeColor="text1"/>
          <w:sz w:val="24"/>
        </w:rPr>
        <w:t>第</w:t>
      </w:r>
      <w:r w:rsidR="00994819" w:rsidRPr="00E224E9">
        <w:rPr>
          <w:rFonts w:ascii="Book Antiqua" w:hAnsi="Book Antiqua" w:hint="eastAsia"/>
          <w:color w:val="000000" w:themeColor="text1"/>
          <w:sz w:val="24"/>
        </w:rPr>
        <w:t>3</w:t>
      </w:r>
      <w:r w:rsidR="00E2314E" w:rsidRPr="00E224E9">
        <w:rPr>
          <w:rFonts w:ascii="Book Antiqua" w:hAnsi="Book Antiqua" w:hint="eastAsia"/>
          <w:color w:val="000000" w:themeColor="text1"/>
          <w:sz w:val="24"/>
        </w:rPr>
        <w:t>3</w:t>
      </w:r>
      <w:r w:rsidRPr="00E224E9">
        <w:rPr>
          <w:rFonts w:ascii="Book Antiqua" w:hAnsi="標楷體"/>
          <w:color w:val="000000" w:themeColor="text1"/>
          <w:sz w:val="24"/>
        </w:rPr>
        <w:t>列及第</w:t>
      </w:r>
      <w:r w:rsidR="00E2314E" w:rsidRPr="00E224E9">
        <w:rPr>
          <w:rFonts w:ascii="Book Antiqua" w:hAnsi="Book Antiqua" w:hint="eastAsia"/>
          <w:color w:val="000000" w:themeColor="text1"/>
          <w:sz w:val="24"/>
        </w:rPr>
        <w:t>40</w:t>
      </w:r>
      <w:r w:rsidRPr="00E224E9">
        <w:rPr>
          <w:rFonts w:ascii="Book Antiqua" w:hAnsi="標楷體"/>
          <w:color w:val="000000" w:themeColor="text1"/>
          <w:sz w:val="24"/>
        </w:rPr>
        <w:t>列至第</w:t>
      </w:r>
      <w:r w:rsidRPr="00E224E9">
        <w:rPr>
          <w:rFonts w:ascii="Book Antiqua" w:hAnsi="Book Antiqua"/>
          <w:color w:val="000000" w:themeColor="text1"/>
          <w:sz w:val="24"/>
        </w:rPr>
        <w:t>4</w:t>
      </w:r>
      <w:r w:rsidR="00E2314E" w:rsidRPr="00E224E9">
        <w:rPr>
          <w:rFonts w:ascii="Book Antiqua" w:hAnsi="Book Antiqua" w:hint="eastAsia"/>
          <w:color w:val="000000" w:themeColor="text1"/>
          <w:sz w:val="24"/>
        </w:rPr>
        <w:t>5</w:t>
      </w:r>
      <w:r w:rsidRPr="00E224E9">
        <w:rPr>
          <w:rFonts w:ascii="Book Antiqua" w:hAnsi="標楷體"/>
          <w:color w:val="000000" w:themeColor="text1"/>
          <w:sz w:val="24"/>
        </w:rPr>
        <w:t>列之金額加總之和。</w:t>
      </w:r>
    </w:p>
    <w:p w14:paraId="412F972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50</w:t>
      </w:r>
      <w:r w:rsidRPr="00E224E9">
        <w:rPr>
          <w:rFonts w:ascii="Book Antiqua" w:hAnsi="標楷體"/>
          <w:color w:val="000000" w:themeColor="text1"/>
          <w:sz w:val="24"/>
        </w:rPr>
        <w:t>列－營業毛利</w:t>
      </w:r>
      <w:r w:rsidR="00E8268D" w:rsidRPr="00E224E9">
        <w:rPr>
          <w:rFonts w:ascii="Book Antiqua" w:hAnsi="Book Antiqua" w:hint="eastAsia"/>
          <w:color w:val="000000" w:themeColor="text1"/>
          <w:sz w:val="24"/>
        </w:rPr>
        <w:t>（</w:t>
      </w:r>
      <w:r w:rsidRPr="00E224E9">
        <w:rPr>
          <w:rFonts w:ascii="Book Antiqua" w:hAnsi="標楷體"/>
          <w:color w:val="000000" w:themeColor="text1"/>
          <w:sz w:val="24"/>
        </w:rPr>
        <w:t>毛損</w:t>
      </w:r>
      <w:r w:rsidR="00E8268D" w:rsidRPr="00E224E9">
        <w:rPr>
          <w:rFonts w:ascii="Book Antiqua" w:hAnsi="Book Antiqua" w:hint="eastAsia"/>
          <w:color w:val="000000" w:themeColor="text1"/>
          <w:sz w:val="24"/>
        </w:rPr>
        <w:t>）</w:t>
      </w:r>
    </w:p>
    <w:p w14:paraId="59C6284D"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本列係第</w:t>
      </w:r>
      <w:r w:rsidRPr="00E224E9">
        <w:rPr>
          <w:rFonts w:ascii="Book Antiqua" w:hAnsi="Book Antiqua" w:hint="eastAsia"/>
          <w:color w:val="000000" w:themeColor="text1"/>
          <w:sz w:val="24"/>
        </w:rPr>
        <w:t>2</w:t>
      </w:r>
      <w:r w:rsidR="00E8268D" w:rsidRPr="00E224E9">
        <w:rPr>
          <w:rFonts w:ascii="Book Antiqua" w:hAnsi="Book Antiqua"/>
          <w:color w:val="000000" w:themeColor="text1"/>
          <w:sz w:val="24"/>
        </w:rPr>
        <w:t>8</w:t>
      </w:r>
      <w:r w:rsidRPr="00E224E9">
        <w:rPr>
          <w:rFonts w:ascii="Book Antiqua" w:hAnsi="標楷體"/>
          <w:color w:val="000000" w:themeColor="text1"/>
          <w:sz w:val="24"/>
        </w:rPr>
        <w:t>列營業收入合計減除第</w:t>
      </w:r>
      <w:r w:rsidRPr="00E224E9">
        <w:rPr>
          <w:rFonts w:ascii="Book Antiqua" w:hAnsi="Book Antiqua" w:hint="eastAsia"/>
          <w:color w:val="000000" w:themeColor="text1"/>
          <w:sz w:val="24"/>
        </w:rPr>
        <w:t>4</w:t>
      </w:r>
      <w:r w:rsidR="00E8268D" w:rsidRPr="00E224E9">
        <w:rPr>
          <w:rFonts w:ascii="Book Antiqua" w:hAnsi="Book Antiqua"/>
          <w:color w:val="000000" w:themeColor="text1"/>
          <w:sz w:val="24"/>
        </w:rPr>
        <w:t>9</w:t>
      </w:r>
      <w:r w:rsidRPr="00E224E9">
        <w:rPr>
          <w:rFonts w:ascii="Book Antiqua" w:hAnsi="標楷體"/>
          <w:color w:val="000000" w:themeColor="text1"/>
          <w:sz w:val="24"/>
        </w:rPr>
        <w:t>列營業成本合計後之金額。</w:t>
      </w:r>
    </w:p>
    <w:p w14:paraId="2205053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Pr="00E224E9">
        <w:rPr>
          <w:rFonts w:ascii="Book Antiqua" w:hAnsi="Book Antiqua" w:hint="eastAsia"/>
          <w:color w:val="000000" w:themeColor="text1"/>
          <w:sz w:val="24"/>
        </w:rPr>
        <w:t>5</w:t>
      </w:r>
      <w:r w:rsidR="00E8268D" w:rsidRPr="00E224E9">
        <w:rPr>
          <w:rFonts w:ascii="Book Antiqua" w:hAnsi="Book Antiqua"/>
          <w:color w:val="000000" w:themeColor="text1"/>
          <w:sz w:val="24"/>
        </w:rPr>
        <w:t>7</w:t>
      </w:r>
      <w:r w:rsidRPr="00E224E9">
        <w:rPr>
          <w:rFonts w:ascii="Book Antiqua" w:hAnsi="標楷體"/>
          <w:color w:val="000000" w:themeColor="text1"/>
          <w:sz w:val="24"/>
        </w:rPr>
        <w:t>列－營業</w:t>
      </w:r>
      <w:r w:rsidR="00192C3F" w:rsidRPr="00E224E9">
        <w:rPr>
          <w:rFonts w:ascii="Book Antiqua" w:hAnsi="標楷體" w:hint="eastAsia"/>
          <w:color w:val="000000" w:themeColor="text1"/>
          <w:sz w:val="24"/>
        </w:rPr>
        <w:t>利益</w:t>
      </w:r>
      <w:r w:rsidR="00E8268D" w:rsidRPr="00E224E9">
        <w:rPr>
          <w:rFonts w:ascii="Book Antiqua" w:hAnsi="Book Antiqua" w:hint="eastAsia"/>
          <w:color w:val="000000" w:themeColor="text1"/>
          <w:sz w:val="24"/>
        </w:rPr>
        <w:t>（</w:t>
      </w:r>
      <w:r w:rsidR="00192C3F" w:rsidRPr="00E224E9">
        <w:rPr>
          <w:rFonts w:ascii="Book Antiqua" w:hAnsi="標楷體" w:hint="eastAsia"/>
          <w:color w:val="000000" w:themeColor="text1"/>
          <w:sz w:val="24"/>
        </w:rPr>
        <w:t>損失</w:t>
      </w:r>
      <w:r w:rsidR="00E8268D" w:rsidRPr="00E224E9">
        <w:rPr>
          <w:rFonts w:ascii="Book Antiqua" w:hAnsi="Book Antiqua" w:hint="eastAsia"/>
          <w:color w:val="000000" w:themeColor="text1"/>
          <w:sz w:val="24"/>
        </w:rPr>
        <w:t>）</w:t>
      </w:r>
    </w:p>
    <w:p w14:paraId="35A5D065"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本列係第</w:t>
      </w:r>
      <w:r w:rsidR="00E8268D" w:rsidRPr="00E224E9">
        <w:rPr>
          <w:rFonts w:ascii="Book Antiqua" w:hAnsi="Book Antiqua"/>
          <w:color w:val="000000" w:themeColor="text1"/>
          <w:sz w:val="24"/>
        </w:rPr>
        <w:t>50</w:t>
      </w:r>
      <w:r w:rsidRPr="00E224E9">
        <w:rPr>
          <w:rFonts w:ascii="Book Antiqua" w:hAnsi="標楷體"/>
          <w:color w:val="000000" w:themeColor="text1"/>
          <w:sz w:val="24"/>
        </w:rPr>
        <w:t>列營業毛利</w:t>
      </w:r>
      <w:r w:rsidR="00E8268D" w:rsidRPr="00E224E9">
        <w:rPr>
          <w:rFonts w:ascii="Book Antiqua" w:hAnsi="Book Antiqua" w:hint="eastAsia"/>
          <w:color w:val="000000" w:themeColor="text1"/>
          <w:sz w:val="24"/>
        </w:rPr>
        <w:t>（</w:t>
      </w:r>
      <w:r w:rsidRPr="00E224E9">
        <w:rPr>
          <w:rFonts w:ascii="Book Antiqua" w:hAnsi="標楷體"/>
          <w:color w:val="000000" w:themeColor="text1"/>
          <w:sz w:val="24"/>
        </w:rPr>
        <w:t>毛損</w:t>
      </w:r>
      <w:r w:rsidR="00E8268D" w:rsidRPr="00E224E9">
        <w:rPr>
          <w:rFonts w:ascii="Book Antiqua" w:hAnsi="Book Antiqua" w:hint="eastAsia"/>
          <w:color w:val="000000" w:themeColor="text1"/>
          <w:sz w:val="24"/>
        </w:rPr>
        <w:t>）</w:t>
      </w:r>
      <w:r w:rsidRPr="00E224E9">
        <w:rPr>
          <w:rFonts w:ascii="Book Antiqua" w:hAnsi="標楷體"/>
          <w:color w:val="000000" w:themeColor="text1"/>
          <w:sz w:val="24"/>
        </w:rPr>
        <w:t>減除第</w:t>
      </w:r>
      <w:r w:rsidRPr="00E224E9">
        <w:rPr>
          <w:rFonts w:ascii="Book Antiqua" w:hAnsi="Book Antiqua" w:hint="eastAsia"/>
          <w:color w:val="000000" w:themeColor="text1"/>
          <w:sz w:val="24"/>
        </w:rPr>
        <w:t>5</w:t>
      </w:r>
      <w:r w:rsidR="00E8268D" w:rsidRPr="00E224E9">
        <w:rPr>
          <w:rFonts w:ascii="Book Antiqua" w:hAnsi="Book Antiqua"/>
          <w:color w:val="000000" w:themeColor="text1"/>
          <w:sz w:val="24"/>
        </w:rPr>
        <w:t>6</w:t>
      </w:r>
      <w:r w:rsidRPr="00E224E9">
        <w:rPr>
          <w:rFonts w:ascii="Book Antiqua" w:hAnsi="標楷體"/>
          <w:color w:val="000000" w:themeColor="text1"/>
          <w:sz w:val="24"/>
        </w:rPr>
        <w:t>列營業費用合計後之金額。</w:t>
      </w:r>
    </w:p>
    <w:p w14:paraId="35387C1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6</w:t>
      </w:r>
      <w:r w:rsidR="00E8268D" w:rsidRPr="00E224E9">
        <w:rPr>
          <w:rFonts w:ascii="Book Antiqua" w:hAnsi="Book Antiqua"/>
          <w:color w:val="000000" w:themeColor="text1"/>
          <w:sz w:val="24"/>
        </w:rPr>
        <w:t>7</w:t>
      </w:r>
      <w:r w:rsidRPr="00E224E9">
        <w:rPr>
          <w:rFonts w:ascii="Book Antiqua" w:hAnsi="標楷體"/>
          <w:color w:val="000000" w:themeColor="text1"/>
          <w:sz w:val="24"/>
        </w:rPr>
        <w:t>列－營業外收入及</w:t>
      </w:r>
      <w:r w:rsidR="00994819" w:rsidRPr="00E224E9">
        <w:rPr>
          <w:rFonts w:ascii="Book Antiqua" w:hAnsi="標楷體" w:hint="eastAsia"/>
          <w:color w:val="000000" w:themeColor="text1"/>
          <w:sz w:val="24"/>
        </w:rPr>
        <w:t>支出</w:t>
      </w:r>
      <w:r w:rsidRPr="00E224E9">
        <w:rPr>
          <w:rFonts w:ascii="Book Antiqua" w:hAnsi="標楷體"/>
          <w:color w:val="000000" w:themeColor="text1"/>
          <w:sz w:val="24"/>
        </w:rPr>
        <w:t>合計</w:t>
      </w:r>
    </w:p>
    <w:p w14:paraId="52FE8B66"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本列係第</w:t>
      </w:r>
      <w:r w:rsidRPr="00E224E9">
        <w:rPr>
          <w:rFonts w:ascii="Book Antiqua" w:hAnsi="Book Antiqua" w:hint="eastAsia"/>
          <w:color w:val="000000" w:themeColor="text1"/>
          <w:sz w:val="24"/>
        </w:rPr>
        <w:t>5</w:t>
      </w:r>
      <w:r w:rsidR="00E8268D" w:rsidRPr="00E224E9">
        <w:rPr>
          <w:rFonts w:ascii="Book Antiqua" w:hAnsi="Book Antiqua"/>
          <w:color w:val="000000" w:themeColor="text1"/>
          <w:sz w:val="24"/>
        </w:rPr>
        <w:t>9</w:t>
      </w:r>
      <w:r w:rsidRPr="00E224E9">
        <w:rPr>
          <w:rFonts w:ascii="Book Antiqua" w:hAnsi="標楷體"/>
          <w:color w:val="000000" w:themeColor="text1"/>
          <w:sz w:val="24"/>
        </w:rPr>
        <w:t>列至第</w:t>
      </w:r>
      <w:r w:rsidRPr="00E224E9">
        <w:rPr>
          <w:rFonts w:ascii="Book Antiqua" w:hAnsi="Book Antiqua" w:hint="eastAsia"/>
          <w:color w:val="000000" w:themeColor="text1"/>
          <w:sz w:val="24"/>
        </w:rPr>
        <w:t>6</w:t>
      </w:r>
      <w:r w:rsidR="00E8268D" w:rsidRPr="00E224E9">
        <w:rPr>
          <w:rFonts w:ascii="Book Antiqua" w:hAnsi="Book Antiqua"/>
          <w:color w:val="000000" w:themeColor="text1"/>
          <w:sz w:val="24"/>
        </w:rPr>
        <w:t>5</w:t>
      </w:r>
      <w:r w:rsidRPr="00E224E9">
        <w:rPr>
          <w:rFonts w:ascii="Book Antiqua" w:hAnsi="標楷體"/>
          <w:color w:val="000000" w:themeColor="text1"/>
          <w:sz w:val="24"/>
        </w:rPr>
        <w:t>列之金額加總之和。</w:t>
      </w:r>
    </w:p>
    <w:p w14:paraId="0A36B59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94819" w:rsidRPr="00E224E9">
        <w:rPr>
          <w:rFonts w:ascii="Book Antiqua" w:hAnsi="Book Antiqua" w:hint="eastAsia"/>
          <w:color w:val="000000" w:themeColor="text1"/>
          <w:sz w:val="24"/>
        </w:rPr>
        <w:t>6</w:t>
      </w:r>
      <w:r w:rsidR="00E8268D" w:rsidRPr="00E224E9">
        <w:rPr>
          <w:rFonts w:ascii="Book Antiqua" w:hAnsi="Book Antiqua"/>
          <w:color w:val="000000" w:themeColor="text1"/>
          <w:sz w:val="24"/>
        </w:rPr>
        <w:t>8</w:t>
      </w:r>
      <w:r w:rsidRPr="00E224E9">
        <w:rPr>
          <w:rFonts w:ascii="Book Antiqua" w:hAnsi="標楷體"/>
          <w:color w:val="000000" w:themeColor="text1"/>
          <w:sz w:val="24"/>
        </w:rPr>
        <w:t>列－繼續營業</w:t>
      </w:r>
      <w:r w:rsidR="00192C3F" w:rsidRPr="00E224E9">
        <w:rPr>
          <w:rFonts w:ascii="Book Antiqua" w:hAnsi="標楷體" w:hint="eastAsia"/>
          <w:color w:val="000000" w:themeColor="text1"/>
          <w:sz w:val="24"/>
        </w:rPr>
        <w:t>單位</w:t>
      </w:r>
      <w:r w:rsidRPr="00E224E9">
        <w:rPr>
          <w:rFonts w:ascii="Book Antiqua" w:hAnsi="標楷體"/>
          <w:color w:val="000000" w:themeColor="text1"/>
          <w:sz w:val="24"/>
        </w:rPr>
        <w:t>稅前損益</w:t>
      </w:r>
    </w:p>
    <w:p w14:paraId="6FE19DD9" w14:textId="77777777" w:rsidR="00065C53" w:rsidRPr="00E224E9" w:rsidRDefault="00065C53">
      <w:pPr>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本列係第</w:t>
      </w:r>
      <w:r w:rsidRPr="00E224E9">
        <w:rPr>
          <w:rFonts w:ascii="Book Antiqua" w:hAnsi="Book Antiqua" w:hint="eastAsia"/>
          <w:color w:val="000000" w:themeColor="text1"/>
          <w:sz w:val="24"/>
        </w:rPr>
        <w:t>5</w:t>
      </w:r>
      <w:r w:rsidR="00E8268D" w:rsidRPr="00E224E9">
        <w:rPr>
          <w:rFonts w:ascii="Book Antiqua" w:hAnsi="Book Antiqua"/>
          <w:color w:val="000000" w:themeColor="text1"/>
          <w:sz w:val="24"/>
        </w:rPr>
        <w:t>7</w:t>
      </w:r>
      <w:r w:rsidRPr="00E224E9">
        <w:rPr>
          <w:rFonts w:ascii="Book Antiqua" w:hAnsi="標楷體"/>
          <w:color w:val="000000" w:themeColor="text1"/>
          <w:sz w:val="24"/>
        </w:rPr>
        <w:t>列營業</w:t>
      </w:r>
      <w:r w:rsidR="00E8268D" w:rsidRPr="00E224E9">
        <w:rPr>
          <w:rFonts w:ascii="Book Antiqua" w:hAnsi="標楷體" w:hint="eastAsia"/>
          <w:color w:val="000000" w:themeColor="text1"/>
          <w:sz w:val="24"/>
        </w:rPr>
        <w:t>利益</w:t>
      </w:r>
      <w:r w:rsidR="00E8268D" w:rsidRPr="00E224E9">
        <w:rPr>
          <w:rFonts w:ascii="Book Antiqua" w:hAnsi="Book Antiqua" w:hint="eastAsia"/>
          <w:color w:val="000000" w:themeColor="text1"/>
          <w:sz w:val="24"/>
        </w:rPr>
        <w:t>（</w:t>
      </w:r>
      <w:r w:rsidR="00E8268D" w:rsidRPr="00E224E9">
        <w:rPr>
          <w:rFonts w:ascii="Book Antiqua" w:hAnsi="標楷體" w:hint="eastAsia"/>
          <w:color w:val="000000" w:themeColor="text1"/>
          <w:sz w:val="24"/>
        </w:rPr>
        <w:t>損失</w:t>
      </w:r>
      <w:r w:rsidR="00E8268D" w:rsidRPr="00E224E9">
        <w:rPr>
          <w:rFonts w:ascii="Book Antiqua" w:hAnsi="Book Antiqua" w:hint="eastAsia"/>
          <w:color w:val="000000" w:themeColor="text1"/>
          <w:sz w:val="24"/>
        </w:rPr>
        <w:t>）</w:t>
      </w:r>
      <w:r w:rsidRPr="00E224E9">
        <w:rPr>
          <w:rFonts w:ascii="Book Antiqua" w:hAnsi="標楷體"/>
          <w:color w:val="000000" w:themeColor="text1"/>
          <w:sz w:val="24"/>
        </w:rPr>
        <w:t>加第</w:t>
      </w:r>
      <w:r w:rsidRPr="00E224E9">
        <w:rPr>
          <w:rFonts w:ascii="Book Antiqua" w:hAnsi="Book Antiqua" w:hint="eastAsia"/>
          <w:color w:val="000000" w:themeColor="text1"/>
          <w:sz w:val="24"/>
        </w:rPr>
        <w:t>6</w:t>
      </w:r>
      <w:r w:rsidR="00E8268D" w:rsidRPr="00E224E9">
        <w:rPr>
          <w:rFonts w:ascii="Book Antiqua" w:hAnsi="Book Antiqua"/>
          <w:color w:val="000000" w:themeColor="text1"/>
          <w:sz w:val="24"/>
        </w:rPr>
        <w:t>7</w:t>
      </w:r>
      <w:r w:rsidRPr="00E224E9">
        <w:rPr>
          <w:rFonts w:ascii="Book Antiqua" w:hAnsi="標楷體"/>
          <w:color w:val="000000" w:themeColor="text1"/>
          <w:sz w:val="24"/>
        </w:rPr>
        <w:t>列</w:t>
      </w:r>
      <w:r w:rsidR="00994819" w:rsidRPr="00E224E9">
        <w:rPr>
          <w:rFonts w:ascii="Book Antiqua" w:hAnsi="標楷體"/>
          <w:color w:val="000000" w:themeColor="text1"/>
          <w:sz w:val="24"/>
        </w:rPr>
        <w:t>營業外收入及</w:t>
      </w:r>
      <w:r w:rsidR="00994819" w:rsidRPr="00E224E9">
        <w:rPr>
          <w:rFonts w:ascii="Book Antiqua" w:hAnsi="標楷體" w:hint="eastAsia"/>
          <w:color w:val="000000" w:themeColor="text1"/>
          <w:sz w:val="24"/>
        </w:rPr>
        <w:t>支出</w:t>
      </w:r>
      <w:r w:rsidR="00994819" w:rsidRPr="00E224E9">
        <w:rPr>
          <w:rFonts w:ascii="Book Antiqua" w:hAnsi="標楷體"/>
          <w:color w:val="000000" w:themeColor="text1"/>
          <w:sz w:val="24"/>
        </w:rPr>
        <w:t>合計</w:t>
      </w:r>
      <w:r w:rsidRPr="00E224E9">
        <w:rPr>
          <w:rFonts w:ascii="Book Antiqua" w:hAnsi="標楷體"/>
          <w:color w:val="000000" w:themeColor="text1"/>
          <w:sz w:val="24"/>
        </w:rPr>
        <w:t>後之金額。</w:t>
      </w:r>
    </w:p>
    <w:p w14:paraId="3D7183E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E8268D" w:rsidRPr="00E224E9">
        <w:rPr>
          <w:rFonts w:ascii="Book Antiqua" w:hAnsi="Book Antiqua"/>
          <w:color w:val="000000" w:themeColor="text1"/>
          <w:sz w:val="24"/>
        </w:rPr>
        <w:t>70</w:t>
      </w:r>
      <w:r w:rsidRPr="00E224E9">
        <w:rPr>
          <w:rFonts w:ascii="Book Antiqua" w:hAnsi="標楷體"/>
          <w:color w:val="000000" w:themeColor="text1"/>
          <w:sz w:val="24"/>
        </w:rPr>
        <w:t>列－繼續營業</w:t>
      </w:r>
      <w:r w:rsidR="00192C3F" w:rsidRPr="00E224E9">
        <w:rPr>
          <w:rFonts w:ascii="Book Antiqua" w:hAnsi="標楷體" w:hint="eastAsia"/>
          <w:color w:val="000000" w:themeColor="text1"/>
          <w:sz w:val="24"/>
        </w:rPr>
        <w:t>單位</w:t>
      </w:r>
      <w:r w:rsidRPr="00E224E9">
        <w:rPr>
          <w:rFonts w:ascii="Book Antiqua" w:hAnsi="標楷體"/>
          <w:color w:val="000000" w:themeColor="text1"/>
          <w:sz w:val="24"/>
        </w:rPr>
        <w:t>稅後損益</w:t>
      </w:r>
    </w:p>
    <w:p w14:paraId="46DEB266" w14:textId="77777777" w:rsidR="00065C53" w:rsidRPr="00E224E9" w:rsidRDefault="00065C53">
      <w:pPr>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本列係第</w:t>
      </w:r>
      <w:r w:rsidR="00994819" w:rsidRPr="00E224E9">
        <w:rPr>
          <w:rFonts w:ascii="Book Antiqua" w:hAnsi="Book Antiqua" w:hint="eastAsia"/>
          <w:color w:val="000000" w:themeColor="text1"/>
          <w:sz w:val="24"/>
        </w:rPr>
        <w:t>6</w:t>
      </w:r>
      <w:r w:rsidR="00E8268D" w:rsidRPr="00E224E9">
        <w:rPr>
          <w:rFonts w:ascii="Book Antiqua" w:hAnsi="Book Antiqua"/>
          <w:color w:val="000000" w:themeColor="text1"/>
          <w:sz w:val="24"/>
        </w:rPr>
        <w:t>8</w:t>
      </w:r>
      <w:r w:rsidRPr="00E224E9">
        <w:rPr>
          <w:rFonts w:ascii="Book Antiqua" w:hAnsi="標楷體"/>
          <w:color w:val="000000" w:themeColor="text1"/>
          <w:sz w:val="24"/>
        </w:rPr>
        <w:t>列繼續營業部門稅前損益減除第</w:t>
      </w:r>
      <w:r w:rsidR="00994819" w:rsidRPr="00E224E9">
        <w:rPr>
          <w:rFonts w:ascii="Book Antiqua" w:hAnsi="Book Antiqua" w:hint="eastAsia"/>
          <w:color w:val="000000" w:themeColor="text1"/>
          <w:sz w:val="24"/>
        </w:rPr>
        <w:t>6</w:t>
      </w:r>
      <w:r w:rsidR="00E8268D" w:rsidRPr="00E224E9">
        <w:rPr>
          <w:rFonts w:ascii="Book Antiqua" w:hAnsi="Book Antiqua"/>
          <w:color w:val="000000" w:themeColor="text1"/>
          <w:sz w:val="24"/>
        </w:rPr>
        <w:t>9</w:t>
      </w:r>
      <w:r w:rsidRPr="00E224E9">
        <w:rPr>
          <w:rFonts w:ascii="Book Antiqua" w:hAnsi="標楷體"/>
          <w:color w:val="000000" w:themeColor="text1"/>
          <w:sz w:val="24"/>
        </w:rPr>
        <w:t>列所得稅費用</w:t>
      </w:r>
      <w:r w:rsidR="00E8268D" w:rsidRPr="00E224E9">
        <w:rPr>
          <w:rFonts w:ascii="Book Antiqua" w:hAnsi="Book Antiqua" w:hint="eastAsia"/>
          <w:color w:val="000000" w:themeColor="text1"/>
          <w:sz w:val="24"/>
        </w:rPr>
        <w:t>（</w:t>
      </w:r>
      <w:r w:rsidRPr="00E224E9">
        <w:rPr>
          <w:rFonts w:ascii="Book Antiqua" w:hAnsi="標楷體"/>
          <w:color w:val="000000" w:themeColor="text1"/>
          <w:sz w:val="24"/>
        </w:rPr>
        <w:t>利益</w:t>
      </w:r>
      <w:r w:rsidR="00E8268D" w:rsidRPr="00E224E9">
        <w:rPr>
          <w:rFonts w:ascii="Book Antiqua" w:hAnsi="Book Antiqua" w:hint="eastAsia"/>
          <w:color w:val="000000" w:themeColor="text1"/>
          <w:sz w:val="24"/>
        </w:rPr>
        <w:t>）</w:t>
      </w:r>
      <w:r w:rsidRPr="00E224E9">
        <w:rPr>
          <w:rFonts w:ascii="Book Antiqua" w:hAnsi="標楷體"/>
          <w:color w:val="000000" w:themeColor="text1"/>
          <w:sz w:val="24"/>
        </w:rPr>
        <w:t>後之金額。</w:t>
      </w:r>
    </w:p>
    <w:p w14:paraId="686EDFB3" w14:textId="77777777" w:rsidR="00065C53" w:rsidRPr="00E224E9" w:rsidRDefault="00065C53">
      <w:pPr>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192C3F" w:rsidRPr="00E224E9">
        <w:rPr>
          <w:rFonts w:ascii="Book Antiqua" w:hAnsi="Book Antiqua" w:hint="eastAsia"/>
          <w:color w:val="000000" w:themeColor="text1"/>
          <w:sz w:val="24"/>
        </w:rPr>
        <w:t>7</w:t>
      </w:r>
      <w:r w:rsidR="00E8268D" w:rsidRPr="00E224E9">
        <w:rPr>
          <w:rFonts w:ascii="Book Antiqua" w:hAnsi="Book Antiqua" w:hint="eastAsia"/>
          <w:color w:val="000000" w:themeColor="text1"/>
          <w:sz w:val="24"/>
        </w:rPr>
        <w:t>2</w:t>
      </w:r>
      <w:r w:rsidRPr="00E224E9">
        <w:rPr>
          <w:rFonts w:ascii="Book Antiqua" w:hAnsi="標楷體"/>
          <w:color w:val="000000" w:themeColor="text1"/>
          <w:sz w:val="24"/>
        </w:rPr>
        <w:t>列－本期淨利</w:t>
      </w:r>
      <w:r w:rsidR="00E8268D" w:rsidRPr="00E224E9">
        <w:rPr>
          <w:rFonts w:ascii="Book Antiqua" w:hAnsi="Book Antiqua" w:hint="eastAsia"/>
          <w:color w:val="000000" w:themeColor="text1"/>
          <w:sz w:val="24"/>
        </w:rPr>
        <w:t>（淨</w:t>
      </w:r>
      <w:r w:rsidRPr="00E224E9">
        <w:rPr>
          <w:rFonts w:ascii="Book Antiqua" w:hAnsi="標楷體"/>
          <w:color w:val="000000" w:themeColor="text1"/>
          <w:sz w:val="24"/>
        </w:rPr>
        <w:t>損</w:t>
      </w:r>
      <w:r w:rsidR="00E8268D" w:rsidRPr="00E224E9">
        <w:rPr>
          <w:rFonts w:ascii="Book Antiqua" w:hAnsi="Book Antiqua" w:hint="eastAsia"/>
          <w:color w:val="000000" w:themeColor="text1"/>
          <w:sz w:val="24"/>
        </w:rPr>
        <w:t>）</w:t>
      </w:r>
      <w:r w:rsidRPr="00E224E9">
        <w:rPr>
          <w:rFonts w:ascii="Book Antiqua" w:hAnsi="Book Antiqua"/>
          <w:color w:val="000000" w:themeColor="text1"/>
          <w:sz w:val="24"/>
        </w:rPr>
        <w:t>(</w:t>
      </w:r>
      <w:r w:rsidRPr="00E224E9">
        <w:rPr>
          <w:rFonts w:ascii="Book Antiqua" w:hAnsi="標楷體" w:hint="eastAsia"/>
          <w:color w:val="000000" w:themeColor="text1"/>
          <w:sz w:val="24"/>
        </w:rPr>
        <w:t>列</w:t>
      </w:r>
      <w:r w:rsidR="00E8268D" w:rsidRPr="00E224E9">
        <w:rPr>
          <w:rFonts w:ascii="Book Antiqua" w:hAnsi="標楷體" w:hint="eastAsia"/>
          <w:color w:val="000000" w:themeColor="text1"/>
          <w:sz w:val="24"/>
        </w:rPr>
        <w:t>70</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列</w:t>
      </w:r>
      <w:r w:rsidR="00E8268D" w:rsidRPr="00E224E9">
        <w:rPr>
          <w:rFonts w:ascii="Book Antiqua" w:hAnsi="標楷體" w:hint="eastAsia"/>
          <w:color w:val="000000" w:themeColor="text1"/>
          <w:sz w:val="24"/>
        </w:rPr>
        <w:t>71</w:t>
      </w:r>
      <w:r w:rsidRPr="00E224E9">
        <w:rPr>
          <w:rFonts w:ascii="Book Antiqua" w:hAnsi="Book Antiqua"/>
          <w:color w:val="000000" w:themeColor="text1"/>
          <w:sz w:val="24"/>
        </w:rPr>
        <w:t>)</w:t>
      </w:r>
    </w:p>
    <w:p w14:paraId="0088BE68" w14:textId="77777777" w:rsidR="00065C53" w:rsidRPr="00E224E9" w:rsidRDefault="00065C53">
      <w:pPr>
        <w:spacing w:line="440" w:lineRule="exact"/>
        <w:ind w:leftChars="346" w:left="900"/>
        <w:jc w:val="both"/>
        <w:rPr>
          <w:rFonts w:ascii="Book Antiqua" w:hAnsi="標楷體"/>
          <w:color w:val="000000" w:themeColor="text1"/>
          <w:sz w:val="24"/>
        </w:rPr>
      </w:pPr>
      <w:r w:rsidRPr="00E224E9">
        <w:rPr>
          <w:rFonts w:ascii="Book Antiqua" w:hAnsi="標楷體"/>
          <w:color w:val="000000" w:themeColor="text1"/>
          <w:sz w:val="24"/>
        </w:rPr>
        <w:t>本列係第</w:t>
      </w:r>
      <w:r w:rsidR="00E8268D" w:rsidRPr="00E224E9">
        <w:rPr>
          <w:rFonts w:ascii="Book Antiqua" w:hAnsi="Book Antiqua" w:hint="eastAsia"/>
          <w:color w:val="000000" w:themeColor="text1"/>
          <w:sz w:val="24"/>
        </w:rPr>
        <w:t>70</w:t>
      </w:r>
      <w:r w:rsidRPr="00E224E9">
        <w:rPr>
          <w:rFonts w:ascii="Book Antiqua" w:hAnsi="標楷體"/>
          <w:color w:val="000000" w:themeColor="text1"/>
          <w:sz w:val="24"/>
        </w:rPr>
        <w:t>列繼續營業部門稅後損益</w:t>
      </w:r>
      <w:r w:rsidR="00994819" w:rsidRPr="00E224E9">
        <w:rPr>
          <w:rFonts w:ascii="Book Antiqua" w:hAnsi="標楷體" w:hint="eastAsia"/>
          <w:color w:val="000000" w:themeColor="text1"/>
          <w:sz w:val="24"/>
        </w:rPr>
        <w:t>及</w:t>
      </w:r>
      <w:r w:rsidRPr="00E224E9">
        <w:rPr>
          <w:rFonts w:ascii="Book Antiqua" w:hAnsi="標楷體"/>
          <w:color w:val="000000" w:themeColor="text1"/>
          <w:sz w:val="24"/>
        </w:rPr>
        <w:t>第</w:t>
      </w:r>
      <w:r w:rsidR="00E8268D" w:rsidRPr="00E224E9">
        <w:rPr>
          <w:rFonts w:ascii="Book Antiqua" w:hAnsi="標楷體" w:hint="eastAsia"/>
          <w:color w:val="000000" w:themeColor="text1"/>
          <w:sz w:val="24"/>
        </w:rPr>
        <w:t>71</w:t>
      </w:r>
      <w:r w:rsidR="00994819" w:rsidRPr="00E224E9">
        <w:rPr>
          <w:rFonts w:ascii="Book Antiqua" w:hAnsi="標楷體"/>
          <w:color w:val="000000" w:themeColor="text1"/>
          <w:sz w:val="24"/>
        </w:rPr>
        <w:t>列停業部門損益</w:t>
      </w:r>
      <w:r w:rsidRPr="00E224E9">
        <w:rPr>
          <w:rFonts w:ascii="Book Antiqua" w:hAnsi="標楷體"/>
          <w:color w:val="000000" w:themeColor="text1"/>
          <w:sz w:val="24"/>
        </w:rPr>
        <w:t>加總之和。</w:t>
      </w:r>
    </w:p>
    <w:p w14:paraId="18FD503C" w14:textId="77777777" w:rsidR="007D4D49" w:rsidRPr="00E224E9" w:rsidRDefault="007D4D49" w:rsidP="007D4D49">
      <w:pPr>
        <w:spacing w:line="440" w:lineRule="exact"/>
        <w:ind w:leftChars="346" w:left="900"/>
        <w:jc w:val="both"/>
        <w:rPr>
          <w:rFonts w:ascii="Book Antiqua" w:hAnsi="Book Antiqua"/>
          <w:color w:val="000000" w:themeColor="text1"/>
          <w:sz w:val="24"/>
        </w:rPr>
      </w:pPr>
    </w:p>
    <w:p w14:paraId="48FBC6F8" w14:textId="45B1F6C3" w:rsidR="00065C53" w:rsidRPr="00E224E9" w:rsidRDefault="00065C53">
      <w:pPr>
        <w:pStyle w:val="1"/>
        <w:spacing w:afterLines="0" w:line="440" w:lineRule="exact"/>
        <w:rPr>
          <w:color w:val="000000" w:themeColor="text1"/>
          <w:szCs w:val="40"/>
        </w:rPr>
      </w:pPr>
      <w:r w:rsidRPr="00E224E9">
        <w:rPr>
          <w:rFonts w:ascii="Book Antiqua" w:hAnsi="Book Antiqua"/>
          <w:color w:val="000000" w:themeColor="text1"/>
          <w:sz w:val="24"/>
        </w:rPr>
        <w:br w:type="page"/>
      </w:r>
      <w:bookmarkStart w:id="8" w:name="_Toc81303298"/>
      <w:bookmarkStart w:id="9" w:name="_Toc296928208"/>
      <w:bookmarkStart w:id="10" w:name="_Toc200468513"/>
      <w:r w:rsidRPr="00E224E9">
        <w:rPr>
          <w:color w:val="000000" w:themeColor="text1"/>
          <w:szCs w:val="40"/>
        </w:rPr>
        <w:lastRenderedPageBreak/>
        <w:t>表05-1：資金運用表</w:t>
      </w:r>
      <w:bookmarkEnd w:id="8"/>
      <w:bookmarkEnd w:id="9"/>
      <w:bookmarkEnd w:id="10"/>
    </w:p>
    <w:p w14:paraId="7E0CEDC5"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bookmarkStart w:id="11" w:name="_Toc93835533"/>
      <w:r w:rsidRPr="00E224E9">
        <w:rPr>
          <w:rFonts w:ascii="Book Antiqua" w:hAnsi="標楷體"/>
          <w:color w:val="000000" w:themeColor="text1"/>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14:paraId="510AA6A3"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本表所稱關係人之定義及範圍準用表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標楷體" w:hint="eastAsia"/>
          <w:color w:val="000000" w:themeColor="text1"/>
          <w:sz w:val="24"/>
        </w:rPr>
        <w:t>三</w:t>
      </w:r>
      <w:r w:rsidRPr="00E224E9">
        <w:rPr>
          <w:rFonts w:ascii="Book Antiqua" w:hAnsi="標楷體"/>
          <w:color w:val="000000" w:themeColor="text1"/>
          <w:sz w:val="24"/>
        </w:rPr>
        <w:t>、關係人之定義及分類說明」之規定。</w:t>
      </w:r>
    </w:p>
    <w:p w14:paraId="20A78FA9"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各資金運用項目之金額茲以下列九欄表示</w:t>
      </w:r>
      <w:r w:rsidRPr="00E224E9">
        <w:rPr>
          <w:rFonts w:ascii="Book Antiqua" w:hAnsi="Book Antiqua"/>
          <w:color w:val="000000" w:themeColor="text1"/>
          <w:sz w:val="24"/>
        </w:rPr>
        <w:t>:</w:t>
      </w:r>
    </w:p>
    <w:p w14:paraId="573F1511"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欄－帳載金額</w:t>
      </w:r>
    </w:p>
    <w:p w14:paraId="2A1822BD"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係指保險業總帳及明細分類帳所紀錄之各資金運用項目的金額。</w:t>
      </w:r>
    </w:p>
    <w:p w14:paraId="7AF98645"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欄－佔資金來源比率</w:t>
      </w:r>
    </w:p>
    <w:p w14:paraId="51A10E8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所謂資金，包括業主權益及各項責任準備金。本欄比率為各資金運用項目其帳載金額與第</w:t>
      </w:r>
      <w:r w:rsidRPr="00E224E9">
        <w:rPr>
          <w:rFonts w:ascii="Book Antiqua" w:hAnsi="Book Antiqua"/>
          <w:color w:val="000000" w:themeColor="text1"/>
          <w:sz w:val="24"/>
        </w:rPr>
        <w:t>2</w:t>
      </w:r>
      <w:r w:rsidR="00A23BE6" w:rsidRPr="00E224E9">
        <w:rPr>
          <w:rFonts w:ascii="Book Antiqua" w:hAnsi="Book Antiqua" w:hint="eastAsia"/>
          <w:color w:val="000000" w:themeColor="text1"/>
          <w:sz w:val="24"/>
        </w:rPr>
        <w:t>52</w:t>
      </w:r>
      <w:r w:rsidRPr="00E224E9">
        <w:rPr>
          <w:rFonts w:ascii="Book Antiqua" w:hAnsi="標楷體"/>
          <w:color w:val="000000" w:themeColor="text1"/>
          <w:sz w:val="24"/>
        </w:rPr>
        <w:t>列資金來源總計之比。空白欄位不須填列。</w:t>
      </w:r>
    </w:p>
    <w:p w14:paraId="2AB869C7"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欄－非認許資產</w:t>
      </w:r>
    </w:p>
    <w:p w14:paraId="7FBECB5C"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14:paraId="558C80FB"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欄－淨認許資產</w:t>
      </w:r>
    </w:p>
    <w:p w14:paraId="0A3D0111"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2</w:t>
      </w:r>
      <w:r w:rsidRPr="00E224E9">
        <w:rPr>
          <w:rFonts w:ascii="Book Antiqua" w:hAnsi="標楷體"/>
          <w:color w:val="000000" w:themeColor="text1"/>
          <w:sz w:val="24"/>
        </w:rPr>
        <w:t>欄減除第</w:t>
      </w:r>
      <w:r w:rsidRPr="00E224E9">
        <w:rPr>
          <w:rFonts w:ascii="Book Antiqua" w:hAnsi="Book Antiqua"/>
          <w:color w:val="000000" w:themeColor="text1"/>
          <w:sz w:val="24"/>
        </w:rPr>
        <w:t>4</w:t>
      </w:r>
      <w:r w:rsidRPr="00E224E9">
        <w:rPr>
          <w:rFonts w:ascii="Book Antiqua" w:hAnsi="標楷體"/>
          <w:color w:val="000000" w:themeColor="text1"/>
          <w:sz w:val="24"/>
        </w:rPr>
        <w:t>欄後的金額。</w:t>
      </w:r>
    </w:p>
    <w:p w14:paraId="615EA185"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6</w:t>
      </w:r>
      <w:r w:rsidRPr="00E224E9">
        <w:rPr>
          <w:rFonts w:ascii="Book Antiqua" w:hAnsi="標楷體"/>
          <w:color w:val="000000" w:themeColor="text1"/>
          <w:sz w:val="24"/>
        </w:rPr>
        <w:t>欄－上期帳載金額</w:t>
      </w:r>
    </w:p>
    <w:p w14:paraId="06675BF0"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本欄須與上期各資金運用項目之帳載金額相一致。</w:t>
      </w:r>
    </w:p>
    <w:p w14:paraId="463EB9E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上期於填報月報資料時係指上月份餘額</w:t>
      </w:r>
      <w:r w:rsidRPr="00E224E9">
        <w:rPr>
          <w:rFonts w:ascii="Book Antiqua" w:hAnsi="Book Antiqua" w:hint="eastAsia"/>
          <w:color w:val="000000" w:themeColor="text1"/>
          <w:sz w:val="24"/>
        </w:rPr>
        <w:t>；</w:t>
      </w:r>
      <w:r w:rsidRPr="00E224E9">
        <w:rPr>
          <w:rFonts w:ascii="Book Antiqua" w:hAnsi="標楷體"/>
          <w:color w:val="000000" w:themeColor="text1"/>
          <w:sz w:val="24"/>
        </w:rPr>
        <w:t>於填報</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年報時係指上</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年度餘額</w:t>
      </w:r>
      <w:r w:rsidRPr="00E224E9">
        <w:rPr>
          <w:rFonts w:ascii="Book Antiqua" w:hAnsi="標楷體" w:hint="eastAsia"/>
          <w:color w:val="000000" w:themeColor="text1"/>
          <w:sz w:val="24"/>
        </w:rPr>
        <w:t>。</w:t>
      </w:r>
    </w:p>
    <w:p w14:paraId="6F6E200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7</w:t>
      </w:r>
      <w:r w:rsidRPr="00E224E9">
        <w:rPr>
          <w:rFonts w:ascii="Book Antiqua" w:hAnsi="標楷體"/>
          <w:color w:val="000000" w:themeColor="text1"/>
          <w:sz w:val="24"/>
        </w:rPr>
        <w:t>欄－上期佔資金來源比率</w:t>
      </w:r>
    </w:p>
    <w:p w14:paraId="6ED01305"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本欄須與上期各資金運用項目佔資金來源之比率相一致。</w:t>
      </w:r>
    </w:p>
    <w:p w14:paraId="3F769C87"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欄－上期淨認許資產</w:t>
      </w:r>
    </w:p>
    <w:p w14:paraId="445FCEAB"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本欄須與上期各資金運用項目之淨認許資產金額相一致。</w:t>
      </w:r>
    </w:p>
    <w:p w14:paraId="2A8857FB"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9</w:t>
      </w:r>
      <w:r w:rsidRPr="00E224E9">
        <w:rPr>
          <w:rFonts w:ascii="Book Antiqua" w:hAnsi="標楷體"/>
          <w:color w:val="000000" w:themeColor="text1"/>
          <w:sz w:val="24"/>
        </w:rPr>
        <w:t>欄－比較增減帳</w:t>
      </w:r>
      <w:bookmarkStart w:id="12" w:name="OLE_LINK1"/>
      <w:r w:rsidRPr="00E224E9">
        <w:rPr>
          <w:rFonts w:ascii="Book Antiqua" w:hAnsi="標楷體"/>
          <w:color w:val="000000" w:themeColor="text1"/>
          <w:sz w:val="24"/>
        </w:rPr>
        <w:t>載</w:t>
      </w:r>
      <w:bookmarkEnd w:id="12"/>
      <w:r w:rsidRPr="00E224E9">
        <w:rPr>
          <w:rFonts w:ascii="Book Antiqua" w:hAnsi="標楷體"/>
          <w:color w:val="000000" w:themeColor="text1"/>
          <w:sz w:val="24"/>
        </w:rPr>
        <w:t>金額</w:t>
      </w:r>
    </w:p>
    <w:p w14:paraId="4BA3F433" w14:textId="77777777" w:rsidR="003477BF" w:rsidRPr="00E224E9" w:rsidRDefault="003477BF" w:rsidP="003477BF">
      <w:pPr>
        <w:spacing w:line="440" w:lineRule="exact"/>
        <w:ind w:left="720"/>
        <w:jc w:val="both"/>
        <w:rPr>
          <w:rFonts w:ascii="Book Antiqua" w:hAnsi="Book Antiqua"/>
          <w:color w:val="000000" w:themeColor="text1"/>
          <w:sz w:val="24"/>
        </w:rPr>
      </w:pPr>
      <w:r w:rsidRPr="00E224E9">
        <w:rPr>
          <w:rFonts w:ascii="Book Antiqua" w:hAnsi="標楷體"/>
          <w:color w:val="000000" w:themeColor="text1"/>
          <w:sz w:val="24"/>
        </w:rPr>
        <w:t>本欄為第</w:t>
      </w:r>
      <w:r w:rsidRPr="00E224E9">
        <w:rPr>
          <w:rFonts w:ascii="Book Antiqua" w:hAnsi="Book Antiqua"/>
          <w:color w:val="000000" w:themeColor="text1"/>
          <w:sz w:val="24"/>
        </w:rPr>
        <w:t>2</w:t>
      </w:r>
      <w:r w:rsidRPr="00E224E9">
        <w:rPr>
          <w:rFonts w:ascii="Book Antiqua" w:hAnsi="標楷體"/>
          <w:color w:val="000000" w:themeColor="text1"/>
          <w:sz w:val="24"/>
        </w:rPr>
        <w:t>欄減除第</w:t>
      </w:r>
      <w:r w:rsidRPr="00E224E9">
        <w:rPr>
          <w:rFonts w:ascii="Book Antiqua" w:hAnsi="Book Antiqua"/>
          <w:color w:val="000000" w:themeColor="text1"/>
          <w:sz w:val="24"/>
        </w:rPr>
        <w:t>6</w:t>
      </w:r>
      <w:r w:rsidRPr="00E224E9">
        <w:rPr>
          <w:rFonts w:ascii="Book Antiqua" w:hAnsi="標楷體"/>
          <w:color w:val="000000" w:themeColor="text1"/>
          <w:sz w:val="24"/>
        </w:rPr>
        <w:t>欄後的金額。</w:t>
      </w:r>
    </w:p>
    <w:p w14:paraId="6BDC3552"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10</w:t>
      </w:r>
      <w:r w:rsidRPr="00E224E9">
        <w:rPr>
          <w:rFonts w:ascii="Book Antiqua" w:hAnsi="標楷體"/>
          <w:color w:val="000000" w:themeColor="text1"/>
          <w:sz w:val="24"/>
        </w:rPr>
        <w:t>欄－比較增減帳載金額百分比</w:t>
      </w:r>
    </w:p>
    <w:p w14:paraId="79F68119" w14:textId="77777777" w:rsidR="003477BF" w:rsidRPr="00E224E9" w:rsidRDefault="003477BF" w:rsidP="003477BF">
      <w:pPr>
        <w:spacing w:line="440" w:lineRule="exact"/>
        <w:ind w:left="720"/>
        <w:jc w:val="both"/>
        <w:rPr>
          <w:rFonts w:ascii="Book Antiqua" w:hAnsi="標楷體"/>
          <w:color w:val="000000" w:themeColor="text1"/>
          <w:sz w:val="24"/>
        </w:rPr>
      </w:pPr>
      <w:r w:rsidRPr="00E224E9">
        <w:rPr>
          <w:rFonts w:ascii="Book Antiqua" w:hAnsi="標楷體"/>
          <w:color w:val="000000" w:themeColor="text1"/>
          <w:sz w:val="24"/>
        </w:rPr>
        <w:t>本欄為第</w:t>
      </w:r>
      <w:r w:rsidRPr="00E224E9">
        <w:rPr>
          <w:rFonts w:ascii="Book Antiqua" w:hAnsi="Book Antiqua"/>
          <w:color w:val="000000" w:themeColor="text1"/>
          <w:sz w:val="24"/>
        </w:rPr>
        <w:t>9</w:t>
      </w:r>
      <w:r w:rsidRPr="00E224E9">
        <w:rPr>
          <w:rFonts w:ascii="Book Antiqua" w:hAnsi="標楷體"/>
          <w:color w:val="000000" w:themeColor="text1"/>
          <w:sz w:val="24"/>
        </w:rPr>
        <w:t>欄除以第</w:t>
      </w:r>
      <w:r w:rsidRPr="00E224E9">
        <w:rPr>
          <w:rFonts w:ascii="Book Antiqua" w:hAnsi="Book Antiqua"/>
          <w:color w:val="000000" w:themeColor="text1"/>
          <w:sz w:val="24"/>
        </w:rPr>
        <w:t>6</w:t>
      </w:r>
      <w:r w:rsidRPr="00E224E9">
        <w:rPr>
          <w:rFonts w:ascii="Book Antiqua" w:hAnsi="標楷體"/>
          <w:color w:val="000000" w:themeColor="text1"/>
          <w:sz w:val="24"/>
        </w:rPr>
        <w:t>欄後的百分比。</w:t>
      </w:r>
    </w:p>
    <w:p w14:paraId="00C39518" w14:textId="77777777" w:rsidR="003477BF" w:rsidRPr="00E224E9" w:rsidRDefault="003477BF" w:rsidP="003477BF">
      <w:pPr>
        <w:spacing w:line="440" w:lineRule="exact"/>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標楷體"/>
          <w:color w:val="000000" w:themeColor="text1"/>
          <w:sz w:val="24"/>
        </w:rPr>
        <w:t>1</w:t>
      </w:r>
      <w:r w:rsidRPr="00E224E9">
        <w:rPr>
          <w:rFonts w:ascii="Book Antiqua" w:hAnsi="標楷體" w:hint="eastAsia"/>
          <w:color w:val="000000" w:themeColor="text1"/>
          <w:sz w:val="24"/>
        </w:rPr>
        <w:t>1</w:t>
      </w:r>
      <w:r w:rsidRPr="00E224E9">
        <w:rPr>
          <w:rFonts w:ascii="Book Antiqua" w:hAnsi="標楷體"/>
          <w:color w:val="000000" w:themeColor="text1"/>
          <w:sz w:val="24"/>
        </w:rPr>
        <w:t>欄－</w:t>
      </w:r>
      <w:r w:rsidRPr="00E224E9">
        <w:rPr>
          <w:rFonts w:ascii="Book Antiqua" w:hAnsi="標楷體" w:hint="eastAsia"/>
          <w:color w:val="000000" w:themeColor="text1"/>
          <w:sz w:val="24"/>
        </w:rPr>
        <w:t>半年收盤平均價</w:t>
      </w:r>
    </w:p>
    <w:p w14:paraId="6A3B7AAE" w14:textId="77777777" w:rsidR="003477BF" w:rsidRPr="00E224E9" w:rsidRDefault="003477BF" w:rsidP="003477BF">
      <w:pPr>
        <w:spacing w:line="440" w:lineRule="exact"/>
        <w:ind w:left="720"/>
        <w:jc w:val="both"/>
        <w:rPr>
          <w:rFonts w:ascii="Book Antiqua" w:hAnsi="標楷體"/>
          <w:color w:val="000000" w:themeColor="text1"/>
          <w:sz w:val="24"/>
        </w:rPr>
      </w:pPr>
      <w:r w:rsidRPr="00E224E9">
        <w:rPr>
          <w:rFonts w:ascii="Book Antiqua" w:hAnsi="標楷體" w:hint="eastAsia"/>
          <w:color w:val="000000" w:themeColor="text1"/>
          <w:sz w:val="24"/>
        </w:rPr>
        <w:lastRenderedPageBreak/>
        <w:t>係指依資產負債表日前半年每日收盤價計算之算術平均價格</w:t>
      </w:r>
      <w:r w:rsidRPr="00E224E9">
        <w:rPr>
          <w:rFonts w:ascii="Book Antiqua" w:hAnsi="標楷體"/>
          <w:color w:val="000000" w:themeColor="text1"/>
          <w:sz w:val="24"/>
        </w:rPr>
        <w:t>。</w:t>
      </w:r>
    </w:p>
    <w:p w14:paraId="06DE5190" w14:textId="77777777" w:rsidR="003477BF" w:rsidRPr="00E224E9" w:rsidRDefault="003477BF" w:rsidP="003477BF">
      <w:pPr>
        <w:spacing w:line="440" w:lineRule="exact"/>
        <w:ind w:firstLineChars="207" w:firstLine="497"/>
        <w:jc w:val="both"/>
        <w:rPr>
          <w:rFonts w:ascii="Book Antiqua" w:hAnsi="標楷體"/>
          <w:color w:val="000000" w:themeColor="text1"/>
          <w:sz w:val="24"/>
        </w:rPr>
      </w:pPr>
    </w:p>
    <w:p w14:paraId="19EBB2EB"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各資金運用項目之分類及其帳項內涵，應依照保險法第</w:t>
      </w:r>
      <w:r w:rsidRPr="00E224E9">
        <w:rPr>
          <w:rFonts w:ascii="Book Antiqua" w:hAnsi="Book Antiqua"/>
          <w:color w:val="000000" w:themeColor="text1"/>
          <w:sz w:val="24"/>
        </w:rPr>
        <w:t>146</w:t>
      </w:r>
      <w:r w:rsidRPr="00E224E9">
        <w:rPr>
          <w:rFonts w:ascii="Book Antiqua" w:hAnsi="標楷體"/>
          <w:color w:val="000000" w:themeColor="text1"/>
          <w:sz w:val="24"/>
        </w:rPr>
        <w:t>條至第</w:t>
      </w:r>
      <w:r w:rsidRPr="00E224E9">
        <w:rPr>
          <w:rFonts w:ascii="Book Antiqua" w:hAnsi="Book Antiqua"/>
          <w:color w:val="000000" w:themeColor="text1"/>
          <w:sz w:val="24"/>
        </w:rPr>
        <w:t>146</w:t>
      </w:r>
      <w:r w:rsidRPr="00E224E9">
        <w:rPr>
          <w:rFonts w:ascii="Book Antiqua" w:hAnsi="標楷體"/>
          <w:color w:val="000000" w:themeColor="text1"/>
          <w:sz w:val="24"/>
        </w:rPr>
        <w:t>條之</w:t>
      </w:r>
      <w:r w:rsidRPr="00E224E9">
        <w:rPr>
          <w:rFonts w:ascii="Book Antiqua" w:hAnsi="Book Antiqua"/>
          <w:color w:val="000000" w:themeColor="text1"/>
          <w:sz w:val="24"/>
        </w:rPr>
        <w:t>8</w:t>
      </w:r>
      <w:r w:rsidRPr="00E224E9">
        <w:rPr>
          <w:rFonts w:ascii="Book Antiqua" w:hAnsi="標楷體"/>
          <w:color w:val="000000" w:themeColor="text1"/>
          <w:sz w:val="24"/>
        </w:rPr>
        <w:t>暨相關法令規定辦理。</w:t>
      </w:r>
    </w:p>
    <w:p w14:paraId="023B9E4B" w14:textId="77777777" w:rsidR="003477BF" w:rsidRPr="00E224E9" w:rsidRDefault="003477BF" w:rsidP="003477BF">
      <w:pPr>
        <w:spacing w:line="440" w:lineRule="exact"/>
        <w:jc w:val="both"/>
        <w:rPr>
          <w:rFonts w:ascii="Book Antiqua" w:hAnsi="Book Antiqua"/>
          <w:color w:val="000000" w:themeColor="text1"/>
          <w:sz w:val="24"/>
        </w:rPr>
      </w:pPr>
    </w:p>
    <w:p w14:paraId="44344A35"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一、現金及銀行存款</w:t>
      </w:r>
    </w:p>
    <w:p w14:paraId="250FBE7B"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標楷體"/>
          <w:color w:val="000000" w:themeColor="text1"/>
          <w:sz w:val="24"/>
        </w:rPr>
        <w:t>列－現金</w:t>
      </w:r>
    </w:p>
    <w:p w14:paraId="680B3C6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本列包括庫存現金及零用金、即期支票、銀行本票、郵政匯票以及保付支票等。</w:t>
      </w:r>
    </w:p>
    <w:p w14:paraId="12189BA7"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列－非關係金融機構銀行存款</w:t>
      </w:r>
    </w:p>
    <w:p w14:paraId="5518088B"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銀行存款包括支票存款、活期存款、活期儲蓄存款以及定期存款等。茲依受存單位將銀行存款區分為第</w:t>
      </w:r>
      <w:r w:rsidRPr="00E224E9">
        <w:rPr>
          <w:rFonts w:ascii="Book Antiqua" w:hAnsi="Book Antiqua"/>
          <w:color w:val="000000" w:themeColor="text1"/>
          <w:sz w:val="24"/>
        </w:rPr>
        <w:t>2</w:t>
      </w:r>
      <w:r w:rsidRPr="00E224E9">
        <w:rPr>
          <w:rFonts w:ascii="Book Antiqua" w:hAnsi="標楷體"/>
          <w:color w:val="000000" w:themeColor="text1"/>
          <w:sz w:val="24"/>
        </w:rPr>
        <w:t>列非關係金融機構銀行存款及第</w:t>
      </w:r>
      <w:r w:rsidRPr="00E224E9">
        <w:rPr>
          <w:rFonts w:ascii="Book Antiqua" w:hAnsi="Book Antiqua"/>
          <w:color w:val="000000" w:themeColor="text1"/>
          <w:sz w:val="24"/>
        </w:rPr>
        <w:t>3</w:t>
      </w:r>
      <w:r w:rsidRPr="00E224E9">
        <w:rPr>
          <w:rFonts w:ascii="Book Antiqua" w:hAnsi="標楷體"/>
          <w:color w:val="000000" w:themeColor="text1"/>
          <w:sz w:val="24"/>
        </w:rPr>
        <w:t>列關係金融機構銀行存款。</w:t>
      </w:r>
    </w:p>
    <w:p w14:paraId="160CA327"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列－關係金融機構銀行存款</w:t>
      </w:r>
    </w:p>
    <w:p w14:paraId="7DDBBCCC"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為配合資本適足性報表分類，茲將關係人分為第</w:t>
      </w:r>
      <w:r w:rsidRPr="00E224E9">
        <w:rPr>
          <w:rFonts w:ascii="Book Antiqua" w:hAnsi="Book Antiqua"/>
          <w:color w:val="000000" w:themeColor="text1"/>
          <w:sz w:val="24"/>
        </w:rPr>
        <w:t>4</w:t>
      </w:r>
      <w:r w:rsidRPr="00E224E9">
        <w:rPr>
          <w:rFonts w:ascii="Book Antiqua" w:hAnsi="標楷體"/>
          <w:color w:val="000000" w:themeColor="text1"/>
          <w:sz w:val="24"/>
        </w:rPr>
        <w:t>列具控制與從屬關係及第</w:t>
      </w:r>
      <w:r w:rsidRPr="00E224E9">
        <w:rPr>
          <w:rFonts w:ascii="Book Antiqua" w:hAnsi="Book Antiqua"/>
          <w:color w:val="000000" w:themeColor="text1"/>
          <w:sz w:val="24"/>
        </w:rPr>
        <w:t>5</w:t>
      </w:r>
      <w:r w:rsidRPr="00E224E9">
        <w:rPr>
          <w:rFonts w:ascii="Book Antiqua" w:hAnsi="標楷體"/>
          <w:color w:val="000000" w:themeColor="text1"/>
          <w:sz w:val="24"/>
        </w:rPr>
        <w:t>列非控制與從屬關係兩類。</w:t>
      </w:r>
    </w:p>
    <w:p w14:paraId="71E6CFB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本列之金額為前項各列加總之和。</w:t>
      </w:r>
    </w:p>
    <w:p w14:paraId="3EBAEDF4"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6</w:t>
      </w:r>
      <w:r w:rsidRPr="00E224E9">
        <w:rPr>
          <w:rFonts w:ascii="Book Antiqua" w:hAnsi="標楷體"/>
          <w:color w:val="000000" w:themeColor="text1"/>
          <w:sz w:val="24"/>
        </w:rPr>
        <w:t>列－現金及銀行存款合計</w:t>
      </w:r>
    </w:p>
    <w:p w14:paraId="24478115"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1</w:t>
      </w:r>
      <w:r w:rsidRPr="00E224E9">
        <w:rPr>
          <w:rFonts w:ascii="Book Antiqua" w:hAnsi="標楷體"/>
          <w:color w:val="000000" w:themeColor="text1"/>
          <w:sz w:val="24"/>
        </w:rPr>
        <w:t>列至第</w:t>
      </w:r>
      <w:r w:rsidRPr="00E224E9">
        <w:rPr>
          <w:rFonts w:ascii="Book Antiqua" w:hAnsi="Book Antiqua"/>
          <w:color w:val="000000" w:themeColor="text1"/>
          <w:sz w:val="24"/>
        </w:rPr>
        <w:t>3</w:t>
      </w:r>
      <w:r w:rsidRPr="00E224E9">
        <w:rPr>
          <w:rFonts w:ascii="Book Antiqua" w:hAnsi="標楷體"/>
          <w:color w:val="000000" w:themeColor="text1"/>
          <w:sz w:val="24"/>
        </w:rPr>
        <w:t>列加總之和。</w:t>
      </w:r>
    </w:p>
    <w:p w14:paraId="662FDB7E"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二、有價證券</w:t>
      </w:r>
    </w:p>
    <w:p w14:paraId="55045AF2"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列－金融債券及其他經主管機關核准購買之有價證券</w:t>
      </w:r>
    </w:p>
    <w:p w14:paraId="2321DE84"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為配合資本適足性報表分類，茲將金融債券及其他債券依發行人分為非關係人與關係人兩大類。</w:t>
      </w:r>
    </w:p>
    <w:p w14:paraId="6562374E"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9</w:t>
      </w:r>
      <w:r w:rsidRPr="00E224E9">
        <w:rPr>
          <w:rFonts w:ascii="Book Antiqua" w:hAnsi="標楷體"/>
          <w:color w:val="000000" w:themeColor="text1"/>
          <w:sz w:val="24"/>
        </w:rPr>
        <w:t>列及第</w:t>
      </w:r>
      <w:r w:rsidRPr="00E224E9">
        <w:rPr>
          <w:rFonts w:ascii="Book Antiqua" w:hAnsi="Book Antiqua"/>
          <w:color w:val="000000" w:themeColor="text1"/>
          <w:sz w:val="24"/>
        </w:rPr>
        <w:t>20</w:t>
      </w:r>
      <w:r w:rsidRPr="00E224E9">
        <w:rPr>
          <w:rFonts w:ascii="Book Antiqua" w:hAnsi="標楷體"/>
          <w:color w:val="000000" w:themeColor="text1"/>
          <w:sz w:val="24"/>
        </w:rPr>
        <w:t>列加總之和。</w:t>
      </w:r>
    </w:p>
    <w:p w14:paraId="03F0A4E0"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9</w:t>
      </w:r>
      <w:r w:rsidRPr="00E224E9">
        <w:rPr>
          <w:rFonts w:ascii="Book Antiqua" w:hAnsi="標楷體"/>
          <w:color w:val="000000" w:themeColor="text1"/>
          <w:sz w:val="24"/>
        </w:rPr>
        <w:t>列－非關係人</w:t>
      </w:r>
    </w:p>
    <w:p w14:paraId="41F1CA51" w14:textId="77777777" w:rsidR="003477BF" w:rsidRPr="00E224E9" w:rsidRDefault="003477BF" w:rsidP="003477BF">
      <w:pPr>
        <w:spacing w:line="440" w:lineRule="exact"/>
        <w:ind w:leftChars="277" w:left="72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10</w:t>
      </w:r>
      <w:r w:rsidRPr="00E224E9">
        <w:rPr>
          <w:rFonts w:ascii="Book Antiqua" w:hAnsi="標楷體"/>
          <w:color w:val="000000" w:themeColor="text1"/>
          <w:sz w:val="24"/>
        </w:rPr>
        <w:t>列至第</w:t>
      </w:r>
      <w:r w:rsidR="0083339B" w:rsidRPr="00E224E9">
        <w:rPr>
          <w:rFonts w:ascii="Book Antiqua" w:hAnsi="標楷體" w:hint="eastAsia"/>
          <w:color w:val="000000" w:themeColor="text1"/>
          <w:sz w:val="24"/>
        </w:rPr>
        <w:t>21</w:t>
      </w:r>
      <w:r w:rsidRPr="00E224E9">
        <w:rPr>
          <w:rFonts w:ascii="Book Antiqua" w:hAnsi="標楷體"/>
          <w:color w:val="000000" w:themeColor="text1"/>
          <w:sz w:val="24"/>
        </w:rPr>
        <w:t>列各列加總之和，包含金融債券、可轉讓定期存單、銀行承兌匯票、金融機構保證商業本票、附買回條件之債券投資、不動產受益證券、金融資產受益證券</w:t>
      </w:r>
      <w:r w:rsidRPr="00E224E9">
        <w:rPr>
          <w:rFonts w:ascii="Book Antiqua" w:hAnsi="Book Antiqua"/>
          <w:color w:val="000000" w:themeColor="text1"/>
          <w:sz w:val="24"/>
        </w:rPr>
        <w:t>(</w:t>
      </w:r>
      <w:r w:rsidRPr="00E224E9">
        <w:rPr>
          <w:rFonts w:ascii="Book Antiqua" w:hAnsi="標楷體"/>
          <w:color w:val="000000" w:themeColor="text1"/>
          <w:sz w:val="24"/>
        </w:rPr>
        <w:t>含資產基礎證券</w:t>
      </w:r>
      <w:r w:rsidR="007F5C37" w:rsidRPr="00E224E9">
        <w:rPr>
          <w:rFonts w:ascii="Book Antiqua" w:hAnsi="Book Antiqua"/>
          <w:color w:val="000000" w:themeColor="text1"/>
          <w:sz w:val="24"/>
        </w:rPr>
        <w:t>)</w:t>
      </w:r>
      <w:r w:rsidRPr="00E224E9">
        <w:rPr>
          <w:rFonts w:ascii="Book Antiqua" w:hAnsi="標楷體"/>
          <w:color w:val="000000" w:themeColor="text1"/>
          <w:sz w:val="24"/>
        </w:rPr>
        <w:t>、</w:t>
      </w:r>
      <w:r w:rsidRPr="00E224E9">
        <w:rPr>
          <w:rFonts w:ascii="Book Antiqua" w:hAnsi="Book Antiqua"/>
          <w:color w:val="000000" w:themeColor="text1"/>
          <w:sz w:val="24"/>
        </w:rPr>
        <w:t>ETF</w:t>
      </w:r>
      <w:r w:rsidRPr="00E224E9">
        <w:rPr>
          <w:rFonts w:ascii="Book Antiqua" w:hAnsi="標楷體"/>
          <w:color w:val="000000" w:themeColor="text1"/>
          <w:sz w:val="24"/>
        </w:rPr>
        <w:t>受益憑證</w:t>
      </w:r>
      <w:r w:rsidR="003C68AA" w:rsidRPr="00E224E9">
        <w:rPr>
          <w:rFonts w:ascii="Book Antiqua" w:hAnsi="標楷體" w:hint="eastAsia"/>
          <w:color w:val="000000" w:themeColor="text1"/>
          <w:sz w:val="24"/>
        </w:rPr>
        <w:t>、</w:t>
      </w:r>
      <w:r w:rsidR="003C68AA" w:rsidRPr="00E224E9">
        <w:rPr>
          <w:rFonts w:ascii="Book Antiqua" w:hAnsi="標楷體" w:hint="eastAsia"/>
          <w:color w:val="000000" w:themeColor="text1"/>
          <w:sz w:val="24"/>
        </w:rPr>
        <w:t>ETN</w:t>
      </w:r>
      <w:r w:rsidRPr="00E224E9">
        <w:rPr>
          <w:rFonts w:ascii="Book Antiqua" w:hAnsi="標楷體"/>
          <w:color w:val="000000" w:themeColor="text1"/>
          <w:sz w:val="24"/>
        </w:rPr>
        <w:t>及其他經核准之有價證券。</w:t>
      </w:r>
    </w:p>
    <w:p w14:paraId="73EB4DF4"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83339B" w:rsidRPr="00E224E9">
        <w:rPr>
          <w:rFonts w:ascii="Book Antiqua" w:hAnsi="Book Antiqua"/>
          <w:color w:val="000000" w:themeColor="text1"/>
          <w:sz w:val="24"/>
        </w:rPr>
        <w:t>2</w:t>
      </w:r>
      <w:r w:rsidRPr="00E224E9">
        <w:rPr>
          <w:rFonts w:ascii="Book Antiqua" w:hAnsi="標楷體"/>
          <w:color w:val="000000" w:themeColor="text1"/>
          <w:sz w:val="24"/>
        </w:rPr>
        <w:t>列－關係人</w:t>
      </w:r>
    </w:p>
    <w:p w14:paraId="251A8340"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為配合資本適足性報表分類，茲將關係人分為第</w:t>
      </w:r>
      <w:r w:rsidRPr="00E224E9">
        <w:rPr>
          <w:rFonts w:ascii="Book Antiqua" w:hAnsi="Book Antiqua"/>
          <w:color w:val="000000" w:themeColor="text1"/>
          <w:sz w:val="24"/>
        </w:rPr>
        <w:t>2</w:t>
      </w:r>
      <w:r w:rsidR="0083339B" w:rsidRPr="00E224E9">
        <w:rPr>
          <w:rFonts w:ascii="Book Antiqua" w:hAnsi="Book Antiqua"/>
          <w:color w:val="000000" w:themeColor="text1"/>
          <w:sz w:val="24"/>
        </w:rPr>
        <w:t>3</w:t>
      </w:r>
      <w:r w:rsidRPr="00E224E9">
        <w:rPr>
          <w:rFonts w:ascii="Book Antiqua" w:hAnsi="標楷體"/>
          <w:color w:val="000000" w:themeColor="text1"/>
          <w:sz w:val="24"/>
        </w:rPr>
        <w:t>列具控制與從屬關係及第</w:t>
      </w:r>
      <w:r w:rsidR="0083339B" w:rsidRPr="00E224E9">
        <w:rPr>
          <w:rFonts w:ascii="Book Antiqua" w:hAnsi="Book Antiqua"/>
          <w:color w:val="000000" w:themeColor="text1"/>
          <w:sz w:val="24"/>
        </w:rPr>
        <w:t>34</w:t>
      </w:r>
      <w:r w:rsidRPr="00E224E9">
        <w:rPr>
          <w:rFonts w:ascii="Book Antiqua" w:hAnsi="標楷體"/>
          <w:color w:val="000000" w:themeColor="text1"/>
          <w:sz w:val="24"/>
        </w:rPr>
        <w:t>列非控制與從屬關係兩類。</w:t>
      </w:r>
    </w:p>
    <w:p w14:paraId="052A009A"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lastRenderedPageBreak/>
        <w:t>本列之金額為第</w:t>
      </w:r>
      <w:r w:rsidRPr="00E224E9">
        <w:rPr>
          <w:rFonts w:ascii="Book Antiqua" w:hAnsi="Book Antiqua"/>
          <w:color w:val="000000" w:themeColor="text1"/>
          <w:sz w:val="24"/>
        </w:rPr>
        <w:t>2</w:t>
      </w:r>
      <w:r w:rsidR="0083339B" w:rsidRPr="00E224E9">
        <w:rPr>
          <w:rFonts w:ascii="Book Antiqua" w:hAnsi="Book Antiqua"/>
          <w:color w:val="000000" w:themeColor="text1"/>
          <w:sz w:val="24"/>
        </w:rPr>
        <w:t>3</w:t>
      </w:r>
      <w:r w:rsidRPr="00E224E9">
        <w:rPr>
          <w:rFonts w:ascii="Book Antiqua" w:hAnsi="標楷體"/>
          <w:color w:val="000000" w:themeColor="text1"/>
          <w:sz w:val="24"/>
        </w:rPr>
        <w:t>列及第</w:t>
      </w:r>
      <w:r w:rsidRPr="00E224E9">
        <w:rPr>
          <w:rFonts w:ascii="Book Antiqua" w:hAnsi="Book Antiqua"/>
          <w:color w:val="000000" w:themeColor="text1"/>
          <w:sz w:val="24"/>
        </w:rPr>
        <w:t>2</w:t>
      </w:r>
      <w:r w:rsidR="0083339B" w:rsidRPr="00E224E9">
        <w:rPr>
          <w:rFonts w:ascii="Book Antiqua" w:hAnsi="Book Antiqua"/>
          <w:color w:val="000000" w:themeColor="text1"/>
          <w:sz w:val="24"/>
        </w:rPr>
        <w:t>9</w:t>
      </w:r>
      <w:r w:rsidRPr="00E224E9">
        <w:rPr>
          <w:rFonts w:ascii="Book Antiqua" w:hAnsi="標楷體"/>
          <w:color w:val="000000" w:themeColor="text1"/>
          <w:sz w:val="24"/>
        </w:rPr>
        <w:t>列加總之和。</w:t>
      </w:r>
    </w:p>
    <w:p w14:paraId="3765B8F6"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83339B" w:rsidRPr="00E224E9">
        <w:rPr>
          <w:rFonts w:ascii="Book Antiqua" w:hAnsi="Book Antiqua"/>
          <w:color w:val="000000" w:themeColor="text1"/>
          <w:sz w:val="24"/>
        </w:rPr>
        <w:t>35</w:t>
      </w:r>
      <w:r w:rsidRPr="00E224E9">
        <w:rPr>
          <w:rFonts w:ascii="Book Antiqua" w:hAnsi="標楷體"/>
          <w:color w:val="000000" w:themeColor="text1"/>
          <w:sz w:val="24"/>
        </w:rPr>
        <w:t>列－股票及公司債</w:t>
      </w:r>
    </w:p>
    <w:p w14:paraId="547584DD"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為配合資本適足性報表分類，茲將股票及公司債依發行人分為非關係人與關係人兩大類。</w:t>
      </w:r>
    </w:p>
    <w:p w14:paraId="3B7707C6"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83339B" w:rsidRPr="00E224E9">
        <w:rPr>
          <w:rFonts w:ascii="Book Antiqua" w:hAnsi="Book Antiqua"/>
          <w:color w:val="000000" w:themeColor="text1"/>
          <w:sz w:val="24"/>
        </w:rPr>
        <w:t>36</w:t>
      </w:r>
      <w:r w:rsidRPr="00E224E9">
        <w:rPr>
          <w:rFonts w:ascii="Book Antiqua" w:hAnsi="標楷體"/>
          <w:color w:val="000000" w:themeColor="text1"/>
          <w:sz w:val="24"/>
        </w:rPr>
        <w:t>列及第</w:t>
      </w:r>
      <w:r w:rsidR="0083339B" w:rsidRPr="00E224E9">
        <w:rPr>
          <w:rFonts w:ascii="Book Antiqua" w:hAnsi="Book Antiqua"/>
          <w:color w:val="000000" w:themeColor="text1"/>
          <w:sz w:val="24"/>
        </w:rPr>
        <w:t>43</w:t>
      </w:r>
      <w:r w:rsidRPr="00E224E9">
        <w:rPr>
          <w:rFonts w:ascii="Book Antiqua" w:hAnsi="標楷體"/>
          <w:color w:val="000000" w:themeColor="text1"/>
          <w:sz w:val="24"/>
        </w:rPr>
        <w:t>列加總之和。</w:t>
      </w:r>
    </w:p>
    <w:p w14:paraId="6072099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未上市上櫃股票，以該發行股票公司每股淨值與</w:t>
      </w:r>
      <w:r w:rsidRPr="00E224E9">
        <w:rPr>
          <w:rFonts w:ascii="Book Antiqua" w:hAnsi="標楷體" w:hint="eastAsia"/>
          <w:color w:val="000000" w:themeColor="text1"/>
          <w:sz w:val="24"/>
        </w:rPr>
        <w:t>帳載金額</w:t>
      </w:r>
      <w:r w:rsidRPr="00E224E9">
        <w:rPr>
          <w:rFonts w:ascii="Book Antiqua" w:hAnsi="標楷體"/>
          <w:color w:val="000000" w:themeColor="text1"/>
          <w:sz w:val="24"/>
        </w:rPr>
        <w:t>孰低評價，低於淨值之部份逕列於股票各列之第</w:t>
      </w:r>
      <w:r w:rsidRPr="00E224E9">
        <w:rPr>
          <w:rFonts w:ascii="Book Antiqua" w:hAnsi="Book Antiqua"/>
          <w:color w:val="000000" w:themeColor="text1"/>
          <w:sz w:val="24"/>
        </w:rPr>
        <w:t>4</w:t>
      </w:r>
      <w:r w:rsidRPr="00E224E9">
        <w:rPr>
          <w:rFonts w:ascii="Book Antiqua" w:hAnsi="標楷體"/>
          <w:color w:val="000000" w:themeColor="text1"/>
          <w:sz w:val="24"/>
        </w:rPr>
        <w:t>欄。</w:t>
      </w:r>
    </w:p>
    <w:p w14:paraId="11E633A8"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債券投資，以攤銷後成本評價，低於或高於帳載金額之部分逕列於債券各列之第</w:t>
      </w:r>
      <w:r w:rsidRPr="00E224E9">
        <w:rPr>
          <w:rFonts w:ascii="Book Antiqua" w:hAnsi="Book Antiqua"/>
          <w:color w:val="000000" w:themeColor="text1"/>
          <w:sz w:val="24"/>
        </w:rPr>
        <w:t>4</w:t>
      </w:r>
      <w:r w:rsidRPr="00E224E9">
        <w:rPr>
          <w:rFonts w:ascii="Book Antiqua" w:hAnsi="標楷體"/>
          <w:color w:val="000000" w:themeColor="text1"/>
          <w:sz w:val="24"/>
        </w:rPr>
        <w:t>欄。</w:t>
      </w:r>
    </w:p>
    <w:p w14:paraId="4758730C"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83339B" w:rsidRPr="00E224E9">
        <w:rPr>
          <w:rFonts w:ascii="Book Antiqua" w:hAnsi="Book Antiqua"/>
          <w:color w:val="000000" w:themeColor="text1"/>
          <w:sz w:val="24"/>
        </w:rPr>
        <w:t>36</w:t>
      </w:r>
      <w:r w:rsidRPr="00E224E9">
        <w:rPr>
          <w:rFonts w:ascii="Book Antiqua" w:hAnsi="標楷體"/>
          <w:color w:val="000000" w:themeColor="text1"/>
          <w:sz w:val="24"/>
        </w:rPr>
        <w:t>列－非關係人</w:t>
      </w:r>
    </w:p>
    <w:p w14:paraId="274263FC" w14:textId="77777777" w:rsidR="003477BF" w:rsidRPr="00E224E9" w:rsidRDefault="003477BF" w:rsidP="003477BF">
      <w:pPr>
        <w:tabs>
          <w:tab w:val="left" w:pos="180"/>
        </w:tabs>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83339B" w:rsidRPr="00E224E9">
        <w:rPr>
          <w:rFonts w:ascii="Book Antiqua" w:hAnsi="Book Antiqua"/>
          <w:color w:val="000000" w:themeColor="text1"/>
          <w:sz w:val="24"/>
        </w:rPr>
        <w:t>37</w:t>
      </w:r>
      <w:r w:rsidRPr="00E224E9">
        <w:rPr>
          <w:rFonts w:ascii="Book Antiqua" w:hAnsi="標楷體"/>
          <w:color w:val="000000" w:themeColor="text1"/>
          <w:sz w:val="24"/>
        </w:rPr>
        <w:t>列及第</w:t>
      </w:r>
      <w:r w:rsidR="0083339B" w:rsidRPr="00E224E9">
        <w:rPr>
          <w:rFonts w:ascii="Book Antiqua" w:hAnsi="Book Antiqua"/>
          <w:color w:val="000000" w:themeColor="text1"/>
          <w:sz w:val="24"/>
        </w:rPr>
        <w:t>42</w:t>
      </w:r>
      <w:r w:rsidRPr="00E224E9">
        <w:rPr>
          <w:rFonts w:ascii="Book Antiqua" w:hAnsi="標楷體"/>
          <w:color w:val="000000" w:themeColor="text1"/>
          <w:sz w:val="24"/>
        </w:rPr>
        <w:t>列加總之和，包含股票及公司債兩大類。其中，股票投資依其性質區分為第</w:t>
      </w:r>
      <w:r w:rsidR="0083339B" w:rsidRPr="00E224E9">
        <w:rPr>
          <w:rFonts w:ascii="Book Antiqua" w:hAnsi="Book Antiqua"/>
          <w:color w:val="000000" w:themeColor="text1"/>
          <w:sz w:val="24"/>
        </w:rPr>
        <w:t>38</w:t>
      </w:r>
      <w:r w:rsidRPr="00E224E9">
        <w:rPr>
          <w:rFonts w:ascii="Book Antiqua" w:hAnsi="標楷體"/>
          <w:color w:val="000000" w:themeColor="text1"/>
          <w:sz w:val="24"/>
        </w:rPr>
        <w:t>列之普通股及第</w:t>
      </w:r>
      <w:r w:rsidR="0083339B" w:rsidRPr="00E224E9">
        <w:rPr>
          <w:rFonts w:ascii="Book Antiqua" w:hAnsi="Book Antiqua"/>
          <w:color w:val="000000" w:themeColor="text1"/>
          <w:sz w:val="24"/>
        </w:rPr>
        <w:t>39</w:t>
      </w:r>
      <w:r w:rsidRPr="00E224E9">
        <w:rPr>
          <w:rFonts w:ascii="Book Antiqua" w:hAnsi="標楷體"/>
          <w:color w:val="000000" w:themeColor="text1"/>
          <w:sz w:val="24"/>
        </w:rPr>
        <w:t>列之特別股；特別股則再依其收益特性進一步區分為第</w:t>
      </w:r>
      <w:r w:rsidR="0083339B" w:rsidRPr="00E224E9">
        <w:rPr>
          <w:rFonts w:ascii="Book Antiqua" w:hAnsi="Book Antiqua"/>
          <w:color w:val="000000" w:themeColor="text1"/>
          <w:sz w:val="24"/>
        </w:rPr>
        <w:t>40</w:t>
      </w:r>
      <w:r w:rsidRPr="00E224E9">
        <w:rPr>
          <w:rFonts w:ascii="Book Antiqua" w:hAnsi="標楷體"/>
          <w:color w:val="000000" w:themeColor="text1"/>
          <w:sz w:val="24"/>
        </w:rPr>
        <w:t>列之固定收益型及第</w:t>
      </w:r>
      <w:r w:rsidR="0083339B" w:rsidRPr="00E224E9">
        <w:rPr>
          <w:rFonts w:ascii="Book Antiqua" w:hAnsi="Book Antiqua"/>
          <w:color w:val="000000" w:themeColor="text1"/>
          <w:sz w:val="24"/>
        </w:rPr>
        <w:t>41</w:t>
      </w:r>
      <w:r w:rsidRPr="00E224E9">
        <w:rPr>
          <w:rFonts w:ascii="Book Antiqua" w:hAnsi="標楷體"/>
          <w:color w:val="000000" w:themeColor="text1"/>
          <w:sz w:val="24"/>
        </w:rPr>
        <w:t>列非固定收益型兩類。</w:t>
      </w:r>
    </w:p>
    <w:p w14:paraId="39027F1B" w14:textId="77777777" w:rsidR="003477BF" w:rsidRPr="00E224E9" w:rsidRDefault="003477BF" w:rsidP="003477BF">
      <w:pPr>
        <w:tabs>
          <w:tab w:val="left" w:pos="180"/>
        </w:tabs>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所稱「固定收益特別股」係指同時符合下列五條件者，反之，則屬「非固定收益特別股」：</w:t>
      </w:r>
    </w:p>
    <w:p w14:paraId="2FD3105E" w14:textId="77777777" w:rsidR="003477BF" w:rsidRPr="00E224E9" w:rsidRDefault="003477BF" w:rsidP="004373AD">
      <w:pPr>
        <w:numPr>
          <w:ilvl w:val="0"/>
          <w:numId w:val="9"/>
        </w:numPr>
        <w:tabs>
          <w:tab w:val="clear" w:pos="1680"/>
          <w:tab w:val="left" w:pos="180"/>
        </w:tabs>
        <w:spacing w:line="440" w:lineRule="exact"/>
        <w:ind w:left="1080" w:hanging="360"/>
        <w:jc w:val="both"/>
        <w:rPr>
          <w:rFonts w:ascii="Book Antiqua" w:hAnsi="Book Antiqua"/>
          <w:color w:val="000000" w:themeColor="text1"/>
          <w:sz w:val="24"/>
        </w:rPr>
      </w:pPr>
      <w:r w:rsidRPr="00E224E9">
        <w:rPr>
          <w:rFonts w:ascii="Book Antiqua" w:hAnsi="標楷體"/>
          <w:color w:val="000000" w:themeColor="text1"/>
          <w:sz w:val="24"/>
        </w:rPr>
        <w:t>有固定到期日。</w:t>
      </w:r>
    </w:p>
    <w:p w14:paraId="4F27ACA8" w14:textId="77777777" w:rsidR="003477BF" w:rsidRPr="00E224E9" w:rsidRDefault="003477BF" w:rsidP="004373AD">
      <w:pPr>
        <w:numPr>
          <w:ilvl w:val="0"/>
          <w:numId w:val="9"/>
        </w:numPr>
        <w:tabs>
          <w:tab w:val="clear" w:pos="1680"/>
          <w:tab w:val="left" w:pos="180"/>
        </w:tabs>
        <w:spacing w:line="440" w:lineRule="exact"/>
        <w:ind w:left="1080" w:hanging="360"/>
        <w:jc w:val="both"/>
        <w:rPr>
          <w:rFonts w:ascii="Book Antiqua" w:hAnsi="Book Antiqua"/>
          <w:color w:val="000000" w:themeColor="text1"/>
          <w:sz w:val="24"/>
        </w:rPr>
      </w:pPr>
      <w:r w:rsidRPr="00E224E9">
        <w:rPr>
          <w:rFonts w:ascii="Book Antiqua" w:hAnsi="標楷體"/>
          <w:color w:val="000000" w:themeColor="text1"/>
          <w:sz w:val="24"/>
        </w:rPr>
        <w:t>固定股利率。</w:t>
      </w:r>
    </w:p>
    <w:p w14:paraId="40177FF3" w14:textId="77777777" w:rsidR="003477BF" w:rsidRPr="00E224E9" w:rsidRDefault="003477BF" w:rsidP="004373AD">
      <w:pPr>
        <w:numPr>
          <w:ilvl w:val="0"/>
          <w:numId w:val="9"/>
        </w:numPr>
        <w:tabs>
          <w:tab w:val="clear" w:pos="1680"/>
          <w:tab w:val="left" w:pos="180"/>
        </w:tabs>
        <w:spacing w:line="440" w:lineRule="exact"/>
        <w:ind w:left="1080" w:hanging="360"/>
        <w:jc w:val="both"/>
        <w:rPr>
          <w:rFonts w:ascii="Book Antiqua" w:hAnsi="Book Antiqua"/>
          <w:color w:val="000000" w:themeColor="text1"/>
          <w:sz w:val="24"/>
        </w:rPr>
      </w:pPr>
      <w:r w:rsidRPr="00E224E9">
        <w:rPr>
          <w:rFonts w:ascii="Book Antiqua" w:hAnsi="標楷體"/>
          <w:color w:val="000000" w:themeColor="text1"/>
          <w:sz w:val="24"/>
        </w:rPr>
        <w:t>可累積。</w:t>
      </w:r>
    </w:p>
    <w:p w14:paraId="60945BBA" w14:textId="77777777" w:rsidR="003477BF" w:rsidRPr="00E224E9" w:rsidRDefault="003477BF" w:rsidP="004373AD">
      <w:pPr>
        <w:numPr>
          <w:ilvl w:val="0"/>
          <w:numId w:val="9"/>
        </w:numPr>
        <w:tabs>
          <w:tab w:val="clear" w:pos="1680"/>
          <w:tab w:val="left" w:pos="180"/>
        </w:tabs>
        <w:spacing w:line="440" w:lineRule="exact"/>
        <w:ind w:left="1080" w:hanging="360"/>
        <w:jc w:val="both"/>
        <w:rPr>
          <w:rFonts w:ascii="Book Antiqua" w:hAnsi="Book Antiqua"/>
          <w:color w:val="000000" w:themeColor="text1"/>
          <w:sz w:val="24"/>
        </w:rPr>
      </w:pPr>
      <w:r w:rsidRPr="00E224E9">
        <w:rPr>
          <w:rFonts w:ascii="Book Antiqua" w:hAnsi="標楷體"/>
          <w:color w:val="000000" w:themeColor="text1"/>
          <w:sz w:val="24"/>
        </w:rPr>
        <w:t>到期償還本金。</w:t>
      </w:r>
    </w:p>
    <w:p w14:paraId="368FCF3B" w14:textId="77777777" w:rsidR="003477BF" w:rsidRPr="00E224E9" w:rsidRDefault="003477BF" w:rsidP="004373AD">
      <w:pPr>
        <w:numPr>
          <w:ilvl w:val="0"/>
          <w:numId w:val="9"/>
        </w:numPr>
        <w:tabs>
          <w:tab w:val="clear" w:pos="1680"/>
          <w:tab w:val="left" w:pos="180"/>
        </w:tabs>
        <w:spacing w:line="440" w:lineRule="exact"/>
        <w:ind w:left="1080" w:hanging="360"/>
        <w:jc w:val="both"/>
        <w:rPr>
          <w:rFonts w:ascii="Book Antiqua" w:hAnsi="Book Antiqua"/>
          <w:color w:val="000000" w:themeColor="text1"/>
          <w:sz w:val="24"/>
        </w:rPr>
      </w:pPr>
      <w:r w:rsidRPr="00E224E9">
        <w:rPr>
          <w:rFonts w:ascii="Book Antiqua" w:hAnsi="標楷體"/>
          <w:color w:val="000000" w:themeColor="text1"/>
          <w:sz w:val="24"/>
        </w:rPr>
        <w:t>非強制轉換。</w:t>
      </w:r>
    </w:p>
    <w:p w14:paraId="460DCA0C"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83339B" w:rsidRPr="00E224E9">
        <w:rPr>
          <w:rFonts w:ascii="Book Antiqua" w:hAnsi="Book Antiqua"/>
          <w:color w:val="000000" w:themeColor="text1"/>
          <w:sz w:val="24"/>
        </w:rPr>
        <w:t>50</w:t>
      </w:r>
      <w:r w:rsidRPr="00E224E9">
        <w:rPr>
          <w:rFonts w:ascii="Book Antiqua" w:hAnsi="標楷體"/>
          <w:color w:val="000000" w:themeColor="text1"/>
          <w:sz w:val="24"/>
        </w:rPr>
        <w:t>列－受益憑證</w:t>
      </w:r>
    </w:p>
    <w:p w14:paraId="1A0D105E"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為配合資本適足性報表分類，茲將受益憑證依發行人分為非關係人與關係人兩大類，並將關係人分為第</w:t>
      </w:r>
      <w:r w:rsidR="001304DA" w:rsidRPr="00E224E9">
        <w:rPr>
          <w:rFonts w:ascii="Book Antiqua" w:hAnsi="Book Antiqua"/>
          <w:color w:val="000000" w:themeColor="text1"/>
          <w:sz w:val="24"/>
        </w:rPr>
        <w:t>60</w:t>
      </w:r>
      <w:r w:rsidRPr="00E224E9">
        <w:rPr>
          <w:rFonts w:ascii="Book Antiqua" w:hAnsi="標楷體"/>
          <w:color w:val="000000" w:themeColor="text1"/>
          <w:sz w:val="24"/>
        </w:rPr>
        <w:t>列具控制與從屬關係及第</w:t>
      </w:r>
      <w:r w:rsidR="001304DA" w:rsidRPr="00E224E9">
        <w:rPr>
          <w:rFonts w:ascii="Book Antiqua" w:hAnsi="Book Antiqua"/>
          <w:color w:val="000000" w:themeColor="text1"/>
          <w:sz w:val="24"/>
        </w:rPr>
        <w:t>68</w:t>
      </w:r>
      <w:r w:rsidRPr="00E224E9">
        <w:rPr>
          <w:rFonts w:ascii="Book Antiqua" w:hAnsi="標楷體"/>
          <w:color w:val="000000" w:themeColor="text1"/>
          <w:sz w:val="24"/>
        </w:rPr>
        <w:t>列非控制與從屬關係兩類。</w:t>
      </w:r>
    </w:p>
    <w:p w14:paraId="0239B01B"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1304DA" w:rsidRPr="00E224E9">
        <w:rPr>
          <w:rFonts w:ascii="Book Antiqua" w:hAnsi="Book Antiqua"/>
          <w:color w:val="000000" w:themeColor="text1"/>
          <w:sz w:val="24"/>
        </w:rPr>
        <w:t>52</w:t>
      </w:r>
      <w:r w:rsidRPr="00E224E9">
        <w:rPr>
          <w:rFonts w:ascii="Book Antiqua" w:hAnsi="標楷體"/>
          <w:color w:val="000000" w:themeColor="text1"/>
          <w:sz w:val="24"/>
        </w:rPr>
        <w:t>列至第</w:t>
      </w:r>
      <w:r w:rsidR="001304DA" w:rsidRPr="00E224E9">
        <w:rPr>
          <w:rFonts w:ascii="Book Antiqua" w:hAnsi="Book Antiqua"/>
          <w:color w:val="000000" w:themeColor="text1"/>
          <w:sz w:val="24"/>
        </w:rPr>
        <w:t>58</w:t>
      </w:r>
      <w:r w:rsidRPr="00E224E9">
        <w:rPr>
          <w:rFonts w:ascii="Book Antiqua" w:hAnsi="標楷體"/>
          <w:color w:val="000000" w:themeColor="text1"/>
          <w:sz w:val="24"/>
        </w:rPr>
        <w:t>列、第</w:t>
      </w:r>
      <w:r w:rsidR="001304DA" w:rsidRPr="00E224E9">
        <w:rPr>
          <w:rFonts w:ascii="Book Antiqua" w:hAnsi="Book Antiqua"/>
          <w:color w:val="000000" w:themeColor="text1"/>
          <w:sz w:val="24"/>
        </w:rPr>
        <w:t>61</w:t>
      </w:r>
      <w:r w:rsidRPr="00E224E9">
        <w:rPr>
          <w:rFonts w:ascii="Book Antiqua" w:hAnsi="標楷體"/>
          <w:color w:val="000000" w:themeColor="text1"/>
          <w:sz w:val="24"/>
        </w:rPr>
        <w:t>列至第</w:t>
      </w:r>
      <w:r w:rsidR="001304DA" w:rsidRPr="00E224E9">
        <w:rPr>
          <w:rFonts w:ascii="Book Antiqua" w:hAnsi="Book Antiqua"/>
          <w:color w:val="000000" w:themeColor="text1"/>
          <w:sz w:val="24"/>
        </w:rPr>
        <w:t>67</w:t>
      </w:r>
      <w:r w:rsidRPr="00E224E9">
        <w:rPr>
          <w:rFonts w:ascii="Book Antiqua" w:hAnsi="標楷體"/>
          <w:color w:val="000000" w:themeColor="text1"/>
          <w:sz w:val="24"/>
        </w:rPr>
        <w:t>及第</w:t>
      </w:r>
      <w:r w:rsidR="001304DA" w:rsidRPr="00E224E9">
        <w:rPr>
          <w:rFonts w:ascii="Book Antiqua" w:hAnsi="Book Antiqua"/>
          <w:color w:val="000000" w:themeColor="text1"/>
          <w:sz w:val="24"/>
        </w:rPr>
        <w:t>69</w:t>
      </w:r>
      <w:r w:rsidRPr="00E224E9">
        <w:rPr>
          <w:rFonts w:ascii="Book Antiqua" w:hAnsi="標楷體"/>
          <w:color w:val="000000" w:themeColor="text1"/>
          <w:sz w:val="24"/>
        </w:rPr>
        <w:t>列至第</w:t>
      </w:r>
      <w:r w:rsidR="001304DA" w:rsidRPr="00E224E9">
        <w:rPr>
          <w:rFonts w:ascii="Book Antiqua" w:hAnsi="Book Antiqua"/>
          <w:color w:val="000000" w:themeColor="text1"/>
          <w:sz w:val="24"/>
        </w:rPr>
        <w:t>75</w:t>
      </w:r>
      <w:r w:rsidRPr="00E224E9">
        <w:rPr>
          <w:rFonts w:ascii="Book Antiqua" w:hAnsi="標楷體"/>
          <w:color w:val="000000" w:themeColor="text1"/>
          <w:sz w:val="24"/>
        </w:rPr>
        <w:t>列各列加總之和。</w:t>
      </w:r>
    </w:p>
    <w:p w14:paraId="7A25B9F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E224E9" w:rsidRPr="00E224E9" w14:paraId="6A18F551" w14:textId="77777777" w:rsidTr="0073265A">
        <w:tc>
          <w:tcPr>
            <w:tcW w:w="4129" w:type="dxa"/>
          </w:tcPr>
          <w:p w14:paraId="145D62B4"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標楷體"/>
                <w:color w:val="000000" w:themeColor="text1"/>
                <w:sz w:val="24"/>
              </w:rPr>
              <w:t>檢查年報分類</w:t>
            </w:r>
          </w:p>
        </w:tc>
        <w:tc>
          <w:tcPr>
            <w:tcW w:w="4443" w:type="dxa"/>
          </w:tcPr>
          <w:p w14:paraId="5DA04F8E"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標楷體"/>
                <w:color w:val="000000" w:themeColor="text1"/>
                <w:sz w:val="24"/>
              </w:rPr>
              <w:t>中華民國投信投顧公會共同基金分類</w:t>
            </w:r>
          </w:p>
        </w:tc>
      </w:tr>
      <w:tr w:rsidR="00E224E9" w:rsidRPr="00E224E9" w14:paraId="285312BF" w14:textId="77777777" w:rsidTr="0073265A">
        <w:tc>
          <w:tcPr>
            <w:tcW w:w="4129" w:type="dxa"/>
          </w:tcPr>
          <w:p w14:paraId="5A88127F"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r w:rsidRPr="00E224E9">
              <w:rPr>
                <w:rFonts w:ascii="Book Antiqua" w:hAnsi="標楷體"/>
                <w:color w:val="000000" w:themeColor="text1"/>
                <w:sz w:val="24"/>
              </w:rPr>
              <w:t>股票型共同基金</w:t>
            </w:r>
          </w:p>
        </w:tc>
        <w:tc>
          <w:tcPr>
            <w:tcW w:w="4443" w:type="dxa"/>
          </w:tcPr>
          <w:p w14:paraId="313A6575"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標楷體"/>
                <w:color w:val="000000" w:themeColor="text1"/>
                <w:sz w:val="24"/>
              </w:rPr>
              <w:t>股票型、組合型、</w:t>
            </w:r>
            <w:r w:rsidR="000E745D" w:rsidRPr="00E224E9">
              <w:rPr>
                <w:rFonts w:ascii="Book Antiqua" w:hAnsi="標楷體" w:hint="eastAsia"/>
                <w:color w:val="000000" w:themeColor="text1"/>
                <w:sz w:val="24"/>
              </w:rPr>
              <w:t>金融</w:t>
            </w:r>
            <w:r w:rsidRPr="00E224E9">
              <w:rPr>
                <w:rFonts w:ascii="Book Antiqua" w:hAnsi="標楷體"/>
                <w:color w:val="000000" w:themeColor="text1"/>
                <w:sz w:val="24"/>
              </w:rPr>
              <w:t>資產證券化型</w:t>
            </w:r>
            <w:r w:rsidR="00EA0FD7" w:rsidRPr="00E224E9">
              <w:rPr>
                <w:rFonts w:ascii="Book Antiqua" w:hAnsi="標楷體" w:hint="eastAsia"/>
                <w:color w:val="000000" w:themeColor="text1"/>
                <w:sz w:val="24"/>
              </w:rPr>
              <w:t>、不動產證券化型、指數型、國內</w:t>
            </w:r>
            <w:r w:rsidR="00EA0FD7" w:rsidRPr="00E224E9">
              <w:rPr>
                <w:rFonts w:ascii="Book Antiqua" w:hAnsi="標楷體" w:hint="eastAsia"/>
                <w:color w:val="000000" w:themeColor="text1"/>
                <w:sz w:val="24"/>
              </w:rPr>
              <w:t>ETF</w:t>
            </w:r>
            <w:r w:rsidR="00EA0FD7" w:rsidRPr="00E224E9">
              <w:rPr>
                <w:rFonts w:ascii="Book Antiqua" w:hAnsi="標楷體" w:hint="eastAsia"/>
                <w:color w:val="000000" w:themeColor="text1"/>
                <w:sz w:val="24"/>
              </w:rPr>
              <w:t>連結基金</w:t>
            </w:r>
          </w:p>
        </w:tc>
      </w:tr>
      <w:tr w:rsidR="00E224E9" w:rsidRPr="00E224E9" w14:paraId="7E0EDAB1" w14:textId="77777777" w:rsidTr="0073265A">
        <w:tc>
          <w:tcPr>
            <w:tcW w:w="4129" w:type="dxa"/>
          </w:tcPr>
          <w:p w14:paraId="1602E9AE"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r w:rsidRPr="00E224E9">
              <w:rPr>
                <w:rFonts w:ascii="Book Antiqua" w:hAnsi="標楷體"/>
                <w:color w:val="000000" w:themeColor="text1"/>
                <w:sz w:val="24"/>
              </w:rPr>
              <w:t>債券型共同基金</w:t>
            </w:r>
          </w:p>
        </w:tc>
        <w:tc>
          <w:tcPr>
            <w:tcW w:w="4443" w:type="dxa"/>
          </w:tcPr>
          <w:p w14:paraId="08CB65D9" w14:textId="77777777" w:rsidR="003477BF" w:rsidRPr="00E224E9" w:rsidRDefault="00EA0FD7" w:rsidP="00813448">
            <w:pPr>
              <w:spacing w:line="400" w:lineRule="exact"/>
              <w:jc w:val="both"/>
              <w:rPr>
                <w:rFonts w:ascii="Book Antiqua" w:hAnsi="標楷體"/>
                <w:color w:val="000000" w:themeColor="text1"/>
                <w:sz w:val="24"/>
              </w:rPr>
            </w:pPr>
            <w:r w:rsidRPr="00E224E9">
              <w:rPr>
                <w:rFonts w:ascii="Book Antiqua" w:hAnsi="標楷體" w:hint="eastAsia"/>
                <w:color w:val="000000" w:themeColor="text1"/>
                <w:sz w:val="24"/>
              </w:rPr>
              <w:t>固定收益一般</w:t>
            </w:r>
            <w:r w:rsidR="003477BF" w:rsidRPr="00E224E9">
              <w:rPr>
                <w:rFonts w:ascii="Book Antiqua" w:hAnsi="標楷體"/>
                <w:color w:val="000000" w:themeColor="text1"/>
                <w:sz w:val="24"/>
              </w:rPr>
              <w:t>債券型、保本型</w:t>
            </w:r>
            <w:r w:rsidRPr="00E224E9">
              <w:rPr>
                <w:rFonts w:ascii="Book Antiqua" w:hAnsi="標楷體" w:hint="eastAsia"/>
                <w:color w:val="000000" w:themeColor="text1"/>
                <w:sz w:val="24"/>
              </w:rPr>
              <w:t>、高收益債券型</w:t>
            </w:r>
          </w:p>
        </w:tc>
      </w:tr>
      <w:tr w:rsidR="00E224E9" w:rsidRPr="00E224E9" w14:paraId="6FBC4A79" w14:textId="77777777" w:rsidTr="0073265A">
        <w:tc>
          <w:tcPr>
            <w:tcW w:w="4129" w:type="dxa"/>
          </w:tcPr>
          <w:p w14:paraId="1AE8C698"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r w:rsidRPr="00E224E9">
              <w:rPr>
                <w:rFonts w:ascii="Book Antiqua" w:hAnsi="標楷體"/>
                <w:color w:val="000000" w:themeColor="text1"/>
                <w:sz w:val="24"/>
              </w:rPr>
              <w:lastRenderedPageBreak/>
              <w:t>平衡型共同基金</w:t>
            </w:r>
            <w:r w:rsidR="0073265A" w:rsidRPr="00E224E9">
              <w:rPr>
                <w:rFonts w:ascii="Book Antiqua" w:hAnsi="標楷體" w:hint="eastAsia"/>
                <w:color w:val="000000" w:themeColor="text1"/>
                <w:sz w:val="24"/>
              </w:rPr>
              <w:t>及多重資產型基金</w:t>
            </w:r>
          </w:p>
        </w:tc>
        <w:tc>
          <w:tcPr>
            <w:tcW w:w="4443" w:type="dxa"/>
          </w:tcPr>
          <w:p w14:paraId="6F17664B" w14:textId="77777777" w:rsidR="003477BF" w:rsidRPr="00E224E9" w:rsidRDefault="003477BF" w:rsidP="00813448">
            <w:pPr>
              <w:spacing w:line="400" w:lineRule="exact"/>
              <w:jc w:val="both"/>
              <w:rPr>
                <w:rFonts w:ascii="Book Antiqua" w:hAnsi="標楷體"/>
                <w:color w:val="000000" w:themeColor="text1"/>
                <w:sz w:val="24"/>
              </w:rPr>
            </w:pPr>
            <w:r w:rsidRPr="00E224E9">
              <w:rPr>
                <w:rFonts w:ascii="Book Antiqua" w:hAnsi="標楷體"/>
                <w:color w:val="000000" w:themeColor="text1"/>
                <w:sz w:val="24"/>
              </w:rPr>
              <w:t>平衡型</w:t>
            </w:r>
            <w:r w:rsidR="00813448" w:rsidRPr="00E224E9">
              <w:rPr>
                <w:rFonts w:ascii="Book Antiqua" w:hAnsi="標楷體" w:hint="eastAsia"/>
                <w:color w:val="000000" w:themeColor="text1"/>
                <w:sz w:val="24"/>
              </w:rPr>
              <w:t>、多重資產型</w:t>
            </w:r>
          </w:p>
        </w:tc>
      </w:tr>
      <w:tr w:rsidR="00E224E9" w:rsidRPr="00E224E9" w14:paraId="65452DDC" w14:textId="77777777" w:rsidTr="0073265A">
        <w:tc>
          <w:tcPr>
            <w:tcW w:w="4129" w:type="dxa"/>
          </w:tcPr>
          <w:p w14:paraId="2581EE48"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r w:rsidRPr="00E224E9">
              <w:rPr>
                <w:rFonts w:ascii="Book Antiqua" w:hAnsi="標楷體"/>
                <w:color w:val="000000" w:themeColor="text1"/>
                <w:sz w:val="24"/>
              </w:rPr>
              <w:t>避險型共同基金</w:t>
            </w:r>
          </w:p>
        </w:tc>
        <w:tc>
          <w:tcPr>
            <w:tcW w:w="4443" w:type="dxa"/>
          </w:tcPr>
          <w:p w14:paraId="049F1069"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Book Antiqua"/>
                <w:color w:val="000000" w:themeColor="text1"/>
                <w:sz w:val="24"/>
              </w:rPr>
              <w:t>(</w:t>
            </w:r>
            <w:r w:rsidRPr="00E224E9">
              <w:rPr>
                <w:rFonts w:ascii="Book Antiqua" w:hAnsi="標楷體"/>
                <w:color w:val="000000" w:themeColor="text1"/>
                <w:sz w:val="24"/>
              </w:rPr>
              <w:t>目前尚無對應之分類</w:t>
            </w:r>
            <w:r w:rsidRPr="00E224E9">
              <w:rPr>
                <w:rFonts w:ascii="Book Antiqua" w:hAnsi="Book Antiqua"/>
                <w:color w:val="000000" w:themeColor="text1"/>
                <w:sz w:val="24"/>
              </w:rPr>
              <w:t>)</w:t>
            </w:r>
          </w:p>
        </w:tc>
      </w:tr>
      <w:tr w:rsidR="00E224E9" w:rsidRPr="00E224E9" w14:paraId="40A271A6" w14:textId="77777777" w:rsidTr="0073265A">
        <w:tc>
          <w:tcPr>
            <w:tcW w:w="4129" w:type="dxa"/>
          </w:tcPr>
          <w:p w14:paraId="29FD4716"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r w:rsidRPr="00E224E9">
              <w:rPr>
                <w:rFonts w:ascii="Book Antiqua" w:hAnsi="標楷體"/>
                <w:color w:val="000000" w:themeColor="text1"/>
                <w:sz w:val="24"/>
              </w:rPr>
              <w:t>貨幣型共同基金</w:t>
            </w:r>
          </w:p>
        </w:tc>
        <w:tc>
          <w:tcPr>
            <w:tcW w:w="4443" w:type="dxa"/>
          </w:tcPr>
          <w:p w14:paraId="749CDBA0"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標楷體"/>
                <w:color w:val="000000" w:themeColor="text1"/>
                <w:sz w:val="24"/>
              </w:rPr>
              <w:t>貨幣市場型</w:t>
            </w:r>
          </w:p>
        </w:tc>
      </w:tr>
      <w:tr w:rsidR="00E224E9" w:rsidRPr="00E224E9" w14:paraId="10F2F40F" w14:textId="77777777" w:rsidTr="0073265A">
        <w:tc>
          <w:tcPr>
            <w:tcW w:w="4129" w:type="dxa"/>
          </w:tcPr>
          <w:p w14:paraId="32EED621"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r w:rsidRPr="00E224E9">
              <w:rPr>
                <w:rFonts w:ascii="Book Antiqua" w:hAnsi="標楷體"/>
                <w:color w:val="000000" w:themeColor="text1"/>
                <w:sz w:val="24"/>
              </w:rPr>
              <w:t>私募基金</w:t>
            </w:r>
          </w:p>
        </w:tc>
        <w:tc>
          <w:tcPr>
            <w:tcW w:w="4443" w:type="dxa"/>
          </w:tcPr>
          <w:p w14:paraId="0F998E40"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標楷體"/>
                <w:color w:val="000000" w:themeColor="text1"/>
                <w:sz w:val="24"/>
              </w:rPr>
              <w:t>私募基金</w:t>
            </w:r>
          </w:p>
        </w:tc>
      </w:tr>
      <w:tr w:rsidR="003477BF" w:rsidRPr="00E224E9" w14:paraId="2EB3C38C" w14:textId="77777777" w:rsidTr="0073265A">
        <w:tc>
          <w:tcPr>
            <w:tcW w:w="4129" w:type="dxa"/>
          </w:tcPr>
          <w:p w14:paraId="5389AFE0"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r w:rsidRPr="00E224E9">
              <w:rPr>
                <w:rFonts w:ascii="Book Antiqua" w:hAnsi="標楷體"/>
                <w:color w:val="000000" w:themeColor="text1"/>
                <w:sz w:val="24"/>
              </w:rPr>
              <w:t>其他</w:t>
            </w:r>
          </w:p>
        </w:tc>
        <w:tc>
          <w:tcPr>
            <w:tcW w:w="4443" w:type="dxa"/>
          </w:tcPr>
          <w:p w14:paraId="642D08B4"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Book Antiqua"/>
                <w:color w:val="000000" w:themeColor="text1"/>
                <w:sz w:val="24"/>
              </w:rPr>
              <w:t>(</w:t>
            </w:r>
            <w:r w:rsidRPr="00E224E9">
              <w:rPr>
                <w:rFonts w:ascii="Book Antiqua" w:hAnsi="標楷體"/>
                <w:color w:val="000000" w:themeColor="text1"/>
                <w:sz w:val="24"/>
              </w:rPr>
              <w:t>目前尚無對應之分類</w:t>
            </w:r>
            <w:r w:rsidRPr="00E224E9">
              <w:rPr>
                <w:rFonts w:ascii="Book Antiqua" w:hAnsi="Book Antiqua"/>
                <w:color w:val="000000" w:themeColor="text1"/>
                <w:sz w:val="24"/>
              </w:rPr>
              <w:t>)</w:t>
            </w:r>
          </w:p>
        </w:tc>
      </w:tr>
    </w:tbl>
    <w:p w14:paraId="4161A9C0" w14:textId="77777777" w:rsidR="003477BF" w:rsidRPr="00E224E9" w:rsidRDefault="003477BF" w:rsidP="003477BF">
      <w:pPr>
        <w:spacing w:line="440" w:lineRule="exact"/>
        <w:ind w:leftChars="300" w:left="780"/>
        <w:jc w:val="both"/>
        <w:rPr>
          <w:rFonts w:ascii="Book Antiqua" w:hAnsi="Book Antiqua"/>
          <w:color w:val="000000" w:themeColor="text1"/>
          <w:sz w:val="24"/>
        </w:rPr>
      </w:pPr>
    </w:p>
    <w:p w14:paraId="5ABA070F"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E360C" w:rsidRPr="00E224E9">
        <w:rPr>
          <w:rFonts w:ascii="Book Antiqua" w:hAnsi="Book Antiqua"/>
          <w:color w:val="000000" w:themeColor="text1"/>
          <w:sz w:val="24"/>
        </w:rPr>
        <w:t>76</w:t>
      </w:r>
      <w:r w:rsidRPr="00E224E9">
        <w:rPr>
          <w:rFonts w:ascii="Book Antiqua" w:hAnsi="標楷體"/>
          <w:color w:val="000000" w:themeColor="text1"/>
          <w:sz w:val="24"/>
        </w:rPr>
        <w:t>列－有價證券合計</w:t>
      </w:r>
    </w:p>
    <w:p w14:paraId="2DADC24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7</w:t>
      </w:r>
      <w:r w:rsidRPr="00E224E9">
        <w:rPr>
          <w:rFonts w:ascii="Book Antiqua" w:hAnsi="標楷體"/>
          <w:color w:val="000000" w:themeColor="text1"/>
          <w:sz w:val="24"/>
        </w:rPr>
        <w:t>列、第</w:t>
      </w:r>
      <w:r w:rsidRPr="00E224E9">
        <w:rPr>
          <w:rFonts w:ascii="Book Antiqua" w:hAnsi="Book Antiqua"/>
          <w:color w:val="000000" w:themeColor="text1"/>
          <w:sz w:val="24"/>
        </w:rPr>
        <w:t>8</w:t>
      </w:r>
      <w:r w:rsidRPr="00E224E9">
        <w:rPr>
          <w:rFonts w:ascii="Book Antiqua" w:hAnsi="標楷體"/>
          <w:color w:val="000000" w:themeColor="text1"/>
          <w:sz w:val="24"/>
        </w:rPr>
        <w:t>列、第</w:t>
      </w:r>
      <w:r w:rsidR="004E360C" w:rsidRPr="00E224E9">
        <w:rPr>
          <w:rFonts w:ascii="Book Antiqua" w:hAnsi="Book Antiqua"/>
          <w:color w:val="000000" w:themeColor="text1"/>
          <w:sz w:val="24"/>
        </w:rPr>
        <w:t>35</w:t>
      </w:r>
      <w:r w:rsidRPr="00E224E9">
        <w:rPr>
          <w:rFonts w:ascii="Book Antiqua" w:hAnsi="標楷體"/>
          <w:color w:val="000000" w:themeColor="text1"/>
          <w:sz w:val="24"/>
        </w:rPr>
        <w:t>列及第</w:t>
      </w:r>
      <w:r w:rsidR="004E360C" w:rsidRPr="00E224E9">
        <w:rPr>
          <w:rFonts w:ascii="Book Antiqua" w:hAnsi="Book Antiqua"/>
          <w:color w:val="000000" w:themeColor="text1"/>
          <w:sz w:val="24"/>
        </w:rPr>
        <w:t>50</w:t>
      </w:r>
      <w:r w:rsidRPr="00E224E9">
        <w:rPr>
          <w:rFonts w:ascii="Book Antiqua" w:hAnsi="標楷體"/>
          <w:color w:val="000000" w:themeColor="text1"/>
          <w:sz w:val="24"/>
        </w:rPr>
        <w:t>列加總之和。</w:t>
      </w:r>
    </w:p>
    <w:p w14:paraId="7E0248D2"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三、不動產</w:t>
      </w:r>
    </w:p>
    <w:p w14:paraId="38B0A13E"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為配合資本適足性報表分類，茲依取得不動產之交易相對人分為非關係人與關係人兩大類。</w:t>
      </w:r>
    </w:p>
    <w:p w14:paraId="6B26923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E360C" w:rsidRPr="00E224E9">
        <w:rPr>
          <w:rFonts w:ascii="Book Antiqua" w:hAnsi="Book Antiqua"/>
          <w:color w:val="000000" w:themeColor="text1"/>
          <w:sz w:val="24"/>
        </w:rPr>
        <w:t>77</w:t>
      </w:r>
      <w:r w:rsidRPr="00E224E9">
        <w:rPr>
          <w:rFonts w:ascii="Book Antiqua" w:hAnsi="標楷體"/>
          <w:color w:val="000000" w:themeColor="text1"/>
          <w:sz w:val="24"/>
        </w:rPr>
        <w:t>列－投資非關係人不動產</w:t>
      </w:r>
    </w:p>
    <w:p w14:paraId="41C49895"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4E360C" w:rsidRPr="00E224E9">
        <w:rPr>
          <w:rFonts w:ascii="Book Antiqua" w:hAnsi="Book Antiqua"/>
          <w:color w:val="000000" w:themeColor="text1"/>
          <w:sz w:val="24"/>
        </w:rPr>
        <w:t>78</w:t>
      </w:r>
      <w:r w:rsidRPr="00E224E9">
        <w:rPr>
          <w:rFonts w:ascii="Book Antiqua" w:hAnsi="標楷體"/>
          <w:color w:val="000000" w:themeColor="text1"/>
          <w:sz w:val="24"/>
        </w:rPr>
        <w:t>列至第</w:t>
      </w:r>
      <w:r w:rsidR="004E360C" w:rsidRPr="00E224E9">
        <w:rPr>
          <w:rFonts w:ascii="Book Antiqua" w:hAnsi="Book Antiqua"/>
          <w:color w:val="000000" w:themeColor="text1"/>
          <w:sz w:val="24"/>
        </w:rPr>
        <w:t>85</w:t>
      </w:r>
      <w:r w:rsidRPr="00E224E9">
        <w:rPr>
          <w:rFonts w:ascii="Book Antiqua" w:hAnsi="標楷體"/>
          <w:color w:val="000000" w:themeColor="text1"/>
          <w:sz w:val="24"/>
        </w:rPr>
        <w:t>列各項不動產投資之加總。</w:t>
      </w:r>
    </w:p>
    <w:p w14:paraId="2E1E59FB"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E360C" w:rsidRPr="00E224E9">
        <w:rPr>
          <w:rFonts w:ascii="Book Antiqua" w:hAnsi="Book Antiqua"/>
          <w:color w:val="000000" w:themeColor="text1"/>
          <w:sz w:val="24"/>
        </w:rPr>
        <w:t>83</w:t>
      </w:r>
      <w:r w:rsidRPr="00E224E9">
        <w:rPr>
          <w:rFonts w:ascii="Book Antiqua" w:hAnsi="標楷體"/>
          <w:color w:val="000000" w:themeColor="text1"/>
          <w:sz w:val="24"/>
        </w:rPr>
        <w:t>列－未完工程</w:t>
      </w:r>
    </w:p>
    <w:p w14:paraId="5D6EC175"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依該在建工程的用途，區分為第</w:t>
      </w:r>
      <w:r w:rsidR="004E360C" w:rsidRPr="00E224E9">
        <w:rPr>
          <w:rFonts w:ascii="Book Antiqua" w:hAnsi="Book Antiqua"/>
          <w:color w:val="000000" w:themeColor="text1"/>
          <w:sz w:val="24"/>
        </w:rPr>
        <w:t>84</w:t>
      </w:r>
      <w:r w:rsidRPr="00E224E9">
        <w:rPr>
          <w:rFonts w:ascii="Book Antiqua" w:hAnsi="標楷體"/>
          <w:color w:val="000000" w:themeColor="text1"/>
          <w:sz w:val="24"/>
        </w:rPr>
        <w:t>列投資用與第</w:t>
      </w:r>
      <w:r w:rsidR="004E360C" w:rsidRPr="00E224E9">
        <w:rPr>
          <w:rFonts w:ascii="Book Antiqua" w:hAnsi="Book Antiqua"/>
          <w:color w:val="000000" w:themeColor="text1"/>
          <w:sz w:val="24"/>
        </w:rPr>
        <w:t>85</w:t>
      </w:r>
      <w:r w:rsidRPr="00E224E9">
        <w:rPr>
          <w:rFonts w:ascii="Book Antiqua" w:hAnsi="標楷體"/>
          <w:color w:val="000000" w:themeColor="text1"/>
          <w:sz w:val="24"/>
        </w:rPr>
        <w:t>列自用。</w:t>
      </w:r>
    </w:p>
    <w:p w14:paraId="7D008615"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4E360C" w:rsidRPr="00E224E9">
        <w:rPr>
          <w:rFonts w:ascii="Book Antiqua" w:hAnsi="Book Antiqua"/>
          <w:color w:val="000000" w:themeColor="text1"/>
          <w:sz w:val="24"/>
        </w:rPr>
        <w:t>84</w:t>
      </w:r>
      <w:r w:rsidRPr="00E224E9">
        <w:rPr>
          <w:rFonts w:ascii="Book Antiqua" w:hAnsi="標楷體"/>
          <w:color w:val="000000" w:themeColor="text1"/>
          <w:sz w:val="24"/>
        </w:rPr>
        <w:t>列及第</w:t>
      </w:r>
      <w:r w:rsidR="004E360C" w:rsidRPr="00E224E9">
        <w:rPr>
          <w:rFonts w:ascii="Book Antiqua" w:hAnsi="Book Antiqua"/>
          <w:color w:val="000000" w:themeColor="text1"/>
          <w:sz w:val="24"/>
        </w:rPr>
        <w:t>85</w:t>
      </w:r>
      <w:r w:rsidRPr="00E224E9">
        <w:rPr>
          <w:rFonts w:ascii="Book Antiqua" w:hAnsi="標楷體"/>
          <w:color w:val="000000" w:themeColor="text1"/>
          <w:sz w:val="24"/>
        </w:rPr>
        <w:t>列之加總。</w:t>
      </w:r>
    </w:p>
    <w:p w14:paraId="1824D901"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E360C" w:rsidRPr="00E224E9">
        <w:rPr>
          <w:rFonts w:ascii="Book Antiqua" w:hAnsi="Book Antiqua"/>
          <w:color w:val="000000" w:themeColor="text1"/>
          <w:sz w:val="24"/>
        </w:rPr>
        <w:t>86</w:t>
      </w:r>
      <w:r w:rsidRPr="00E224E9">
        <w:rPr>
          <w:rFonts w:ascii="Book Antiqua" w:hAnsi="標楷體"/>
          <w:color w:val="000000" w:themeColor="text1"/>
          <w:sz w:val="24"/>
        </w:rPr>
        <w:t>列－投資關係人不動產</w:t>
      </w:r>
    </w:p>
    <w:p w14:paraId="58A5BB20"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茲將關係人不動產投資分為第</w:t>
      </w:r>
      <w:r w:rsidR="004E360C" w:rsidRPr="00E224E9">
        <w:rPr>
          <w:rFonts w:ascii="Book Antiqua" w:hAnsi="Book Antiqua"/>
          <w:color w:val="000000" w:themeColor="text1"/>
          <w:sz w:val="24"/>
        </w:rPr>
        <w:t>87</w:t>
      </w:r>
      <w:r w:rsidRPr="00E224E9">
        <w:rPr>
          <w:rFonts w:ascii="Book Antiqua" w:hAnsi="標楷體"/>
          <w:color w:val="000000" w:themeColor="text1"/>
          <w:sz w:val="24"/>
        </w:rPr>
        <w:t>列具控制與從屬關係與第</w:t>
      </w:r>
      <w:r w:rsidR="004E360C" w:rsidRPr="00E224E9">
        <w:rPr>
          <w:rFonts w:ascii="Book Antiqua" w:hAnsi="Book Antiqua"/>
          <w:color w:val="000000" w:themeColor="text1"/>
          <w:sz w:val="24"/>
        </w:rPr>
        <w:t>90</w:t>
      </w:r>
      <w:r w:rsidRPr="00E224E9">
        <w:rPr>
          <w:rFonts w:ascii="Book Antiqua" w:hAnsi="標楷體"/>
          <w:color w:val="000000" w:themeColor="text1"/>
          <w:sz w:val="24"/>
        </w:rPr>
        <w:t>列非控制與從屬關係兩類。</w:t>
      </w:r>
    </w:p>
    <w:p w14:paraId="6908AA91"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4E360C" w:rsidRPr="00E224E9">
        <w:rPr>
          <w:rFonts w:ascii="Book Antiqua" w:hAnsi="Book Antiqua"/>
          <w:color w:val="000000" w:themeColor="text1"/>
          <w:sz w:val="24"/>
        </w:rPr>
        <w:t>88</w:t>
      </w:r>
      <w:r w:rsidRPr="00E224E9">
        <w:rPr>
          <w:rFonts w:ascii="Book Antiqua" w:hAnsi="標楷體"/>
          <w:color w:val="000000" w:themeColor="text1"/>
          <w:sz w:val="24"/>
        </w:rPr>
        <w:t>至</w:t>
      </w:r>
      <w:r w:rsidR="004E360C" w:rsidRPr="00E224E9">
        <w:rPr>
          <w:rFonts w:ascii="Book Antiqua" w:hAnsi="Book Antiqua"/>
          <w:color w:val="000000" w:themeColor="text1"/>
          <w:sz w:val="24"/>
        </w:rPr>
        <w:t>89</w:t>
      </w:r>
      <w:r w:rsidRPr="00E224E9">
        <w:rPr>
          <w:rFonts w:ascii="Book Antiqua" w:hAnsi="標楷體"/>
          <w:color w:val="000000" w:themeColor="text1"/>
          <w:sz w:val="24"/>
        </w:rPr>
        <w:t>列以及第</w:t>
      </w:r>
      <w:r w:rsidR="004E360C" w:rsidRPr="00E224E9">
        <w:rPr>
          <w:rFonts w:ascii="Book Antiqua" w:hAnsi="Book Antiqua"/>
          <w:color w:val="000000" w:themeColor="text1"/>
          <w:sz w:val="24"/>
        </w:rPr>
        <w:t>91</w:t>
      </w:r>
      <w:r w:rsidRPr="00E224E9">
        <w:rPr>
          <w:rFonts w:ascii="Book Antiqua" w:hAnsi="標楷體"/>
          <w:color w:val="000000" w:themeColor="text1"/>
          <w:sz w:val="24"/>
        </w:rPr>
        <w:t>至</w:t>
      </w:r>
      <w:r w:rsidR="004E360C" w:rsidRPr="00E224E9">
        <w:rPr>
          <w:rFonts w:ascii="Book Antiqua" w:hAnsi="Book Antiqua"/>
          <w:color w:val="000000" w:themeColor="text1"/>
          <w:sz w:val="24"/>
        </w:rPr>
        <w:t>92</w:t>
      </w:r>
      <w:r w:rsidRPr="00E224E9">
        <w:rPr>
          <w:rFonts w:ascii="Book Antiqua" w:hAnsi="標楷體"/>
          <w:color w:val="000000" w:themeColor="text1"/>
          <w:sz w:val="24"/>
        </w:rPr>
        <w:t>列之加總。</w:t>
      </w:r>
    </w:p>
    <w:p w14:paraId="0C8464C1"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E360C" w:rsidRPr="00E224E9">
        <w:rPr>
          <w:rFonts w:ascii="Book Antiqua" w:hAnsi="Book Antiqua"/>
          <w:color w:val="000000" w:themeColor="text1"/>
          <w:sz w:val="24"/>
        </w:rPr>
        <w:t>87</w:t>
      </w:r>
      <w:r w:rsidRPr="00E224E9">
        <w:rPr>
          <w:rFonts w:ascii="Book Antiqua" w:hAnsi="標楷體"/>
          <w:color w:val="000000" w:themeColor="text1"/>
          <w:sz w:val="24"/>
        </w:rPr>
        <w:t>列－具控制與從屬關係</w:t>
      </w:r>
    </w:p>
    <w:p w14:paraId="4E19FF0D"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依該不動產的用途，區分為第</w:t>
      </w:r>
      <w:r w:rsidR="004E360C" w:rsidRPr="00E224E9">
        <w:rPr>
          <w:rFonts w:ascii="Book Antiqua" w:hAnsi="Book Antiqua"/>
          <w:color w:val="000000" w:themeColor="text1"/>
          <w:sz w:val="24"/>
        </w:rPr>
        <w:t>88</w:t>
      </w:r>
      <w:r w:rsidRPr="00E224E9">
        <w:rPr>
          <w:rFonts w:ascii="Book Antiqua" w:hAnsi="標楷體"/>
          <w:color w:val="000000" w:themeColor="text1"/>
          <w:sz w:val="24"/>
        </w:rPr>
        <w:t>列投資用與第</w:t>
      </w:r>
      <w:r w:rsidR="004E360C" w:rsidRPr="00E224E9">
        <w:rPr>
          <w:rFonts w:ascii="Book Antiqua" w:hAnsi="Book Antiqua"/>
          <w:color w:val="000000" w:themeColor="text1"/>
          <w:sz w:val="24"/>
        </w:rPr>
        <w:t>89</w:t>
      </w:r>
      <w:r w:rsidRPr="00E224E9">
        <w:rPr>
          <w:rFonts w:ascii="Book Antiqua" w:hAnsi="標楷體"/>
          <w:color w:val="000000" w:themeColor="text1"/>
          <w:sz w:val="24"/>
        </w:rPr>
        <w:t>列自用。</w:t>
      </w:r>
    </w:p>
    <w:p w14:paraId="565A85BD"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E360C" w:rsidRPr="00E224E9">
        <w:rPr>
          <w:rFonts w:ascii="Book Antiqua" w:hAnsi="Book Antiqua"/>
          <w:color w:val="000000" w:themeColor="text1"/>
          <w:sz w:val="24"/>
        </w:rPr>
        <w:t>90</w:t>
      </w:r>
      <w:r w:rsidRPr="00E224E9">
        <w:rPr>
          <w:rFonts w:ascii="Book Antiqua" w:hAnsi="標楷體"/>
          <w:color w:val="000000" w:themeColor="text1"/>
          <w:sz w:val="24"/>
        </w:rPr>
        <w:t>列－非控制與從屬關係</w:t>
      </w:r>
    </w:p>
    <w:p w14:paraId="69C992B4"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依該不動產的用途，區分為第</w:t>
      </w:r>
      <w:r w:rsidR="004E360C" w:rsidRPr="00E224E9">
        <w:rPr>
          <w:rFonts w:ascii="Book Antiqua" w:hAnsi="Book Antiqua"/>
          <w:color w:val="000000" w:themeColor="text1"/>
          <w:sz w:val="24"/>
        </w:rPr>
        <w:t>91</w:t>
      </w:r>
      <w:r w:rsidRPr="00E224E9">
        <w:rPr>
          <w:rFonts w:ascii="Book Antiqua" w:hAnsi="標楷體"/>
          <w:color w:val="000000" w:themeColor="text1"/>
          <w:sz w:val="24"/>
        </w:rPr>
        <w:t>列投資用與第</w:t>
      </w:r>
      <w:r w:rsidR="004E360C" w:rsidRPr="00E224E9">
        <w:rPr>
          <w:rFonts w:ascii="Book Antiqua" w:hAnsi="Book Antiqua"/>
          <w:color w:val="000000" w:themeColor="text1"/>
          <w:sz w:val="24"/>
        </w:rPr>
        <w:t>92</w:t>
      </w:r>
      <w:r w:rsidRPr="00E224E9">
        <w:rPr>
          <w:rFonts w:ascii="Book Antiqua" w:hAnsi="標楷體"/>
          <w:color w:val="000000" w:themeColor="text1"/>
          <w:sz w:val="24"/>
        </w:rPr>
        <w:t>列自用。</w:t>
      </w:r>
    </w:p>
    <w:p w14:paraId="750DE492"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E360C" w:rsidRPr="00E224E9">
        <w:rPr>
          <w:rFonts w:ascii="Book Antiqua" w:hAnsi="Book Antiqua"/>
          <w:color w:val="000000" w:themeColor="text1"/>
          <w:sz w:val="24"/>
        </w:rPr>
        <w:t>93</w:t>
      </w:r>
      <w:r w:rsidRPr="00E224E9">
        <w:rPr>
          <w:rFonts w:ascii="Book Antiqua" w:hAnsi="標楷體"/>
          <w:color w:val="000000" w:themeColor="text1"/>
          <w:sz w:val="24"/>
        </w:rPr>
        <w:t>列－不動產合計</w:t>
      </w:r>
    </w:p>
    <w:p w14:paraId="3106A56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4E360C" w:rsidRPr="00E224E9">
        <w:rPr>
          <w:rFonts w:ascii="Book Antiqua" w:hAnsi="Book Antiqua"/>
          <w:color w:val="000000" w:themeColor="text1"/>
          <w:sz w:val="24"/>
        </w:rPr>
        <w:t>77</w:t>
      </w:r>
      <w:r w:rsidRPr="00E224E9">
        <w:rPr>
          <w:rFonts w:ascii="Book Antiqua" w:hAnsi="標楷體"/>
          <w:color w:val="000000" w:themeColor="text1"/>
          <w:sz w:val="24"/>
        </w:rPr>
        <w:t>列投資非關係人不動產與第</w:t>
      </w:r>
      <w:r w:rsidR="004E360C" w:rsidRPr="00E224E9">
        <w:rPr>
          <w:rFonts w:ascii="Book Antiqua" w:hAnsi="Book Antiqua"/>
          <w:color w:val="000000" w:themeColor="text1"/>
          <w:sz w:val="24"/>
        </w:rPr>
        <w:t>86</w:t>
      </w:r>
      <w:r w:rsidRPr="00E224E9">
        <w:rPr>
          <w:rFonts w:ascii="Book Antiqua" w:hAnsi="標楷體"/>
          <w:color w:val="000000" w:themeColor="text1"/>
          <w:sz w:val="24"/>
        </w:rPr>
        <w:t>列投資關係人不動產兩列之加總。</w:t>
      </w:r>
    </w:p>
    <w:p w14:paraId="6705587B"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屬於「保險業計算資本適足率之資產認許標準及評價原則」規定之非認許資產者，應分別列示於前項各列第</w:t>
      </w:r>
      <w:r w:rsidRPr="00E224E9">
        <w:rPr>
          <w:rFonts w:ascii="Book Antiqua" w:hAnsi="Book Antiqua"/>
          <w:color w:val="000000" w:themeColor="text1"/>
          <w:sz w:val="24"/>
        </w:rPr>
        <w:t>4</w:t>
      </w:r>
      <w:r w:rsidRPr="00E224E9">
        <w:rPr>
          <w:rFonts w:ascii="Book Antiqua" w:hAnsi="標楷體"/>
          <w:color w:val="000000" w:themeColor="text1"/>
          <w:sz w:val="24"/>
        </w:rPr>
        <w:t>欄。</w:t>
      </w:r>
    </w:p>
    <w:p w14:paraId="5320599F"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E360C" w:rsidRPr="00E224E9">
        <w:rPr>
          <w:rFonts w:ascii="Book Antiqua" w:hAnsi="Book Antiqua"/>
          <w:color w:val="000000" w:themeColor="text1"/>
          <w:sz w:val="24"/>
        </w:rPr>
        <w:t>94</w:t>
      </w:r>
      <w:r w:rsidRPr="00E224E9">
        <w:rPr>
          <w:rFonts w:ascii="Book Antiqua" w:hAnsi="標楷體"/>
          <w:color w:val="000000" w:themeColor="text1"/>
          <w:sz w:val="24"/>
        </w:rPr>
        <w:t>列－除自用不動產外之不動產投資合計</w:t>
      </w:r>
    </w:p>
    <w:p w14:paraId="1B1B1B08"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4E360C" w:rsidRPr="00E224E9">
        <w:rPr>
          <w:rFonts w:ascii="Book Antiqua" w:hAnsi="Book Antiqua"/>
          <w:color w:val="000000" w:themeColor="text1"/>
          <w:sz w:val="24"/>
        </w:rPr>
        <w:t>93</w:t>
      </w:r>
      <w:r w:rsidRPr="00E224E9">
        <w:rPr>
          <w:rFonts w:ascii="Book Antiqua" w:hAnsi="標楷體"/>
          <w:color w:val="000000" w:themeColor="text1"/>
          <w:sz w:val="24"/>
        </w:rPr>
        <w:t>列不動產合計減除第</w:t>
      </w:r>
      <w:r w:rsidR="004E360C" w:rsidRPr="00E224E9">
        <w:rPr>
          <w:rFonts w:ascii="Book Antiqua" w:hAnsi="Book Antiqua"/>
          <w:color w:val="000000" w:themeColor="text1"/>
          <w:sz w:val="24"/>
        </w:rPr>
        <w:t>78</w:t>
      </w:r>
      <w:r w:rsidRPr="00E224E9">
        <w:rPr>
          <w:rFonts w:ascii="Book Antiqua" w:hAnsi="標楷體"/>
          <w:color w:val="000000" w:themeColor="text1"/>
          <w:sz w:val="24"/>
        </w:rPr>
        <w:t>列、第</w:t>
      </w:r>
      <w:r w:rsidR="004E360C" w:rsidRPr="00E224E9">
        <w:rPr>
          <w:rFonts w:ascii="Book Antiqua" w:hAnsi="Book Antiqua"/>
          <w:color w:val="000000" w:themeColor="text1"/>
          <w:sz w:val="24"/>
        </w:rPr>
        <w:t>85</w:t>
      </w:r>
      <w:r w:rsidRPr="00E224E9">
        <w:rPr>
          <w:rFonts w:ascii="Book Antiqua" w:hAnsi="標楷體"/>
          <w:color w:val="000000" w:themeColor="text1"/>
          <w:sz w:val="24"/>
        </w:rPr>
        <w:t>列、第</w:t>
      </w:r>
      <w:r w:rsidR="004E360C" w:rsidRPr="00E224E9">
        <w:rPr>
          <w:rFonts w:ascii="Book Antiqua" w:hAnsi="Book Antiqua"/>
          <w:color w:val="000000" w:themeColor="text1"/>
          <w:sz w:val="24"/>
        </w:rPr>
        <w:t>89</w:t>
      </w:r>
      <w:r w:rsidRPr="00E224E9">
        <w:rPr>
          <w:rFonts w:ascii="Book Antiqua" w:hAnsi="標楷體"/>
          <w:color w:val="000000" w:themeColor="text1"/>
          <w:sz w:val="24"/>
        </w:rPr>
        <w:t>列以及第</w:t>
      </w:r>
      <w:r w:rsidR="004E360C" w:rsidRPr="00E224E9">
        <w:rPr>
          <w:rFonts w:ascii="Book Antiqua" w:hAnsi="Book Antiqua"/>
          <w:color w:val="000000" w:themeColor="text1"/>
          <w:sz w:val="24"/>
        </w:rPr>
        <w:t>92</w:t>
      </w:r>
      <w:r w:rsidRPr="00E224E9">
        <w:rPr>
          <w:rFonts w:ascii="Book Antiqua" w:hAnsi="標楷體"/>
          <w:color w:val="000000" w:themeColor="text1"/>
          <w:sz w:val="24"/>
        </w:rPr>
        <w:t>列各項自用不動產金額後餘額。</w:t>
      </w:r>
    </w:p>
    <w:p w14:paraId="79E8B574"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lastRenderedPageBreak/>
        <w:t>四、放款</w:t>
      </w:r>
    </w:p>
    <w:p w14:paraId="6F862224"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為配合資本適足性報表分類，茲將放款依債務人身份分為非關係人與關係人兩大類。</w:t>
      </w:r>
      <w:r w:rsidRPr="00E224E9">
        <w:rPr>
          <w:rFonts w:ascii="Book Antiqua" w:hAnsi="Book Antiqua"/>
          <w:color w:val="000000" w:themeColor="text1"/>
          <w:sz w:val="24"/>
        </w:rPr>
        <w:t xml:space="preserve"> </w:t>
      </w:r>
      <w:r w:rsidRPr="00E224E9">
        <w:rPr>
          <w:rFonts w:ascii="Book Antiqua" w:hAnsi="標楷體"/>
          <w:color w:val="000000" w:themeColor="text1"/>
          <w:sz w:val="24"/>
        </w:rPr>
        <w:t>各項放款金額應包括列入催收款之放款。</w:t>
      </w:r>
    </w:p>
    <w:p w14:paraId="07D8BAC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12792" w:rsidRPr="00E224E9">
        <w:rPr>
          <w:rFonts w:ascii="Book Antiqua" w:hAnsi="Book Antiqua"/>
          <w:color w:val="000000" w:themeColor="text1"/>
          <w:sz w:val="24"/>
        </w:rPr>
        <w:t>95</w:t>
      </w:r>
      <w:r w:rsidRPr="00E224E9">
        <w:rPr>
          <w:rFonts w:ascii="Book Antiqua" w:hAnsi="標楷體"/>
          <w:color w:val="000000" w:themeColor="text1"/>
          <w:sz w:val="24"/>
        </w:rPr>
        <w:t>列－非利害關係人放款</w:t>
      </w:r>
    </w:p>
    <w:p w14:paraId="208286AA"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612792" w:rsidRPr="00E224E9">
        <w:rPr>
          <w:rFonts w:ascii="Book Antiqua" w:hAnsi="Book Antiqua"/>
          <w:color w:val="000000" w:themeColor="text1"/>
          <w:sz w:val="24"/>
        </w:rPr>
        <w:t>96</w:t>
      </w:r>
      <w:r w:rsidRPr="00E224E9">
        <w:rPr>
          <w:rFonts w:ascii="Book Antiqua" w:hAnsi="標楷體"/>
          <w:color w:val="000000" w:themeColor="text1"/>
          <w:sz w:val="24"/>
        </w:rPr>
        <w:t>列壽險貸款、第</w:t>
      </w:r>
      <w:r w:rsidR="00612792" w:rsidRPr="00E224E9">
        <w:rPr>
          <w:rFonts w:ascii="Book Antiqua" w:hAnsi="Book Antiqua"/>
          <w:color w:val="000000" w:themeColor="text1"/>
          <w:sz w:val="24"/>
        </w:rPr>
        <w:t>97</w:t>
      </w:r>
      <w:r w:rsidRPr="00E224E9">
        <w:rPr>
          <w:rFonts w:ascii="Book Antiqua" w:hAnsi="標楷體"/>
          <w:color w:val="000000" w:themeColor="text1"/>
          <w:sz w:val="24"/>
        </w:rPr>
        <w:t>列不動產擔保放款、第</w:t>
      </w:r>
      <w:r w:rsidR="00612792" w:rsidRPr="00E224E9">
        <w:rPr>
          <w:rFonts w:ascii="Book Antiqua" w:hAnsi="Book Antiqua"/>
          <w:color w:val="000000" w:themeColor="text1"/>
          <w:sz w:val="24"/>
        </w:rPr>
        <w:t>98</w:t>
      </w:r>
      <w:r w:rsidRPr="00E224E9">
        <w:rPr>
          <w:rFonts w:ascii="Book Antiqua" w:hAnsi="標楷體"/>
          <w:color w:val="000000" w:themeColor="text1"/>
          <w:sz w:val="24"/>
        </w:rPr>
        <w:t>列動產擔保放款、第</w:t>
      </w:r>
      <w:r w:rsidR="00612792" w:rsidRPr="00E224E9">
        <w:rPr>
          <w:rFonts w:ascii="Book Antiqua" w:hAnsi="Book Antiqua"/>
          <w:color w:val="000000" w:themeColor="text1"/>
          <w:sz w:val="24"/>
        </w:rPr>
        <w:t>99</w:t>
      </w:r>
      <w:r w:rsidRPr="00E224E9">
        <w:rPr>
          <w:rFonts w:ascii="Book Antiqua" w:hAnsi="標楷體"/>
          <w:color w:val="000000" w:themeColor="text1"/>
          <w:sz w:val="24"/>
        </w:rPr>
        <w:t>列有價證券質押放款以及第</w:t>
      </w:r>
      <w:r w:rsidR="00612792" w:rsidRPr="00E224E9">
        <w:rPr>
          <w:rFonts w:ascii="Book Antiqua" w:hAnsi="Book Antiqua"/>
          <w:color w:val="000000" w:themeColor="text1"/>
          <w:sz w:val="24"/>
        </w:rPr>
        <w:t>100</w:t>
      </w:r>
      <w:r w:rsidRPr="00E224E9">
        <w:rPr>
          <w:rFonts w:ascii="Book Antiqua" w:hAnsi="標楷體"/>
          <w:color w:val="000000" w:themeColor="text1"/>
          <w:sz w:val="24"/>
        </w:rPr>
        <w:t>列銀行保證放款之加總。</w:t>
      </w:r>
    </w:p>
    <w:p w14:paraId="4A74F2D6"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12792" w:rsidRPr="00E224E9">
        <w:rPr>
          <w:rFonts w:ascii="Book Antiqua" w:hAnsi="Book Antiqua"/>
          <w:color w:val="000000" w:themeColor="text1"/>
          <w:sz w:val="24"/>
        </w:rPr>
        <w:t>96</w:t>
      </w:r>
      <w:r w:rsidRPr="00E224E9">
        <w:rPr>
          <w:rFonts w:ascii="Book Antiqua" w:hAnsi="標楷體"/>
          <w:color w:val="000000" w:themeColor="text1"/>
          <w:sz w:val="24"/>
        </w:rPr>
        <w:t>列－壽險貸款</w:t>
      </w:r>
    </w:p>
    <w:p w14:paraId="0394D5BC" w14:textId="77777777" w:rsidR="003477BF" w:rsidRPr="00E224E9" w:rsidRDefault="003477BF" w:rsidP="003477BF">
      <w:pPr>
        <w:spacing w:line="440" w:lineRule="exact"/>
        <w:ind w:leftChars="300" w:left="780"/>
        <w:jc w:val="both"/>
        <w:rPr>
          <w:rFonts w:ascii="Book Antiqua" w:hAnsi="標楷體"/>
          <w:color w:val="000000" w:themeColor="text1"/>
          <w:sz w:val="24"/>
        </w:rPr>
      </w:pPr>
      <w:r w:rsidRPr="00E224E9">
        <w:rPr>
          <w:rFonts w:ascii="Book Antiqua" w:hAnsi="標楷體"/>
          <w:color w:val="000000" w:themeColor="text1"/>
          <w:sz w:val="24"/>
        </w:rPr>
        <w:t>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w:t>
      </w:r>
      <w:r w:rsidRPr="00E224E9">
        <w:rPr>
          <w:rFonts w:ascii="Book Antiqua" w:hAnsi="Book Antiqua"/>
          <w:color w:val="000000" w:themeColor="text1"/>
          <w:sz w:val="24"/>
        </w:rPr>
        <w:t>3</w:t>
      </w:r>
      <w:r w:rsidRPr="00E224E9">
        <w:rPr>
          <w:rFonts w:ascii="Book Antiqua" w:hAnsi="標楷體"/>
          <w:color w:val="000000" w:themeColor="text1"/>
          <w:sz w:val="24"/>
        </w:rPr>
        <w:t>第一項第四款之規定，人壽保險業得辦理以該保險業所簽發之人壽保險單為質之放款。</w:t>
      </w:r>
    </w:p>
    <w:p w14:paraId="7FD8468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12792" w:rsidRPr="00E224E9">
        <w:rPr>
          <w:rFonts w:ascii="Book Antiqua" w:hAnsi="Book Antiqua"/>
          <w:color w:val="000000" w:themeColor="text1"/>
          <w:sz w:val="24"/>
        </w:rPr>
        <w:t>101</w:t>
      </w:r>
      <w:r w:rsidRPr="00E224E9">
        <w:rPr>
          <w:rFonts w:ascii="Book Antiqua" w:hAnsi="標楷體"/>
          <w:color w:val="000000" w:themeColor="text1"/>
          <w:sz w:val="24"/>
        </w:rPr>
        <w:t>列－利害關係人放款</w:t>
      </w:r>
    </w:p>
    <w:p w14:paraId="271713A5"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係指依「保險業利害關係人放款管理辦法」所定義之利害關係人放款。</w:t>
      </w:r>
    </w:p>
    <w:p w14:paraId="3B596FFE"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612792" w:rsidRPr="00E224E9">
        <w:rPr>
          <w:rFonts w:ascii="Book Antiqua" w:hAnsi="Book Antiqua"/>
          <w:color w:val="000000" w:themeColor="text1"/>
          <w:sz w:val="24"/>
        </w:rPr>
        <w:t>102</w:t>
      </w:r>
      <w:r w:rsidRPr="00E224E9">
        <w:rPr>
          <w:rFonts w:ascii="Book Antiqua" w:hAnsi="標楷體"/>
          <w:color w:val="000000" w:themeColor="text1"/>
          <w:sz w:val="24"/>
        </w:rPr>
        <w:t>列具控制與從屬關係與第</w:t>
      </w:r>
      <w:r w:rsidR="00612792" w:rsidRPr="00E224E9">
        <w:rPr>
          <w:rFonts w:ascii="Book Antiqua" w:hAnsi="Book Antiqua"/>
          <w:color w:val="000000" w:themeColor="text1"/>
          <w:sz w:val="24"/>
        </w:rPr>
        <w:t>103</w:t>
      </w:r>
      <w:r w:rsidRPr="00E224E9">
        <w:rPr>
          <w:rFonts w:ascii="Book Antiqua" w:hAnsi="標楷體"/>
          <w:color w:val="000000" w:themeColor="text1"/>
          <w:sz w:val="24"/>
        </w:rPr>
        <w:t>列非控制與從屬關係兩列加總之和。</w:t>
      </w:r>
    </w:p>
    <w:p w14:paraId="712A2EF3"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12792" w:rsidRPr="00E224E9">
        <w:rPr>
          <w:rFonts w:ascii="Book Antiqua" w:hAnsi="Book Antiqua"/>
          <w:color w:val="000000" w:themeColor="text1"/>
          <w:sz w:val="24"/>
        </w:rPr>
        <w:t>104</w:t>
      </w:r>
      <w:r w:rsidRPr="00E224E9">
        <w:rPr>
          <w:rFonts w:ascii="Book Antiqua" w:hAnsi="標楷體"/>
          <w:color w:val="000000" w:themeColor="text1"/>
          <w:sz w:val="24"/>
        </w:rPr>
        <w:t>列－放款合計</w:t>
      </w:r>
    </w:p>
    <w:p w14:paraId="7A580BA5"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612792" w:rsidRPr="00E224E9">
        <w:rPr>
          <w:rFonts w:ascii="Book Antiqua" w:hAnsi="Book Antiqua"/>
          <w:color w:val="000000" w:themeColor="text1"/>
          <w:sz w:val="24"/>
        </w:rPr>
        <w:t>95</w:t>
      </w:r>
      <w:r w:rsidRPr="00E224E9">
        <w:rPr>
          <w:rFonts w:ascii="Book Antiqua" w:hAnsi="標楷體"/>
          <w:color w:val="000000" w:themeColor="text1"/>
          <w:sz w:val="24"/>
        </w:rPr>
        <w:t>列非利害關係人放款與第</w:t>
      </w:r>
      <w:r w:rsidR="00612792" w:rsidRPr="00E224E9">
        <w:rPr>
          <w:rFonts w:ascii="Book Antiqua" w:hAnsi="Book Antiqua"/>
          <w:color w:val="000000" w:themeColor="text1"/>
          <w:sz w:val="24"/>
        </w:rPr>
        <w:t>101</w:t>
      </w:r>
      <w:r w:rsidRPr="00E224E9">
        <w:rPr>
          <w:rFonts w:ascii="Book Antiqua" w:hAnsi="標楷體"/>
          <w:color w:val="000000" w:themeColor="text1"/>
          <w:sz w:val="24"/>
        </w:rPr>
        <w:t>列利害關係人放款兩列加總之和。</w:t>
      </w:r>
    </w:p>
    <w:p w14:paraId="1EC3C463"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五、國外投資</w:t>
      </w:r>
    </w:p>
    <w:p w14:paraId="5751BECA" w14:textId="4A79C800" w:rsidR="003477BF" w:rsidRPr="00E224E9" w:rsidRDefault="003477BF" w:rsidP="003477BF">
      <w:pPr>
        <w:spacing w:line="440" w:lineRule="exact"/>
        <w:ind w:firstLineChars="207" w:firstLine="497"/>
        <w:jc w:val="both"/>
        <w:rPr>
          <w:rFonts w:ascii="Book Antiqua" w:hAnsi="標楷體"/>
          <w:color w:val="000000" w:themeColor="text1"/>
          <w:sz w:val="24"/>
        </w:rPr>
      </w:pPr>
      <w:r w:rsidRPr="00E224E9">
        <w:rPr>
          <w:rFonts w:ascii="Book Antiqua" w:hAnsi="標楷體"/>
          <w:color w:val="000000" w:themeColor="text1"/>
          <w:sz w:val="24"/>
        </w:rPr>
        <w:t>為配合資本適足性報表分類，茲將國外投資依被投資對象分為非關係人與關係人兩大類。</w:t>
      </w:r>
    </w:p>
    <w:p w14:paraId="71DCE012" w14:textId="49D97696" w:rsidR="00DB1042" w:rsidRPr="00E224E9" w:rsidRDefault="00DB1042" w:rsidP="0075723A">
      <w:pPr>
        <w:spacing w:line="440" w:lineRule="exact"/>
        <w:ind w:leftChars="199" w:left="517"/>
        <w:jc w:val="both"/>
        <w:rPr>
          <w:rFonts w:ascii="Book Antiqua" w:hAnsi="Book Antiqua"/>
          <w:color w:val="000000" w:themeColor="text1"/>
          <w:sz w:val="24"/>
        </w:rPr>
      </w:pPr>
      <w:r w:rsidRPr="00E224E9">
        <w:rPr>
          <w:rFonts w:ascii="Book Antiqua" w:hAnsi="標楷體" w:hint="eastAsia"/>
          <w:color w:val="000000" w:themeColor="text1"/>
          <w:sz w:val="24"/>
        </w:rPr>
        <w:t>國外資產請依投資標的所屬之國家區分為已開發國家及新興市場兩大項；現金及外幣存款則依其所存之幣別為區分標準。</w:t>
      </w:r>
    </w:p>
    <w:p w14:paraId="76112764"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12792" w:rsidRPr="00E224E9">
        <w:rPr>
          <w:rFonts w:ascii="Book Antiqua" w:hAnsi="Book Antiqua"/>
          <w:color w:val="000000" w:themeColor="text1"/>
          <w:sz w:val="24"/>
        </w:rPr>
        <w:t>105</w:t>
      </w:r>
      <w:r w:rsidRPr="00E224E9">
        <w:rPr>
          <w:rFonts w:ascii="Book Antiqua" w:hAnsi="標楷體"/>
          <w:color w:val="000000" w:themeColor="text1"/>
          <w:sz w:val="24"/>
        </w:rPr>
        <w:t>列－非關係人</w:t>
      </w:r>
    </w:p>
    <w:p w14:paraId="0B2129A2"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本列金額為第</w:t>
      </w:r>
      <w:r w:rsidR="00612792" w:rsidRPr="00E224E9">
        <w:rPr>
          <w:rFonts w:ascii="Book Antiqua" w:hAnsi="Book Antiqua"/>
          <w:color w:val="000000" w:themeColor="text1"/>
          <w:sz w:val="24"/>
        </w:rPr>
        <w:t>106</w:t>
      </w:r>
      <w:r w:rsidRPr="00E224E9">
        <w:rPr>
          <w:rFonts w:ascii="Book Antiqua" w:hAnsi="標楷體"/>
          <w:color w:val="000000" w:themeColor="text1"/>
          <w:sz w:val="24"/>
        </w:rPr>
        <w:t>列投資於</w:t>
      </w:r>
      <w:r w:rsidRPr="00E224E9">
        <w:rPr>
          <w:rFonts w:ascii="Book Antiqua" w:hAnsi="標楷體" w:hint="eastAsia"/>
          <w:color w:val="000000" w:themeColor="text1"/>
          <w:sz w:val="24"/>
        </w:rPr>
        <w:t>已開發國家</w:t>
      </w:r>
      <w:r w:rsidRPr="00E224E9">
        <w:rPr>
          <w:rFonts w:ascii="Book Antiqua" w:hAnsi="標楷體"/>
          <w:color w:val="000000" w:themeColor="text1"/>
          <w:sz w:val="24"/>
        </w:rPr>
        <w:t>與第</w:t>
      </w:r>
      <w:r w:rsidRPr="00E224E9">
        <w:rPr>
          <w:rFonts w:ascii="Book Antiqua" w:hAnsi="Book Antiqua"/>
          <w:color w:val="000000" w:themeColor="text1"/>
          <w:sz w:val="24"/>
        </w:rPr>
        <w:t>1</w:t>
      </w:r>
      <w:r w:rsidR="00612792" w:rsidRPr="00E224E9">
        <w:rPr>
          <w:rFonts w:ascii="Book Antiqua" w:hAnsi="Book Antiqua"/>
          <w:color w:val="000000" w:themeColor="text1"/>
          <w:sz w:val="24"/>
        </w:rPr>
        <w:t>36</w:t>
      </w:r>
      <w:r w:rsidRPr="00E224E9">
        <w:rPr>
          <w:rFonts w:ascii="Book Antiqua" w:hAnsi="標楷體"/>
          <w:color w:val="000000" w:themeColor="text1"/>
          <w:sz w:val="24"/>
        </w:rPr>
        <w:t>列投資於</w:t>
      </w:r>
      <w:r w:rsidRPr="00E224E9">
        <w:rPr>
          <w:rFonts w:ascii="Book Antiqua" w:hAnsi="標楷體" w:hint="eastAsia"/>
          <w:color w:val="000000" w:themeColor="text1"/>
          <w:sz w:val="24"/>
        </w:rPr>
        <w:t>新興市場</w:t>
      </w:r>
      <w:r w:rsidRPr="00E224E9">
        <w:rPr>
          <w:rFonts w:ascii="Book Antiqua" w:hAnsi="標楷體"/>
          <w:color w:val="000000" w:themeColor="text1"/>
          <w:sz w:val="24"/>
        </w:rPr>
        <w:t>兩列加總之和。</w:t>
      </w:r>
    </w:p>
    <w:p w14:paraId="1246DA89"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12792" w:rsidRPr="00E224E9">
        <w:rPr>
          <w:rFonts w:ascii="Book Antiqua" w:hAnsi="Book Antiqua"/>
          <w:color w:val="000000" w:themeColor="text1"/>
          <w:sz w:val="24"/>
        </w:rPr>
        <w:t>106</w:t>
      </w:r>
      <w:r w:rsidRPr="00E224E9">
        <w:rPr>
          <w:rFonts w:ascii="Book Antiqua" w:hAnsi="標楷體"/>
          <w:color w:val="000000" w:themeColor="text1"/>
          <w:sz w:val="24"/>
        </w:rPr>
        <w:t>列－投資於</w:t>
      </w:r>
      <w:r w:rsidRPr="00E224E9">
        <w:rPr>
          <w:rFonts w:ascii="Book Antiqua" w:hAnsi="標楷體" w:hint="eastAsia"/>
          <w:color w:val="000000" w:themeColor="text1"/>
          <w:sz w:val="24"/>
        </w:rPr>
        <w:t>已開發國家</w:t>
      </w:r>
    </w:p>
    <w:p w14:paraId="433A7377"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hint="eastAsia"/>
          <w:color w:val="000000" w:themeColor="text1"/>
          <w:sz w:val="24"/>
        </w:rPr>
        <w:t>已開發國家</w:t>
      </w:r>
      <w:r w:rsidRPr="00E224E9">
        <w:rPr>
          <w:rFonts w:ascii="Book Antiqua" w:hAnsi="標楷體"/>
          <w:color w:val="000000" w:themeColor="text1"/>
          <w:sz w:val="24"/>
        </w:rPr>
        <w:t>係指</w:t>
      </w:r>
      <w:r w:rsidRPr="00E224E9">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E224E9">
        <w:rPr>
          <w:rFonts w:ascii="Book Antiqua" w:hAnsi="標楷體"/>
          <w:color w:val="000000" w:themeColor="text1"/>
          <w:sz w:val="24"/>
        </w:rPr>
        <w:t>。</w:t>
      </w:r>
    </w:p>
    <w:p w14:paraId="346C70D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612792" w:rsidRPr="00E224E9">
        <w:rPr>
          <w:rFonts w:ascii="Book Antiqua" w:hAnsi="Book Antiqua"/>
          <w:color w:val="000000" w:themeColor="text1"/>
          <w:sz w:val="24"/>
        </w:rPr>
        <w:t>107</w:t>
      </w:r>
      <w:r w:rsidRPr="00E224E9">
        <w:rPr>
          <w:rFonts w:ascii="Book Antiqua" w:hAnsi="標楷體"/>
          <w:color w:val="000000" w:themeColor="text1"/>
          <w:sz w:val="24"/>
        </w:rPr>
        <w:t>列至第</w:t>
      </w:r>
      <w:r w:rsidR="00612792" w:rsidRPr="00E224E9">
        <w:rPr>
          <w:rFonts w:ascii="Book Antiqua" w:hAnsi="Book Antiqua"/>
          <w:color w:val="000000" w:themeColor="text1"/>
          <w:sz w:val="24"/>
        </w:rPr>
        <w:t>108</w:t>
      </w:r>
      <w:r w:rsidRPr="00E224E9">
        <w:rPr>
          <w:rFonts w:ascii="Book Antiqua" w:hAnsi="標楷體"/>
          <w:color w:val="000000" w:themeColor="text1"/>
          <w:sz w:val="24"/>
        </w:rPr>
        <w:t>列、第</w:t>
      </w:r>
      <w:r w:rsidR="00612792" w:rsidRPr="00E224E9">
        <w:rPr>
          <w:rFonts w:ascii="Book Antiqua" w:hAnsi="Book Antiqua"/>
          <w:color w:val="000000" w:themeColor="text1"/>
          <w:sz w:val="24"/>
        </w:rPr>
        <w:t>116</w:t>
      </w:r>
      <w:r w:rsidRPr="00E224E9">
        <w:rPr>
          <w:rFonts w:ascii="Book Antiqua" w:hAnsi="標楷體"/>
          <w:color w:val="000000" w:themeColor="text1"/>
          <w:sz w:val="24"/>
        </w:rPr>
        <w:t>列、第</w:t>
      </w:r>
      <w:r w:rsidR="00612792" w:rsidRPr="00E224E9">
        <w:rPr>
          <w:rFonts w:ascii="Book Antiqua" w:hAnsi="Book Antiqua"/>
          <w:color w:val="000000" w:themeColor="text1"/>
          <w:sz w:val="24"/>
        </w:rPr>
        <w:t>121</w:t>
      </w:r>
      <w:r w:rsidRPr="00E224E9">
        <w:rPr>
          <w:rFonts w:ascii="Book Antiqua" w:hAnsi="標楷體"/>
          <w:color w:val="000000" w:themeColor="text1"/>
          <w:sz w:val="24"/>
        </w:rPr>
        <w:t>列至第</w:t>
      </w:r>
      <w:r w:rsidR="00612792" w:rsidRPr="00E224E9">
        <w:rPr>
          <w:rFonts w:ascii="Book Antiqua" w:hAnsi="Book Antiqua"/>
          <w:color w:val="000000" w:themeColor="text1"/>
          <w:sz w:val="24"/>
        </w:rPr>
        <w:t>122</w:t>
      </w:r>
      <w:r w:rsidRPr="00E224E9">
        <w:rPr>
          <w:rFonts w:ascii="Book Antiqua" w:hAnsi="標楷體"/>
          <w:color w:val="000000" w:themeColor="text1"/>
          <w:sz w:val="24"/>
        </w:rPr>
        <w:t>列及第</w:t>
      </w:r>
      <w:r w:rsidR="00612792" w:rsidRPr="00E224E9">
        <w:rPr>
          <w:rFonts w:ascii="Book Antiqua" w:hAnsi="Book Antiqua"/>
          <w:color w:val="000000" w:themeColor="text1"/>
          <w:sz w:val="24"/>
        </w:rPr>
        <w:t>125</w:t>
      </w:r>
      <w:r w:rsidRPr="00E224E9">
        <w:rPr>
          <w:rFonts w:ascii="Book Antiqua" w:hAnsi="標楷體"/>
          <w:color w:val="000000" w:themeColor="text1"/>
          <w:sz w:val="24"/>
        </w:rPr>
        <w:t>列至第</w:t>
      </w:r>
      <w:r w:rsidR="00612792" w:rsidRPr="00E224E9">
        <w:rPr>
          <w:rFonts w:ascii="Book Antiqua" w:hAnsi="Book Antiqua"/>
          <w:color w:val="000000" w:themeColor="text1"/>
          <w:sz w:val="24"/>
        </w:rPr>
        <w:t>130</w:t>
      </w:r>
      <w:r w:rsidRPr="00E224E9">
        <w:rPr>
          <w:rFonts w:ascii="Book Antiqua" w:hAnsi="標楷體"/>
          <w:color w:val="000000" w:themeColor="text1"/>
          <w:sz w:val="24"/>
        </w:rPr>
        <w:t>列各投資項目之加總。</w:t>
      </w:r>
    </w:p>
    <w:p w14:paraId="3F312B44"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12792" w:rsidRPr="00E224E9">
        <w:rPr>
          <w:rFonts w:ascii="Book Antiqua" w:hAnsi="Book Antiqua"/>
          <w:color w:val="000000" w:themeColor="text1"/>
          <w:sz w:val="24"/>
        </w:rPr>
        <w:t>108</w:t>
      </w:r>
      <w:r w:rsidRPr="00E224E9">
        <w:rPr>
          <w:rFonts w:ascii="Book Antiqua" w:hAnsi="標楷體"/>
          <w:color w:val="000000" w:themeColor="text1"/>
          <w:sz w:val="24"/>
        </w:rPr>
        <w:t>列－固定型收益投資</w:t>
      </w:r>
    </w:p>
    <w:p w14:paraId="5C5596A9"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807BBF" w:rsidRPr="00E224E9">
        <w:rPr>
          <w:rFonts w:ascii="Book Antiqua" w:hAnsi="Book Antiqua"/>
          <w:color w:val="000000" w:themeColor="text1"/>
          <w:sz w:val="24"/>
        </w:rPr>
        <w:t>109</w:t>
      </w:r>
      <w:r w:rsidRPr="00E224E9">
        <w:rPr>
          <w:rFonts w:ascii="Book Antiqua" w:hAnsi="標楷體"/>
          <w:color w:val="000000" w:themeColor="text1"/>
          <w:sz w:val="24"/>
        </w:rPr>
        <w:t>列至第</w:t>
      </w:r>
      <w:r w:rsidR="00807BBF" w:rsidRPr="00E224E9">
        <w:rPr>
          <w:rFonts w:ascii="Book Antiqua" w:hAnsi="Book Antiqua"/>
          <w:color w:val="000000" w:themeColor="text1"/>
          <w:sz w:val="24"/>
        </w:rPr>
        <w:t>113</w:t>
      </w:r>
      <w:r w:rsidRPr="00E224E9">
        <w:rPr>
          <w:rFonts w:ascii="Book Antiqua" w:hAnsi="標楷體"/>
          <w:color w:val="000000" w:themeColor="text1"/>
          <w:sz w:val="24"/>
        </w:rPr>
        <w:t>列之加總。</w:t>
      </w:r>
    </w:p>
    <w:p w14:paraId="5A81ABC2" w14:textId="77777777" w:rsidR="003477BF" w:rsidRPr="00E224E9" w:rsidRDefault="003477BF" w:rsidP="003477BF">
      <w:pPr>
        <w:spacing w:line="440" w:lineRule="exact"/>
        <w:ind w:left="780" w:hangingChars="325" w:hanging="780"/>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00807BBF" w:rsidRPr="00E224E9">
        <w:rPr>
          <w:rFonts w:ascii="Book Antiqua" w:hAnsi="Book Antiqua"/>
          <w:color w:val="000000" w:themeColor="text1"/>
          <w:sz w:val="24"/>
        </w:rPr>
        <w:t>116</w:t>
      </w:r>
      <w:r w:rsidRPr="00E224E9">
        <w:rPr>
          <w:rFonts w:ascii="Book Antiqua" w:hAnsi="標楷體"/>
          <w:color w:val="000000" w:themeColor="text1"/>
          <w:sz w:val="24"/>
        </w:rPr>
        <w:t>列－股票</w:t>
      </w:r>
    </w:p>
    <w:p w14:paraId="3BA70D90" w14:textId="77777777" w:rsidR="003477BF" w:rsidRPr="00E224E9" w:rsidRDefault="003477BF" w:rsidP="003477BF">
      <w:pPr>
        <w:tabs>
          <w:tab w:val="left" w:pos="180"/>
        </w:tabs>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股票投資依其性質區分為第</w:t>
      </w:r>
      <w:r w:rsidR="00807BBF" w:rsidRPr="00E224E9">
        <w:rPr>
          <w:rFonts w:ascii="Book Antiqua" w:hAnsi="Book Antiqua"/>
          <w:color w:val="000000" w:themeColor="text1"/>
          <w:sz w:val="24"/>
        </w:rPr>
        <w:t>117</w:t>
      </w:r>
      <w:r w:rsidRPr="00E224E9">
        <w:rPr>
          <w:rFonts w:ascii="Book Antiqua" w:hAnsi="標楷體"/>
          <w:color w:val="000000" w:themeColor="text1"/>
          <w:sz w:val="24"/>
        </w:rPr>
        <w:t>列之普通股及第</w:t>
      </w:r>
      <w:r w:rsidRPr="00E224E9">
        <w:rPr>
          <w:rFonts w:ascii="Book Antiqua" w:hAnsi="Book Antiqua"/>
          <w:color w:val="000000" w:themeColor="text1"/>
          <w:sz w:val="24"/>
        </w:rPr>
        <w:t>1</w:t>
      </w:r>
      <w:r w:rsidR="00807BBF" w:rsidRPr="00E224E9">
        <w:rPr>
          <w:rFonts w:ascii="Book Antiqua" w:hAnsi="Book Antiqua"/>
          <w:color w:val="000000" w:themeColor="text1"/>
          <w:sz w:val="24"/>
        </w:rPr>
        <w:t>18</w:t>
      </w:r>
      <w:r w:rsidRPr="00E224E9">
        <w:rPr>
          <w:rFonts w:ascii="Book Antiqua" w:hAnsi="標楷體"/>
          <w:color w:val="000000" w:themeColor="text1"/>
          <w:sz w:val="24"/>
        </w:rPr>
        <w:t>列之特別股；特別股則再依其收益特性進一步區分為第</w:t>
      </w:r>
      <w:r w:rsidRPr="00E224E9">
        <w:rPr>
          <w:rFonts w:ascii="Book Antiqua" w:hAnsi="Book Antiqua"/>
          <w:color w:val="000000" w:themeColor="text1"/>
          <w:sz w:val="24"/>
        </w:rPr>
        <w:t>1</w:t>
      </w:r>
      <w:r w:rsidR="00807BBF" w:rsidRPr="00E224E9">
        <w:rPr>
          <w:rFonts w:ascii="Book Antiqua" w:hAnsi="Book Antiqua"/>
          <w:color w:val="000000" w:themeColor="text1"/>
          <w:sz w:val="24"/>
        </w:rPr>
        <w:t>19</w:t>
      </w:r>
      <w:r w:rsidRPr="00E224E9">
        <w:rPr>
          <w:rFonts w:ascii="Book Antiqua" w:hAnsi="標楷體"/>
          <w:color w:val="000000" w:themeColor="text1"/>
          <w:sz w:val="24"/>
        </w:rPr>
        <w:t>列之固定收益型及第</w:t>
      </w:r>
      <w:r w:rsidRPr="00E224E9">
        <w:rPr>
          <w:rFonts w:ascii="Book Antiqua" w:hAnsi="Book Antiqua"/>
          <w:color w:val="000000" w:themeColor="text1"/>
          <w:sz w:val="24"/>
        </w:rPr>
        <w:t>1</w:t>
      </w:r>
      <w:r w:rsidR="00807BBF" w:rsidRPr="00E224E9">
        <w:rPr>
          <w:rFonts w:ascii="Book Antiqua" w:hAnsi="Book Antiqua"/>
          <w:color w:val="000000" w:themeColor="text1"/>
          <w:sz w:val="24"/>
        </w:rPr>
        <w:t>20</w:t>
      </w:r>
      <w:r w:rsidRPr="00E224E9">
        <w:rPr>
          <w:rFonts w:ascii="Book Antiqua" w:hAnsi="標楷體"/>
          <w:color w:val="000000" w:themeColor="text1"/>
          <w:sz w:val="24"/>
        </w:rPr>
        <w:t>列非固定收益型兩類。所稱「固定收益特別股」，請詳本表第</w:t>
      </w:r>
      <w:r w:rsidRPr="00E224E9">
        <w:rPr>
          <w:rFonts w:ascii="Book Antiqua" w:hAnsi="Book Antiqua"/>
          <w:color w:val="000000" w:themeColor="text1"/>
          <w:sz w:val="24"/>
        </w:rPr>
        <w:t>24</w:t>
      </w:r>
      <w:r w:rsidRPr="00E224E9">
        <w:rPr>
          <w:rFonts w:ascii="Book Antiqua" w:hAnsi="標楷體"/>
          <w:color w:val="000000" w:themeColor="text1"/>
          <w:sz w:val="24"/>
        </w:rPr>
        <w:t>列之有關說明。</w:t>
      </w:r>
    </w:p>
    <w:p w14:paraId="12C03039" w14:textId="77777777" w:rsidR="003477BF" w:rsidRPr="00E224E9" w:rsidRDefault="003477BF" w:rsidP="003477BF">
      <w:pPr>
        <w:spacing w:line="440" w:lineRule="exact"/>
        <w:ind w:left="780" w:hangingChars="325" w:hanging="7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C31310" w:rsidRPr="00E224E9">
        <w:rPr>
          <w:rFonts w:ascii="Book Antiqua" w:hAnsi="Book Antiqua"/>
          <w:color w:val="000000" w:themeColor="text1"/>
          <w:sz w:val="24"/>
        </w:rPr>
        <w:t>22</w:t>
      </w:r>
      <w:r w:rsidRPr="00E224E9">
        <w:rPr>
          <w:rFonts w:ascii="Book Antiqua" w:hAnsi="標楷體"/>
          <w:color w:val="000000" w:themeColor="text1"/>
          <w:sz w:val="24"/>
        </w:rPr>
        <w:t>列－放款</w:t>
      </w:r>
    </w:p>
    <w:p w14:paraId="7206A530" w14:textId="77777777" w:rsidR="003477BF" w:rsidRPr="00E224E9" w:rsidRDefault="003477BF" w:rsidP="003477BF">
      <w:pPr>
        <w:pStyle w:val="HTML"/>
        <w:spacing w:line="440" w:lineRule="exact"/>
        <w:ind w:leftChars="276" w:left="718"/>
        <w:jc w:val="both"/>
        <w:rPr>
          <w:rFonts w:ascii="Book Antiqua" w:eastAsia="標楷體" w:hAnsi="標楷體" w:cs="Times New Roman"/>
          <w:color w:val="000000" w:themeColor="text1"/>
          <w:sz w:val="24"/>
          <w:szCs w:val="24"/>
        </w:rPr>
      </w:pPr>
      <w:r w:rsidRPr="00E224E9">
        <w:rPr>
          <w:rFonts w:ascii="Book Antiqua" w:eastAsia="標楷體" w:hAnsi="標楷體" w:cs="Times New Roman"/>
          <w:color w:val="000000" w:themeColor="text1"/>
          <w:sz w:val="24"/>
          <w:szCs w:val="24"/>
        </w:rPr>
        <w:t>本列之金額為配合資本適足性報表分類，將其區分為第</w:t>
      </w:r>
      <w:r w:rsidRPr="00E224E9">
        <w:rPr>
          <w:rFonts w:ascii="Book Antiqua" w:eastAsia="標楷體" w:hAnsi="Book Antiqua" w:cs="Times New Roman"/>
          <w:color w:val="000000" w:themeColor="text1"/>
          <w:sz w:val="24"/>
          <w:szCs w:val="24"/>
        </w:rPr>
        <w:t>1</w:t>
      </w:r>
      <w:r w:rsidR="00C31310" w:rsidRPr="00E224E9">
        <w:rPr>
          <w:rFonts w:ascii="Book Antiqua" w:eastAsia="標楷體" w:hAnsi="Book Antiqua" w:cs="Times New Roman"/>
          <w:color w:val="000000" w:themeColor="text1"/>
          <w:sz w:val="24"/>
          <w:szCs w:val="24"/>
        </w:rPr>
        <w:t>23</w:t>
      </w:r>
      <w:r w:rsidRPr="00E224E9">
        <w:rPr>
          <w:rFonts w:ascii="Book Antiqua" w:eastAsia="標楷體" w:hAnsi="標楷體" w:cs="Times New Roman"/>
          <w:color w:val="000000" w:themeColor="text1"/>
          <w:sz w:val="24"/>
          <w:szCs w:val="24"/>
        </w:rPr>
        <w:t>列之外幣保單放款及第</w:t>
      </w:r>
      <w:r w:rsidRPr="00E224E9">
        <w:rPr>
          <w:rFonts w:ascii="Book Antiqua" w:eastAsia="標楷體" w:hAnsi="Book Antiqua" w:cs="Times New Roman"/>
          <w:color w:val="000000" w:themeColor="text1"/>
          <w:sz w:val="24"/>
          <w:szCs w:val="24"/>
        </w:rPr>
        <w:t>1</w:t>
      </w:r>
      <w:r w:rsidR="00C31310" w:rsidRPr="00E224E9">
        <w:rPr>
          <w:rFonts w:ascii="Book Antiqua" w:eastAsia="標楷體" w:hAnsi="Book Antiqua" w:cs="Times New Roman"/>
          <w:color w:val="000000" w:themeColor="text1"/>
          <w:sz w:val="24"/>
          <w:szCs w:val="24"/>
        </w:rPr>
        <w:t>24</w:t>
      </w:r>
      <w:r w:rsidRPr="00E224E9">
        <w:rPr>
          <w:rFonts w:ascii="Book Antiqua" w:eastAsia="標楷體" w:hAnsi="標楷體" w:cs="Times New Roman"/>
          <w:color w:val="000000" w:themeColor="text1"/>
          <w:sz w:val="24"/>
          <w:szCs w:val="24"/>
        </w:rPr>
        <w:t>列之其他放款兩類。所稱「外幣保單放款」係指依「</w:t>
      </w:r>
      <w:r w:rsidRPr="00E224E9">
        <w:rPr>
          <w:rFonts w:ascii="Book Antiqua" w:eastAsia="標楷體" w:hAnsi="標楷體" w:cs="Times New Roman"/>
          <w:bCs/>
          <w:color w:val="000000" w:themeColor="text1"/>
          <w:sz w:val="24"/>
          <w:szCs w:val="24"/>
        </w:rPr>
        <w:t>保險業辦理國外投資管理辦法</w:t>
      </w:r>
      <w:r w:rsidRPr="00E224E9">
        <w:rPr>
          <w:rFonts w:ascii="Book Antiqua" w:eastAsia="標楷體" w:hAnsi="標楷體" w:cs="Times New Roman"/>
          <w:color w:val="000000" w:themeColor="text1"/>
          <w:sz w:val="24"/>
          <w:szCs w:val="24"/>
        </w:rPr>
        <w:t>」第</w:t>
      </w:r>
      <w:r w:rsidRPr="00E224E9">
        <w:rPr>
          <w:rFonts w:ascii="Book Antiqua" w:eastAsia="標楷體" w:hAnsi="Book Antiqua" w:cs="Times New Roman"/>
          <w:color w:val="000000" w:themeColor="text1"/>
          <w:sz w:val="24"/>
          <w:szCs w:val="24"/>
        </w:rPr>
        <w:t>3</w:t>
      </w:r>
      <w:r w:rsidRPr="00E224E9">
        <w:rPr>
          <w:rFonts w:ascii="Book Antiqua" w:eastAsia="標楷體" w:hAnsi="標楷體" w:cs="Times New Roman"/>
          <w:color w:val="000000" w:themeColor="text1"/>
          <w:sz w:val="24"/>
          <w:szCs w:val="24"/>
        </w:rPr>
        <w:t>條第</w:t>
      </w:r>
      <w:r w:rsidRPr="00E224E9">
        <w:rPr>
          <w:rFonts w:ascii="Book Antiqua" w:eastAsia="標楷體" w:hAnsi="Book Antiqua" w:cs="Times New Roman"/>
          <w:color w:val="000000" w:themeColor="text1"/>
          <w:sz w:val="24"/>
          <w:szCs w:val="24"/>
        </w:rPr>
        <w:t>1</w:t>
      </w:r>
      <w:r w:rsidRPr="00E224E9">
        <w:rPr>
          <w:rFonts w:ascii="Book Antiqua" w:eastAsia="標楷體" w:hAnsi="標楷體" w:cs="Times New Roman"/>
          <w:color w:val="000000" w:themeColor="text1"/>
          <w:sz w:val="24"/>
          <w:szCs w:val="24"/>
        </w:rPr>
        <w:t>項第</w:t>
      </w:r>
      <w:r w:rsidRPr="00E224E9">
        <w:rPr>
          <w:rFonts w:ascii="Book Antiqua" w:eastAsia="標楷體" w:hAnsi="Book Antiqua" w:cs="Times New Roman"/>
          <w:color w:val="000000" w:themeColor="text1"/>
          <w:sz w:val="24"/>
          <w:szCs w:val="24"/>
        </w:rPr>
        <w:t>3</w:t>
      </w:r>
      <w:r w:rsidRPr="00E224E9">
        <w:rPr>
          <w:rFonts w:ascii="Book Antiqua" w:eastAsia="標楷體" w:hAnsi="標楷體" w:cs="Times New Roman"/>
          <w:color w:val="000000" w:themeColor="text1"/>
          <w:sz w:val="24"/>
          <w:szCs w:val="24"/>
        </w:rPr>
        <w:t>款規定經中央銀行許可辦理以各該保險業所簽發外幣收付之人身保險單為質之外幣放款</w:t>
      </w:r>
      <w:r w:rsidRPr="00E224E9">
        <w:rPr>
          <w:rFonts w:ascii="Book Antiqua" w:eastAsia="標楷體" w:hAnsi="標楷體" w:cs="Times New Roman" w:hint="eastAsia"/>
          <w:color w:val="000000" w:themeColor="text1"/>
          <w:sz w:val="24"/>
          <w:szCs w:val="24"/>
        </w:rPr>
        <w:t>。</w:t>
      </w:r>
    </w:p>
    <w:p w14:paraId="03FC2245"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C31310" w:rsidRPr="00E224E9">
        <w:rPr>
          <w:rFonts w:ascii="Book Antiqua" w:hAnsi="Book Antiqua"/>
          <w:color w:val="000000" w:themeColor="text1"/>
          <w:sz w:val="24"/>
        </w:rPr>
        <w:t>36</w:t>
      </w:r>
      <w:r w:rsidRPr="00E224E9">
        <w:rPr>
          <w:rFonts w:ascii="Book Antiqua" w:hAnsi="標楷體"/>
          <w:color w:val="000000" w:themeColor="text1"/>
          <w:sz w:val="24"/>
        </w:rPr>
        <w:t>列－投資於</w:t>
      </w:r>
      <w:r w:rsidRPr="00E224E9">
        <w:rPr>
          <w:rFonts w:ascii="Book Antiqua" w:hAnsi="標楷體" w:hint="eastAsia"/>
          <w:color w:val="000000" w:themeColor="text1"/>
          <w:sz w:val="24"/>
        </w:rPr>
        <w:t>新興市場</w:t>
      </w:r>
    </w:p>
    <w:p w14:paraId="7ABB600B"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hint="eastAsia"/>
          <w:color w:val="000000" w:themeColor="text1"/>
          <w:sz w:val="24"/>
        </w:rPr>
        <w:t>新興市場</w:t>
      </w:r>
      <w:r w:rsidRPr="00E224E9">
        <w:rPr>
          <w:rFonts w:ascii="Book Antiqua" w:hAnsi="標楷體"/>
          <w:color w:val="000000" w:themeColor="text1"/>
          <w:sz w:val="24"/>
        </w:rPr>
        <w:t>係指本國與</w:t>
      </w:r>
      <w:r w:rsidRPr="00E224E9">
        <w:rPr>
          <w:rFonts w:ascii="Book Antiqua" w:hAnsi="標楷體" w:hint="eastAsia"/>
          <w:color w:val="000000" w:themeColor="text1"/>
          <w:sz w:val="24"/>
        </w:rPr>
        <w:t>已開發國家</w:t>
      </w:r>
      <w:r w:rsidRPr="00E224E9">
        <w:rPr>
          <w:rFonts w:ascii="Book Antiqua" w:hAnsi="標楷體"/>
          <w:color w:val="000000" w:themeColor="text1"/>
          <w:sz w:val="24"/>
        </w:rPr>
        <w:t>以外之國家。</w:t>
      </w:r>
    </w:p>
    <w:p w14:paraId="016081E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1</w:t>
      </w:r>
      <w:r w:rsidR="00C31310" w:rsidRPr="00E224E9">
        <w:rPr>
          <w:rFonts w:ascii="Book Antiqua" w:hAnsi="Book Antiqua"/>
          <w:color w:val="000000" w:themeColor="text1"/>
          <w:sz w:val="24"/>
        </w:rPr>
        <w:t>37</w:t>
      </w:r>
      <w:r w:rsidRPr="00E224E9">
        <w:rPr>
          <w:rFonts w:ascii="Book Antiqua" w:hAnsi="標楷體"/>
          <w:color w:val="000000" w:themeColor="text1"/>
          <w:sz w:val="24"/>
        </w:rPr>
        <w:t>列至第</w:t>
      </w:r>
      <w:r w:rsidRPr="00E224E9">
        <w:rPr>
          <w:rFonts w:ascii="Book Antiqua" w:hAnsi="Book Antiqua"/>
          <w:color w:val="000000" w:themeColor="text1"/>
          <w:sz w:val="24"/>
        </w:rPr>
        <w:t>1</w:t>
      </w:r>
      <w:r w:rsidR="00C31310" w:rsidRPr="00E224E9">
        <w:rPr>
          <w:rFonts w:ascii="Book Antiqua" w:hAnsi="Book Antiqua"/>
          <w:color w:val="000000" w:themeColor="text1"/>
          <w:sz w:val="24"/>
        </w:rPr>
        <w:t>38</w:t>
      </w:r>
      <w:r w:rsidRPr="00E224E9">
        <w:rPr>
          <w:rFonts w:ascii="Book Antiqua" w:hAnsi="標楷體"/>
          <w:color w:val="000000" w:themeColor="text1"/>
          <w:sz w:val="24"/>
        </w:rPr>
        <w:t>列、第</w:t>
      </w:r>
      <w:r w:rsidRPr="00E224E9">
        <w:rPr>
          <w:rFonts w:ascii="Book Antiqua" w:hAnsi="Book Antiqua"/>
          <w:color w:val="000000" w:themeColor="text1"/>
          <w:sz w:val="24"/>
        </w:rPr>
        <w:t>1</w:t>
      </w:r>
      <w:r w:rsidR="00C31310" w:rsidRPr="00E224E9">
        <w:rPr>
          <w:rFonts w:ascii="Book Antiqua" w:hAnsi="Book Antiqua"/>
          <w:color w:val="000000" w:themeColor="text1"/>
          <w:sz w:val="24"/>
        </w:rPr>
        <w:t>46</w:t>
      </w:r>
      <w:r w:rsidRPr="00E224E9">
        <w:rPr>
          <w:rFonts w:ascii="Book Antiqua" w:hAnsi="標楷體"/>
          <w:color w:val="000000" w:themeColor="text1"/>
          <w:sz w:val="24"/>
        </w:rPr>
        <w:t>列、第</w:t>
      </w:r>
      <w:r w:rsidRPr="00E224E9">
        <w:rPr>
          <w:rFonts w:ascii="Book Antiqua" w:hAnsi="Book Antiqua"/>
          <w:color w:val="000000" w:themeColor="text1"/>
          <w:sz w:val="24"/>
        </w:rPr>
        <w:t>1</w:t>
      </w:r>
      <w:r w:rsidR="00C31310" w:rsidRPr="00E224E9">
        <w:rPr>
          <w:rFonts w:ascii="Book Antiqua" w:hAnsi="Book Antiqua"/>
          <w:color w:val="000000" w:themeColor="text1"/>
          <w:sz w:val="24"/>
        </w:rPr>
        <w:t>51</w:t>
      </w:r>
      <w:r w:rsidRPr="00E224E9">
        <w:rPr>
          <w:rFonts w:ascii="Book Antiqua" w:hAnsi="標楷體"/>
          <w:color w:val="000000" w:themeColor="text1"/>
          <w:sz w:val="24"/>
        </w:rPr>
        <w:t>列至第</w:t>
      </w:r>
      <w:r w:rsidRPr="00E224E9">
        <w:rPr>
          <w:rFonts w:ascii="Book Antiqua" w:hAnsi="Book Antiqua"/>
          <w:color w:val="000000" w:themeColor="text1"/>
          <w:sz w:val="24"/>
        </w:rPr>
        <w:t>1</w:t>
      </w:r>
      <w:r w:rsidR="00C31310" w:rsidRPr="00E224E9">
        <w:rPr>
          <w:rFonts w:ascii="Book Antiqua" w:hAnsi="Book Antiqua"/>
          <w:color w:val="000000" w:themeColor="text1"/>
          <w:sz w:val="24"/>
        </w:rPr>
        <w:t>52</w:t>
      </w:r>
      <w:r w:rsidRPr="00E224E9">
        <w:rPr>
          <w:rFonts w:ascii="Book Antiqua" w:hAnsi="標楷體"/>
          <w:color w:val="000000" w:themeColor="text1"/>
          <w:sz w:val="24"/>
        </w:rPr>
        <w:t>列及第</w:t>
      </w:r>
      <w:r w:rsidRPr="00E224E9">
        <w:rPr>
          <w:rFonts w:ascii="Book Antiqua" w:hAnsi="Book Antiqua"/>
          <w:color w:val="000000" w:themeColor="text1"/>
          <w:sz w:val="24"/>
        </w:rPr>
        <w:t>1</w:t>
      </w:r>
      <w:r w:rsidR="00C31310" w:rsidRPr="00E224E9">
        <w:rPr>
          <w:rFonts w:ascii="Book Antiqua" w:hAnsi="Book Antiqua"/>
          <w:color w:val="000000" w:themeColor="text1"/>
          <w:sz w:val="24"/>
        </w:rPr>
        <w:t>55</w:t>
      </w:r>
      <w:r w:rsidRPr="00E224E9">
        <w:rPr>
          <w:rFonts w:ascii="Book Antiqua" w:hAnsi="標楷體"/>
          <w:color w:val="000000" w:themeColor="text1"/>
          <w:sz w:val="24"/>
        </w:rPr>
        <w:t>列至第</w:t>
      </w:r>
      <w:r w:rsidRPr="00E224E9">
        <w:rPr>
          <w:rFonts w:ascii="Book Antiqua" w:hAnsi="Book Antiqua"/>
          <w:color w:val="000000" w:themeColor="text1"/>
          <w:sz w:val="24"/>
        </w:rPr>
        <w:t>1</w:t>
      </w:r>
      <w:r w:rsidR="00C31310" w:rsidRPr="00E224E9">
        <w:rPr>
          <w:rFonts w:ascii="Book Antiqua" w:hAnsi="Book Antiqua"/>
          <w:color w:val="000000" w:themeColor="text1"/>
          <w:sz w:val="24"/>
        </w:rPr>
        <w:t>60</w:t>
      </w:r>
      <w:r w:rsidRPr="00E224E9">
        <w:rPr>
          <w:rFonts w:ascii="Book Antiqua" w:hAnsi="標楷體"/>
          <w:color w:val="000000" w:themeColor="text1"/>
          <w:sz w:val="24"/>
        </w:rPr>
        <w:t>列各投資項目之加總。</w:t>
      </w:r>
    </w:p>
    <w:p w14:paraId="6E654BB8"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C31310" w:rsidRPr="00E224E9">
        <w:rPr>
          <w:rFonts w:ascii="Book Antiqua" w:hAnsi="Book Antiqua"/>
          <w:color w:val="000000" w:themeColor="text1"/>
          <w:sz w:val="24"/>
        </w:rPr>
        <w:t>38</w:t>
      </w:r>
      <w:r w:rsidRPr="00E224E9">
        <w:rPr>
          <w:rFonts w:ascii="Book Antiqua" w:hAnsi="標楷體"/>
          <w:color w:val="000000" w:themeColor="text1"/>
          <w:sz w:val="24"/>
        </w:rPr>
        <w:t>列－固定型收益投資</w:t>
      </w:r>
    </w:p>
    <w:p w14:paraId="3F16BDE4"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C31310" w:rsidRPr="00E224E9">
        <w:rPr>
          <w:rFonts w:ascii="Book Antiqua" w:hAnsi="Book Antiqua"/>
          <w:color w:val="000000" w:themeColor="text1"/>
          <w:sz w:val="24"/>
        </w:rPr>
        <w:t>139</w:t>
      </w:r>
      <w:r w:rsidRPr="00E224E9">
        <w:rPr>
          <w:rFonts w:ascii="Book Antiqua" w:hAnsi="標楷體"/>
          <w:color w:val="000000" w:themeColor="text1"/>
          <w:sz w:val="24"/>
        </w:rPr>
        <w:t>列至</w:t>
      </w:r>
      <w:r w:rsidRPr="00E224E9">
        <w:rPr>
          <w:rFonts w:ascii="Book Antiqua" w:hAnsi="Book Antiqua"/>
          <w:color w:val="000000" w:themeColor="text1"/>
          <w:sz w:val="24"/>
        </w:rPr>
        <w:t>1</w:t>
      </w:r>
      <w:r w:rsidR="00C31310" w:rsidRPr="00E224E9">
        <w:rPr>
          <w:rFonts w:ascii="Book Antiqua" w:hAnsi="Book Antiqua"/>
          <w:color w:val="000000" w:themeColor="text1"/>
          <w:sz w:val="24"/>
        </w:rPr>
        <w:t>43</w:t>
      </w:r>
      <w:r w:rsidRPr="00E224E9">
        <w:rPr>
          <w:rFonts w:ascii="Book Antiqua" w:hAnsi="標楷體"/>
          <w:color w:val="000000" w:themeColor="text1"/>
          <w:sz w:val="24"/>
        </w:rPr>
        <w:t>列之加總。</w:t>
      </w:r>
    </w:p>
    <w:p w14:paraId="667FB65B"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C31310" w:rsidRPr="00E224E9">
        <w:rPr>
          <w:rFonts w:ascii="Book Antiqua" w:hAnsi="Book Antiqua"/>
          <w:color w:val="000000" w:themeColor="text1"/>
          <w:sz w:val="24"/>
        </w:rPr>
        <w:t>66</w:t>
      </w:r>
      <w:r w:rsidRPr="00E224E9">
        <w:rPr>
          <w:rFonts w:ascii="Book Antiqua" w:hAnsi="標楷體"/>
          <w:color w:val="000000" w:themeColor="text1"/>
          <w:sz w:val="24"/>
        </w:rPr>
        <w:t>列－關係人</w:t>
      </w:r>
    </w:p>
    <w:p w14:paraId="4C83BBCA"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1</w:t>
      </w:r>
      <w:r w:rsidR="00C31310" w:rsidRPr="00E224E9">
        <w:rPr>
          <w:rFonts w:ascii="Book Antiqua" w:hAnsi="Book Antiqua"/>
          <w:color w:val="000000" w:themeColor="text1"/>
          <w:sz w:val="24"/>
        </w:rPr>
        <w:t>67</w:t>
      </w:r>
      <w:r w:rsidRPr="00E224E9">
        <w:rPr>
          <w:rFonts w:ascii="Book Antiqua" w:hAnsi="標楷體"/>
          <w:color w:val="000000" w:themeColor="text1"/>
          <w:sz w:val="24"/>
        </w:rPr>
        <w:t>列及第</w:t>
      </w:r>
      <w:r w:rsidRPr="00E224E9">
        <w:rPr>
          <w:rFonts w:ascii="Book Antiqua" w:hAnsi="Book Antiqua"/>
          <w:color w:val="000000" w:themeColor="text1"/>
          <w:sz w:val="24"/>
        </w:rPr>
        <w:t>1</w:t>
      </w:r>
      <w:r w:rsidR="00C31310" w:rsidRPr="00E224E9">
        <w:rPr>
          <w:rFonts w:ascii="Book Antiqua" w:hAnsi="Book Antiqua"/>
          <w:color w:val="000000" w:themeColor="text1"/>
          <w:sz w:val="24"/>
        </w:rPr>
        <w:t>82</w:t>
      </w:r>
      <w:r w:rsidRPr="00E224E9">
        <w:rPr>
          <w:rFonts w:ascii="Book Antiqua" w:hAnsi="標楷體"/>
          <w:color w:val="000000" w:themeColor="text1"/>
          <w:sz w:val="24"/>
        </w:rPr>
        <w:t>列兩列之加總。</w:t>
      </w:r>
    </w:p>
    <w:p w14:paraId="74C82273"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C31310" w:rsidRPr="00E224E9">
        <w:rPr>
          <w:rFonts w:ascii="Book Antiqua" w:hAnsi="Book Antiqua"/>
          <w:color w:val="000000" w:themeColor="text1"/>
          <w:sz w:val="24"/>
        </w:rPr>
        <w:t>67</w:t>
      </w:r>
      <w:r w:rsidRPr="00E224E9">
        <w:rPr>
          <w:rFonts w:ascii="Book Antiqua" w:hAnsi="標楷體"/>
          <w:color w:val="000000" w:themeColor="text1"/>
          <w:sz w:val="24"/>
        </w:rPr>
        <w:t>列－具控制與從屬關係本列之金額為第</w:t>
      </w:r>
      <w:r w:rsidRPr="00E224E9">
        <w:rPr>
          <w:rFonts w:ascii="Book Antiqua" w:hAnsi="Book Antiqua"/>
          <w:color w:val="000000" w:themeColor="text1"/>
          <w:sz w:val="24"/>
        </w:rPr>
        <w:t>1</w:t>
      </w:r>
      <w:r w:rsidR="00C31310" w:rsidRPr="00E224E9">
        <w:rPr>
          <w:rFonts w:ascii="Book Antiqua" w:hAnsi="Book Antiqua"/>
          <w:color w:val="000000" w:themeColor="text1"/>
          <w:sz w:val="24"/>
        </w:rPr>
        <w:t>68</w:t>
      </w:r>
      <w:r w:rsidRPr="00E224E9">
        <w:rPr>
          <w:rFonts w:ascii="Book Antiqua" w:hAnsi="標楷體"/>
          <w:color w:val="000000" w:themeColor="text1"/>
          <w:sz w:val="24"/>
        </w:rPr>
        <w:t>列至第</w:t>
      </w:r>
      <w:r w:rsidRPr="00E224E9">
        <w:rPr>
          <w:rFonts w:ascii="Book Antiqua" w:hAnsi="Book Antiqua"/>
          <w:color w:val="000000" w:themeColor="text1"/>
          <w:sz w:val="24"/>
        </w:rPr>
        <w:t>1</w:t>
      </w:r>
      <w:r w:rsidR="00C31310" w:rsidRPr="00E224E9">
        <w:rPr>
          <w:rFonts w:ascii="Book Antiqua" w:hAnsi="Book Antiqua"/>
          <w:color w:val="000000" w:themeColor="text1"/>
          <w:sz w:val="24"/>
        </w:rPr>
        <w:t>74</w:t>
      </w:r>
      <w:r w:rsidRPr="00E224E9">
        <w:rPr>
          <w:rFonts w:ascii="Book Antiqua" w:hAnsi="標楷體"/>
          <w:color w:val="000000" w:themeColor="text1"/>
          <w:sz w:val="24"/>
        </w:rPr>
        <w:t>列各投資項目之加總。</w:t>
      </w:r>
    </w:p>
    <w:p w14:paraId="3CDE8F76"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C31310" w:rsidRPr="00E224E9">
        <w:rPr>
          <w:rFonts w:ascii="Book Antiqua" w:hAnsi="Book Antiqua"/>
          <w:color w:val="000000" w:themeColor="text1"/>
          <w:sz w:val="24"/>
        </w:rPr>
        <w:t>82</w:t>
      </w:r>
      <w:r w:rsidRPr="00E224E9">
        <w:rPr>
          <w:rFonts w:ascii="Book Antiqua" w:hAnsi="標楷體"/>
          <w:color w:val="000000" w:themeColor="text1"/>
          <w:sz w:val="24"/>
        </w:rPr>
        <w:t>列－非控制與從屬關係本列之金額為第</w:t>
      </w:r>
      <w:r w:rsidRPr="00E224E9">
        <w:rPr>
          <w:rFonts w:ascii="Book Antiqua" w:hAnsi="Book Antiqua"/>
          <w:color w:val="000000" w:themeColor="text1"/>
          <w:sz w:val="24"/>
        </w:rPr>
        <w:t>1</w:t>
      </w:r>
      <w:r w:rsidR="00C31310" w:rsidRPr="00E224E9">
        <w:rPr>
          <w:rFonts w:ascii="Book Antiqua" w:hAnsi="Book Antiqua"/>
          <w:color w:val="000000" w:themeColor="text1"/>
          <w:sz w:val="24"/>
        </w:rPr>
        <w:t>83</w:t>
      </w:r>
      <w:r w:rsidRPr="00E224E9">
        <w:rPr>
          <w:rFonts w:ascii="Book Antiqua" w:hAnsi="標楷體"/>
          <w:color w:val="000000" w:themeColor="text1"/>
          <w:sz w:val="24"/>
        </w:rPr>
        <w:t>列至第</w:t>
      </w:r>
      <w:r w:rsidRPr="00E224E9">
        <w:rPr>
          <w:rFonts w:ascii="Book Antiqua" w:hAnsi="Book Antiqua"/>
          <w:color w:val="000000" w:themeColor="text1"/>
          <w:sz w:val="24"/>
        </w:rPr>
        <w:t>1</w:t>
      </w:r>
      <w:r w:rsidR="00C31310" w:rsidRPr="00E224E9">
        <w:rPr>
          <w:rFonts w:ascii="Book Antiqua" w:hAnsi="Book Antiqua"/>
          <w:color w:val="000000" w:themeColor="text1"/>
          <w:sz w:val="24"/>
        </w:rPr>
        <w:t>89</w:t>
      </w:r>
      <w:r w:rsidRPr="00E224E9">
        <w:rPr>
          <w:rFonts w:ascii="Book Antiqua" w:hAnsi="標楷體"/>
          <w:color w:val="000000" w:themeColor="text1"/>
          <w:sz w:val="24"/>
        </w:rPr>
        <w:t>列各投資項目之加總。</w:t>
      </w:r>
    </w:p>
    <w:p w14:paraId="41327B1B"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1C40E3" w:rsidRPr="00E224E9">
        <w:rPr>
          <w:rFonts w:ascii="Book Antiqua" w:hAnsi="Book Antiqua"/>
          <w:color w:val="000000" w:themeColor="text1"/>
          <w:sz w:val="24"/>
        </w:rPr>
        <w:t>97</w:t>
      </w:r>
      <w:r w:rsidRPr="00E224E9">
        <w:rPr>
          <w:rFonts w:ascii="Book Antiqua" w:hAnsi="標楷體"/>
          <w:color w:val="000000" w:themeColor="text1"/>
          <w:sz w:val="24"/>
        </w:rPr>
        <w:t>列－國外投資合計</w:t>
      </w:r>
    </w:p>
    <w:p w14:paraId="48A9A176"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1C40E3" w:rsidRPr="00E224E9">
        <w:rPr>
          <w:rFonts w:ascii="Book Antiqua" w:hAnsi="Book Antiqua"/>
          <w:color w:val="000000" w:themeColor="text1"/>
          <w:sz w:val="24"/>
        </w:rPr>
        <w:t>106</w:t>
      </w:r>
      <w:r w:rsidRPr="00E224E9">
        <w:rPr>
          <w:rFonts w:ascii="Book Antiqua" w:hAnsi="標楷體"/>
          <w:color w:val="000000" w:themeColor="text1"/>
          <w:sz w:val="24"/>
        </w:rPr>
        <w:t>列投資</w:t>
      </w:r>
      <w:r w:rsidRPr="00E224E9">
        <w:rPr>
          <w:rFonts w:ascii="Book Antiqua" w:hAnsi="標楷體" w:hint="eastAsia"/>
          <w:color w:val="000000" w:themeColor="text1"/>
          <w:sz w:val="24"/>
        </w:rPr>
        <w:t>已開發國家</w:t>
      </w:r>
      <w:r w:rsidRPr="00E224E9">
        <w:rPr>
          <w:rFonts w:ascii="Book Antiqua" w:hAnsi="標楷體"/>
          <w:color w:val="000000" w:themeColor="text1"/>
          <w:sz w:val="24"/>
        </w:rPr>
        <w:t>、第</w:t>
      </w:r>
      <w:r w:rsidRPr="00E224E9">
        <w:rPr>
          <w:rFonts w:ascii="Book Antiqua" w:hAnsi="Book Antiqua"/>
          <w:color w:val="000000" w:themeColor="text1"/>
          <w:sz w:val="24"/>
        </w:rPr>
        <w:t>1</w:t>
      </w:r>
      <w:r w:rsidR="001C40E3" w:rsidRPr="00E224E9">
        <w:rPr>
          <w:rFonts w:ascii="Book Antiqua" w:hAnsi="Book Antiqua"/>
          <w:color w:val="000000" w:themeColor="text1"/>
          <w:sz w:val="24"/>
        </w:rPr>
        <w:t>36</w:t>
      </w:r>
      <w:r w:rsidRPr="00E224E9">
        <w:rPr>
          <w:rFonts w:ascii="Book Antiqua" w:hAnsi="標楷體"/>
          <w:color w:val="000000" w:themeColor="text1"/>
          <w:sz w:val="24"/>
        </w:rPr>
        <w:t>列投資</w:t>
      </w:r>
      <w:r w:rsidRPr="00E224E9">
        <w:rPr>
          <w:rFonts w:ascii="Book Antiqua" w:hAnsi="標楷體" w:hint="eastAsia"/>
          <w:color w:val="000000" w:themeColor="text1"/>
          <w:sz w:val="24"/>
        </w:rPr>
        <w:t>新興市場</w:t>
      </w:r>
      <w:r w:rsidRPr="00E224E9">
        <w:rPr>
          <w:rFonts w:ascii="Book Antiqua" w:hAnsi="標楷體"/>
          <w:color w:val="000000" w:themeColor="text1"/>
          <w:sz w:val="24"/>
        </w:rPr>
        <w:t>、第</w:t>
      </w:r>
      <w:r w:rsidRPr="00E224E9">
        <w:rPr>
          <w:rFonts w:ascii="Book Antiqua" w:hAnsi="Book Antiqua"/>
          <w:color w:val="000000" w:themeColor="text1"/>
          <w:sz w:val="24"/>
        </w:rPr>
        <w:t>1</w:t>
      </w:r>
      <w:r w:rsidR="001C40E3" w:rsidRPr="00E224E9">
        <w:rPr>
          <w:rFonts w:ascii="Book Antiqua" w:hAnsi="Book Antiqua"/>
          <w:color w:val="000000" w:themeColor="text1"/>
          <w:sz w:val="24"/>
        </w:rPr>
        <w:t>67</w:t>
      </w:r>
      <w:r w:rsidRPr="00E224E9">
        <w:rPr>
          <w:rFonts w:ascii="Book Antiqua" w:hAnsi="標楷體"/>
          <w:color w:val="000000" w:themeColor="text1"/>
          <w:sz w:val="24"/>
        </w:rPr>
        <w:t>列具控制與從屬關係以及第</w:t>
      </w:r>
      <w:r w:rsidRPr="00E224E9">
        <w:rPr>
          <w:rFonts w:ascii="Book Antiqua" w:hAnsi="Book Antiqua"/>
          <w:color w:val="000000" w:themeColor="text1"/>
          <w:sz w:val="24"/>
        </w:rPr>
        <w:t>1</w:t>
      </w:r>
      <w:r w:rsidR="001C40E3" w:rsidRPr="00E224E9">
        <w:rPr>
          <w:rFonts w:ascii="Book Antiqua" w:hAnsi="Book Antiqua"/>
          <w:color w:val="000000" w:themeColor="text1"/>
          <w:sz w:val="24"/>
        </w:rPr>
        <w:t>82</w:t>
      </w:r>
      <w:r w:rsidRPr="00E224E9">
        <w:rPr>
          <w:rFonts w:ascii="Book Antiqua" w:hAnsi="標楷體"/>
          <w:color w:val="000000" w:themeColor="text1"/>
          <w:sz w:val="24"/>
        </w:rPr>
        <w:t>列非控制與從屬關係之加總。</w:t>
      </w:r>
    </w:p>
    <w:p w14:paraId="2EA3FFDD"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六、專案運用公共及社會福利事業投資</w:t>
      </w:r>
    </w:p>
    <w:p w14:paraId="649B8C83"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為配合資本適足性報表分類，茲將專案運用公共及社會福利事業投資依被投資對象分為非關係人與關係人兩大類。</w:t>
      </w:r>
    </w:p>
    <w:p w14:paraId="3E6A6584"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B74408" w:rsidRPr="00E224E9">
        <w:rPr>
          <w:rFonts w:ascii="Book Antiqua" w:hAnsi="Book Antiqua"/>
          <w:color w:val="000000" w:themeColor="text1"/>
          <w:sz w:val="24"/>
        </w:rPr>
        <w:t>98</w:t>
      </w:r>
      <w:r w:rsidRPr="00E224E9">
        <w:rPr>
          <w:rFonts w:ascii="Book Antiqua" w:hAnsi="標楷體"/>
          <w:color w:val="000000" w:themeColor="text1"/>
          <w:sz w:val="24"/>
        </w:rPr>
        <w:t>列－非關係人</w:t>
      </w:r>
    </w:p>
    <w:p w14:paraId="12C5505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1</w:t>
      </w:r>
      <w:r w:rsidR="00B74408" w:rsidRPr="00E224E9">
        <w:rPr>
          <w:rFonts w:ascii="Book Antiqua" w:hAnsi="Book Antiqua"/>
          <w:color w:val="000000" w:themeColor="text1"/>
          <w:sz w:val="24"/>
        </w:rPr>
        <w:t>99</w:t>
      </w:r>
      <w:r w:rsidRPr="00E224E9">
        <w:rPr>
          <w:rFonts w:ascii="Book Antiqua" w:hAnsi="標楷體"/>
          <w:color w:val="000000" w:themeColor="text1"/>
          <w:sz w:val="24"/>
        </w:rPr>
        <w:t>列至第</w:t>
      </w:r>
      <w:r w:rsidR="00B74408" w:rsidRPr="00E224E9">
        <w:rPr>
          <w:rFonts w:ascii="Book Antiqua" w:hAnsi="Book Antiqua"/>
          <w:color w:val="000000" w:themeColor="text1"/>
          <w:sz w:val="24"/>
        </w:rPr>
        <w:t>202</w:t>
      </w:r>
      <w:r w:rsidRPr="00E224E9">
        <w:rPr>
          <w:rFonts w:ascii="Book Antiqua" w:hAnsi="標楷體"/>
          <w:color w:val="000000" w:themeColor="text1"/>
          <w:sz w:val="24"/>
        </w:rPr>
        <w:t>列及</w:t>
      </w:r>
      <w:r w:rsidR="00A26423" w:rsidRPr="00E224E9">
        <w:rPr>
          <w:rFonts w:ascii="Book Antiqua" w:hAnsi="標楷體"/>
          <w:color w:val="000000" w:themeColor="text1"/>
          <w:sz w:val="24"/>
        </w:rPr>
        <w:t>第</w:t>
      </w:r>
      <w:r w:rsidR="00B74408" w:rsidRPr="00E224E9">
        <w:rPr>
          <w:rFonts w:ascii="Book Antiqua" w:hAnsi="Book Antiqua"/>
          <w:color w:val="000000" w:themeColor="text1"/>
          <w:sz w:val="24"/>
        </w:rPr>
        <w:t>207</w:t>
      </w:r>
      <w:r w:rsidR="00A26423" w:rsidRPr="00E224E9">
        <w:rPr>
          <w:rFonts w:ascii="Book Antiqua" w:hAnsi="標楷體"/>
          <w:color w:val="000000" w:themeColor="text1"/>
          <w:sz w:val="24"/>
        </w:rPr>
        <w:t>列、</w:t>
      </w:r>
      <w:r w:rsidRPr="00E224E9">
        <w:rPr>
          <w:rFonts w:ascii="Book Antiqua" w:hAnsi="標楷體"/>
          <w:color w:val="000000" w:themeColor="text1"/>
          <w:sz w:val="24"/>
        </w:rPr>
        <w:t>第</w:t>
      </w:r>
      <w:r w:rsidR="00B74408" w:rsidRPr="00E224E9">
        <w:rPr>
          <w:rFonts w:ascii="Book Antiqua" w:hAnsi="Book Antiqua"/>
          <w:color w:val="000000" w:themeColor="text1"/>
          <w:sz w:val="24"/>
        </w:rPr>
        <w:t>208</w:t>
      </w:r>
      <w:r w:rsidRPr="00E224E9">
        <w:rPr>
          <w:rFonts w:ascii="Book Antiqua" w:hAnsi="標楷體"/>
          <w:color w:val="000000" w:themeColor="text1"/>
          <w:sz w:val="24"/>
        </w:rPr>
        <w:t>列項目加總之和。</w:t>
      </w:r>
    </w:p>
    <w:p w14:paraId="36A72BB0"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199</w:t>
      </w:r>
      <w:r w:rsidRPr="00E224E9">
        <w:rPr>
          <w:rFonts w:ascii="Book Antiqua" w:hAnsi="標楷體"/>
          <w:color w:val="000000" w:themeColor="text1"/>
          <w:sz w:val="24"/>
        </w:rPr>
        <w:t>列－政策性之專案運用公共及社會福利事業投資</w:t>
      </w:r>
    </w:p>
    <w:p w14:paraId="4643C6DE" w14:textId="7A47DC77" w:rsidR="003477BF" w:rsidRPr="00E224E9" w:rsidRDefault="003477BF" w:rsidP="003477BF">
      <w:pPr>
        <w:spacing w:line="440" w:lineRule="exact"/>
        <w:ind w:left="720" w:hangingChars="300" w:hanging="72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標楷體"/>
          <w:color w:val="000000" w:themeColor="text1"/>
          <w:sz w:val="24"/>
        </w:rPr>
        <w:t>本項係指保險業</w:t>
      </w:r>
      <w:r w:rsidRPr="00E224E9">
        <w:rPr>
          <w:rFonts w:ascii="Book Antiqua" w:hAnsi="標楷體" w:hint="eastAsia"/>
          <w:color w:val="000000" w:themeColor="text1"/>
          <w:sz w:val="24"/>
        </w:rPr>
        <w:t>辦理無自用住宅者購買自用住宅之放款</w:t>
      </w:r>
      <w:r w:rsidR="007B780C" w:rsidRPr="00E224E9">
        <w:rPr>
          <w:rFonts w:ascii="Book Antiqua" w:hAnsi="標楷體"/>
          <w:color w:val="000000" w:themeColor="text1"/>
          <w:sz w:val="24"/>
        </w:rPr>
        <w:t>(</w:t>
      </w:r>
      <w:r w:rsidR="007B780C" w:rsidRPr="00E224E9">
        <w:rPr>
          <w:rFonts w:ascii="Book Antiqua" w:hAnsi="標楷體" w:hint="eastAsia"/>
          <w:color w:val="000000" w:themeColor="text1"/>
          <w:sz w:val="24"/>
        </w:rPr>
        <w:t>即，符合「保險業資金辦理專案運用公共及社會福利事業投資管理辦法」第</w:t>
      </w:r>
      <w:r w:rsidR="007B780C" w:rsidRPr="00E224E9">
        <w:rPr>
          <w:rFonts w:ascii="Book Antiqua" w:hAnsi="標楷體" w:hint="eastAsia"/>
          <w:color w:val="000000" w:themeColor="text1"/>
          <w:sz w:val="24"/>
        </w:rPr>
        <w:t>2</w:t>
      </w:r>
      <w:r w:rsidR="007B780C" w:rsidRPr="00E224E9">
        <w:rPr>
          <w:rFonts w:ascii="Book Antiqua" w:hAnsi="標楷體" w:hint="eastAsia"/>
          <w:color w:val="000000" w:themeColor="text1"/>
          <w:sz w:val="24"/>
        </w:rPr>
        <w:t>條第</w:t>
      </w:r>
      <w:r w:rsidR="007B780C" w:rsidRPr="00E224E9">
        <w:rPr>
          <w:rFonts w:ascii="Book Antiqua" w:hAnsi="標楷體" w:hint="eastAsia"/>
          <w:color w:val="000000" w:themeColor="text1"/>
          <w:sz w:val="24"/>
        </w:rPr>
        <w:t>4</w:t>
      </w:r>
      <w:r w:rsidR="007B780C" w:rsidRPr="00E224E9">
        <w:rPr>
          <w:rFonts w:ascii="Book Antiqua" w:hAnsi="標楷體" w:hint="eastAsia"/>
          <w:color w:val="000000" w:themeColor="text1"/>
          <w:sz w:val="24"/>
        </w:rPr>
        <w:t>款「無自用住宅者之購屋」放款</w:t>
      </w:r>
      <w:r w:rsidR="007B780C" w:rsidRPr="00E224E9">
        <w:rPr>
          <w:rFonts w:ascii="Book Antiqua" w:hAnsi="標楷體"/>
          <w:color w:val="000000" w:themeColor="text1"/>
          <w:sz w:val="24"/>
        </w:rPr>
        <w:t>)</w:t>
      </w:r>
      <w:r w:rsidRPr="00E224E9">
        <w:rPr>
          <w:rFonts w:ascii="Book Antiqua" w:hAnsi="標楷體" w:hint="eastAsia"/>
          <w:color w:val="000000" w:themeColor="text1"/>
          <w:sz w:val="24"/>
        </w:rPr>
        <w:t>、依「保險業資金辦理專案運用公共及社會福利事業投資管理辦法」</w:t>
      </w:r>
      <w:r w:rsidRPr="00E224E9">
        <w:rPr>
          <w:rFonts w:ascii="Book Antiqua" w:hAnsi="標楷體" w:hint="eastAsia"/>
          <w:color w:val="000000" w:themeColor="text1"/>
          <w:sz w:val="24"/>
        </w:rPr>
        <w:lastRenderedPageBreak/>
        <w:t>第</w:t>
      </w:r>
      <w:r w:rsidRPr="00E224E9">
        <w:rPr>
          <w:rFonts w:ascii="Book Antiqua" w:hAnsi="標楷體" w:hint="eastAsia"/>
          <w:color w:val="000000" w:themeColor="text1"/>
          <w:sz w:val="24"/>
        </w:rPr>
        <w:t>3</w:t>
      </w:r>
      <w:r w:rsidRPr="00E224E9">
        <w:rPr>
          <w:rFonts w:ascii="Book Antiqua" w:hAnsi="標楷體" w:hint="eastAsia"/>
          <w:color w:val="000000" w:themeColor="text1"/>
          <w:sz w:val="24"/>
        </w:rPr>
        <w:t>條及第</w:t>
      </w:r>
      <w:r w:rsidRPr="00E224E9">
        <w:rPr>
          <w:rFonts w:ascii="Book Antiqua" w:hAnsi="標楷體" w:hint="eastAsia"/>
          <w:color w:val="000000" w:themeColor="text1"/>
          <w:sz w:val="24"/>
        </w:rPr>
        <w:t>4</w:t>
      </w:r>
      <w:r w:rsidRPr="00E224E9">
        <w:rPr>
          <w:rFonts w:ascii="Book Antiqua" w:hAnsi="標楷體" w:hint="eastAsia"/>
          <w:color w:val="000000" w:themeColor="text1"/>
          <w:sz w:val="24"/>
        </w:rPr>
        <w:t>條規定或依「保險業投資保險相關事業管理辦法」申請核准辦理之公共建設或社會福利事業</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含長期照護產業</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投資。</w:t>
      </w:r>
    </w:p>
    <w:p w14:paraId="31311AE0" w14:textId="77777777" w:rsidR="003477BF" w:rsidRPr="00E224E9" w:rsidRDefault="003477BF" w:rsidP="003477BF">
      <w:pPr>
        <w:spacing w:line="440" w:lineRule="exact"/>
        <w:ind w:left="720" w:hangingChars="300" w:hanging="720"/>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200</w:t>
      </w:r>
      <w:r w:rsidRPr="00E224E9">
        <w:rPr>
          <w:rFonts w:ascii="Book Antiqua" w:hAnsi="標楷體"/>
          <w:color w:val="000000" w:themeColor="text1"/>
          <w:sz w:val="24"/>
        </w:rPr>
        <w:t>列－創業投資</w:t>
      </w:r>
    </w:p>
    <w:p w14:paraId="43E0D040" w14:textId="5C1D3B44" w:rsidR="003477BF" w:rsidRPr="00E224E9" w:rsidRDefault="003477BF" w:rsidP="003477BF">
      <w:pPr>
        <w:spacing w:line="440" w:lineRule="exact"/>
        <w:ind w:left="720" w:hangingChars="300" w:hanging="720"/>
        <w:jc w:val="both"/>
        <w:rPr>
          <w:rFonts w:ascii="Book Antiqua" w:hAnsi="標楷體"/>
          <w:color w:val="000000" w:themeColor="text1"/>
          <w:sz w:val="24"/>
        </w:rPr>
      </w:pPr>
      <w:r w:rsidRPr="00E224E9">
        <w:rPr>
          <w:rFonts w:ascii="Book Antiqua" w:hAnsi="Book Antiqua"/>
          <w:color w:val="000000" w:themeColor="text1"/>
          <w:sz w:val="24"/>
        </w:rPr>
        <w:t xml:space="preserve">      </w:t>
      </w:r>
      <w:r w:rsidRPr="00E224E9">
        <w:rPr>
          <w:rFonts w:ascii="Book Antiqua" w:hAnsi="標楷體"/>
          <w:color w:val="000000" w:themeColor="text1"/>
          <w:sz w:val="24"/>
        </w:rPr>
        <w:t>本項係指保險業資金辦理專案運用，投資於政府核定之創業投資事業者</w:t>
      </w:r>
      <w:r w:rsidR="00C46E1D" w:rsidRPr="00E224E9">
        <w:rPr>
          <w:rFonts w:ascii="Book Antiqua" w:hAnsi="標楷體"/>
          <w:color w:val="000000" w:themeColor="text1"/>
          <w:sz w:val="24"/>
        </w:rPr>
        <w:t>(</w:t>
      </w:r>
      <w:r w:rsidR="00C46E1D" w:rsidRPr="00E224E9">
        <w:rPr>
          <w:rFonts w:ascii="Book Antiqua" w:hAnsi="標楷體" w:hint="eastAsia"/>
          <w:color w:val="000000" w:themeColor="text1"/>
          <w:sz w:val="24"/>
        </w:rPr>
        <w:t>即，符合「保險業資金辦理專案運用公共及社會福利事業投資管理辦法」第</w:t>
      </w:r>
      <w:r w:rsidR="00C46E1D" w:rsidRPr="00E224E9">
        <w:rPr>
          <w:rFonts w:ascii="Book Antiqua" w:hAnsi="標楷體" w:hint="eastAsia"/>
          <w:color w:val="000000" w:themeColor="text1"/>
          <w:sz w:val="24"/>
        </w:rPr>
        <w:t>2</w:t>
      </w:r>
      <w:r w:rsidR="00C46E1D" w:rsidRPr="00E224E9">
        <w:rPr>
          <w:rFonts w:ascii="Book Antiqua" w:hAnsi="標楷體" w:hint="eastAsia"/>
          <w:color w:val="000000" w:themeColor="text1"/>
          <w:sz w:val="24"/>
        </w:rPr>
        <w:t>條第</w:t>
      </w:r>
      <w:r w:rsidR="00C46E1D" w:rsidRPr="00E224E9">
        <w:rPr>
          <w:rFonts w:ascii="Book Antiqua" w:hAnsi="標楷體" w:hint="eastAsia"/>
          <w:color w:val="000000" w:themeColor="text1"/>
          <w:sz w:val="24"/>
        </w:rPr>
        <w:t>2</w:t>
      </w:r>
      <w:r w:rsidR="00C46E1D" w:rsidRPr="00E224E9">
        <w:rPr>
          <w:rFonts w:ascii="Book Antiqua" w:hAnsi="標楷體" w:hint="eastAsia"/>
          <w:color w:val="000000" w:themeColor="text1"/>
          <w:sz w:val="24"/>
        </w:rPr>
        <w:t>款「依創業投資事業輔導辦法規定列為中央主管機關輔導協助之創業投資事業」之投資</w:t>
      </w:r>
      <w:r w:rsidR="00C46E1D" w:rsidRPr="00E224E9">
        <w:rPr>
          <w:rFonts w:ascii="Book Antiqua" w:hAnsi="標楷體"/>
          <w:color w:val="000000" w:themeColor="text1"/>
          <w:sz w:val="24"/>
        </w:rPr>
        <w:t>)</w:t>
      </w:r>
      <w:r w:rsidRPr="00E224E9">
        <w:rPr>
          <w:rFonts w:ascii="Book Antiqua" w:hAnsi="標楷體"/>
          <w:color w:val="000000" w:themeColor="text1"/>
          <w:sz w:val="24"/>
        </w:rPr>
        <w:t>。</w:t>
      </w:r>
    </w:p>
    <w:p w14:paraId="01DE619F" w14:textId="321F7CBC" w:rsidR="00676675" w:rsidRPr="00E224E9" w:rsidRDefault="00676675" w:rsidP="00285610">
      <w:pPr>
        <w:spacing w:line="440" w:lineRule="exact"/>
        <w:ind w:leftChars="94" w:left="964" w:hangingChars="300" w:hanging="720"/>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200-1</w:t>
      </w:r>
      <w:r w:rsidRPr="00E224E9">
        <w:rPr>
          <w:rFonts w:ascii="Book Antiqua" w:hAnsi="標楷體"/>
          <w:color w:val="000000" w:themeColor="text1"/>
          <w:sz w:val="24"/>
        </w:rPr>
        <w:t>列</w:t>
      </w:r>
      <w:r w:rsidRPr="00E224E9">
        <w:rPr>
          <w:rFonts w:ascii="Book Antiqua" w:hAnsi="標楷體"/>
          <w:color w:val="000000" w:themeColor="text1"/>
          <w:sz w:val="24"/>
        </w:rPr>
        <w:t>-</w:t>
      </w:r>
      <w:r w:rsidRPr="00E224E9">
        <w:rPr>
          <w:rFonts w:ascii="Book Antiqua" w:hAnsi="標楷體" w:hint="eastAsia"/>
          <w:color w:val="000000" w:themeColor="text1"/>
          <w:sz w:val="24"/>
        </w:rPr>
        <w:t>公共投資</w:t>
      </w:r>
      <w:r w:rsidRPr="00E224E9">
        <w:rPr>
          <w:rFonts w:ascii="Book Antiqua" w:hAnsi="標楷體"/>
          <w:color w:val="000000" w:themeColor="text1"/>
          <w:sz w:val="24"/>
        </w:rPr>
        <w:t>(100%)</w:t>
      </w:r>
    </w:p>
    <w:p w14:paraId="243BC18B" w14:textId="354A843B" w:rsidR="00676675" w:rsidRPr="00E224E9" w:rsidRDefault="00676675" w:rsidP="00285610">
      <w:pPr>
        <w:spacing w:line="440" w:lineRule="exact"/>
        <w:ind w:leftChars="425" w:left="1105" w:firstLineChars="2" w:firstLine="5"/>
        <w:jc w:val="both"/>
        <w:rPr>
          <w:rFonts w:ascii="Book Antiqua" w:hAnsi="標楷體"/>
          <w:color w:val="000000" w:themeColor="text1"/>
          <w:sz w:val="24"/>
        </w:rPr>
      </w:pPr>
      <w:r w:rsidRPr="00E224E9">
        <w:rPr>
          <w:rFonts w:ascii="Book Antiqua" w:hAnsi="標楷體" w:hint="eastAsia"/>
          <w:color w:val="000000" w:themeColor="text1"/>
          <w:sz w:val="24"/>
        </w:rPr>
        <w:t>底層投資標的</w:t>
      </w:r>
      <w:r w:rsidRPr="00E224E9">
        <w:rPr>
          <w:rFonts w:ascii="Book Antiqua" w:hAnsi="標楷體" w:hint="eastAsia"/>
          <w:color w:val="000000" w:themeColor="text1"/>
          <w:sz w:val="24"/>
        </w:rPr>
        <w:t>100%</w:t>
      </w:r>
      <w:r w:rsidRPr="00E224E9">
        <w:rPr>
          <w:rFonts w:ascii="Book Antiqua" w:hAnsi="標楷體" w:hint="eastAsia"/>
          <w:color w:val="000000" w:themeColor="text1"/>
          <w:sz w:val="24"/>
        </w:rPr>
        <w:t>為</w:t>
      </w:r>
      <w:r w:rsidRPr="00E224E9">
        <w:rPr>
          <w:rFonts w:ascii="Book Antiqua" w:hAnsi="Book Antiqua" w:hint="eastAsia"/>
          <w:color w:val="000000" w:themeColor="text1"/>
          <w:sz w:val="24"/>
        </w:rPr>
        <w:t>公共投資</w:t>
      </w:r>
      <w:r w:rsidRPr="00E224E9">
        <w:rPr>
          <w:rFonts w:ascii="Book Antiqua" w:hAnsi="Book Antiqua"/>
          <w:color w:val="000000" w:themeColor="text1"/>
          <w:sz w:val="24"/>
        </w:rPr>
        <w:t>(</w:t>
      </w:r>
      <w:r w:rsidRPr="00E224E9">
        <w:rPr>
          <w:rFonts w:ascii="Book Antiqua" w:hAnsi="Book Antiqua" w:hint="eastAsia"/>
          <w:color w:val="000000" w:themeColor="text1"/>
          <w:sz w:val="24"/>
        </w:rPr>
        <w:t>即，「保險業資金辦理專案運用公共及社會福利事業投資管理辦</w:t>
      </w:r>
      <w:r w:rsidR="007B7D4A" w:rsidRPr="00E224E9">
        <w:rPr>
          <w:rFonts w:ascii="Book Antiqua" w:hAnsi="Book Antiqua" w:hint="eastAsia"/>
          <w:color w:val="000000" w:themeColor="text1"/>
          <w:sz w:val="24"/>
        </w:rPr>
        <w:t>法</w:t>
      </w:r>
      <w:r w:rsidRPr="00E224E9">
        <w:rPr>
          <w:rFonts w:ascii="Book Antiqua" w:hAnsi="Book Antiqua" w:hint="eastAsia"/>
          <w:color w:val="000000" w:themeColor="text1"/>
          <w:sz w:val="24"/>
        </w:rPr>
        <w:t>」第</w:t>
      </w:r>
      <w:r w:rsidRPr="00E224E9">
        <w:rPr>
          <w:rFonts w:ascii="Book Antiqua" w:hAnsi="Book Antiqua" w:hint="eastAsia"/>
          <w:color w:val="000000" w:themeColor="text1"/>
          <w:sz w:val="24"/>
        </w:rPr>
        <w:t>3</w:t>
      </w:r>
      <w:r w:rsidRPr="00E224E9">
        <w:rPr>
          <w:rFonts w:ascii="Book Antiqua" w:hAnsi="Book Antiqua" w:hint="eastAsia"/>
          <w:color w:val="000000" w:themeColor="text1"/>
          <w:sz w:val="24"/>
        </w:rPr>
        <w:t>條之項目</w:t>
      </w:r>
      <w:r w:rsidRPr="00E224E9">
        <w:rPr>
          <w:rFonts w:ascii="Book Antiqua" w:hAnsi="Book Antiqua"/>
          <w:color w:val="000000" w:themeColor="text1"/>
          <w:sz w:val="24"/>
        </w:rPr>
        <w:t>)</w:t>
      </w:r>
    </w:p>
    <w:p w14:paraId="34EE1645" w14:textId="7C62F950" w:rsidR="00676675" w:rsidRPr="00E224E9" w:rsidRDefault="00676675" w:rsidP="00285610">
      <w:pPr>
        <w:spacing w:line="440" w:lineRule="exact"/>
        <w:ind w:leftChars="94" w:left="964" w:hangingChars="300" w:hanging="720"/>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200</w:t>
      </w:r>
      <w:r w:rsidRPr="00E224E9">
        <w:rPr>
          <w:rFonts w:ascii="Book Antiqua" w:hAnsi="Book Antiqua" w:hint="eastAsia"/>
          <w:color w:val="000000" w:themeColor="text1"/>
          <w:sz w:val="24"/>
        </w:rPr>
        <w:t>-2</w:t>
      </w:r>
      <w:r w:rsidRPr="00E224E9">
        <w:rPr>
          <w:rFonts w:ascii="Book Antiqua" w:hAnsi="標楷體"/>
          <w:color w:val="000000" w:themeColor="text1"/>
          <w:sz w:val="24"/>
        </w:rPr>
        <w:t>列</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公共投資</w:t>
      </w:r>
      <w:r w:rsidRPr="00E224E9">
        <w:rPr>
          <w:rFonts w:ascii="Book Antiqua" w:hAnsi="標楷體" w:hint="eastAsia"/>
          <w:color w:val="000000" w:themeColor="text1"/>
          <w:sz w:val="24"/>
        </w:rPr>
        <w:t>, 5+2</w:t>
      </w:r>
      <w:r w:rsidRPr="00E224E9">
        <w:rPr>
          <w:rFonts w:ascii="Book Antiqua" w:hAnsi="標楷體" w:hint="eastAsia"/>
          <w:color w:val="000000" w:themeColor="text1"/>
          <w:sz w:val="24"/>
        </w:rPr>
        <w:t>及六大核心產業</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混合型標的</w:t>
      </w:r>
      <w:r w:rsidRPr="00E224E9">
        <w:rPr>
          <w:rFonts w:ascii="Book Antiqua" w:hAnsi="標楷體" w:hint="eastAsia"/>
          <w:color w:val="000000" w:themeColor="text1"/>
          <w:sz w:val="24"/>
        </w:rPr>
        <w:t>)</w:t>
      </w:r>
    </w:p>
    <w:p w14:paraId="0DD04B15" w14:textId="039776AB" w:rsidR="00676675" w:rsidRPr="00E224E9" w:rsidRDefault="00676675" w:rsidP="00285610">
      <w:pPr>
        <w:spacing w:line="440" w:lineRule="exact"/>
        <w:ind w:leftChars="425" w:left="1105" w:firstLineChars="4" w:firstLine="10"/>
        <w:jc w:val="both"/>
        <w:rPr>
          <w:rFonts w:ascii="Book Antiqua" w:hAnsi="Book Antiqua"/>
          <w:color w:val="000000" w:themeColor="text1"/>
          <w:sz w:val="24"/>
        </w:rPr>
      </w:pPr>
      <w:r w:rsidRPr="00E224E9">
        <w:rPr>
          <w:rFonts w:ascii="Book Antiqua" w:hAnsi="標楷體" w:hint="eastAsia"/>
          <w:color w:val="000000" w:themeColor="text1"/>
          <w:sz w:val="24"/>
        </w:rPr>
        <w:t>底層投資標的</w:t>
      </w:r>
      <w:r w:rsidR="0064676F" w:rsidRPr="00E224E9">
        <w:rPr>
          <w:rFonts w:ascii="Book Antiqua" w:hAnsi="標楷體" w:hint="eastAsia"/>
          <w:color w:val="000000" w:themeColor="text1"/>
          <w:sz w:val="24"/>
        </w:rPr>
        <w:t>不超出</w:t>
      </w:r>
      <w:r w:rsidRPr="00E224E9">
        <w:rPr>
          <w:rFonts w:ascii="Book Antiqua" w:hAnsi="標楷體" w:hint="eastAsia"/>
          <w:color w:val="000000" w:themeColor="text1"/>
          <w:sz w:val="24"/>
        </w:rPr>
        <w:t>「公共投資、</w:t>
      </w:r>
      <w:r w:rsidRPr="00E224E9">
        <w:rPr>
          <w:rFonts w:ascii="Book Antiqua" w:hAnsi="標楷體" w:hint="eastAsia"/>
          <w:color w:val="000000" w:themeColor="text1"/>
          <w:sz w:val="24"/>
        </w:rPr>
        <w:t>5+2(</w:t>
      </w:r>
      <w:r w:rsidRPr="00E224E9">
        <w:rPr>
          <w:rFonts w:ascii="Book Antiqua" w:hAnsi="標楷體" w:hint="eastAsia"/>
          <w:color w:val="000000" w:themeColor="text1"/>
          <w:sz w:val="24"/>
        </w:rPr>
        <w:t>金管保財字第</w:t>
      </w:r>
      <w:r w:rsidRPr="00E224E9">
        <w:rPr>
          <w:rFonts w:ascii="Book Antiqua" w:hAnsi="標楷體" w:hint="eastAsia"/>
          <w:color w:val="000000" w:themeColor="text1"/>
          <w:sz w:val="24"/>
        </w:rPr>
        <w:t>10610908021</w:t>
      </w:r>
      <w:r w:rsidRPr="00E224E9">
        <w:rPr>
          <w:rFonts w:ascii="Book Antiqua" w:hAnsi="標楷體" w:hint="eastAsia"/>
          <w:color w:val="000000" w:themeColor="text1"/>
          <w:sz w:val="24"/>
        </w:rPr>
        <w:t>號令第一點</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及六大核心產業</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金管保財字第</w:t>
      </w:r>
      <w:r w:rsidRPr="00E224E9">
        <w:rPr>
          <w:rFonts w:ascii="Book Antiqua" w:hAnsi="標楷體" w:hint="eastAsia"/>
          <w:color w:val="000000" w:themeColor="text1"/>
          <w:sz w:val="24"/>
        </w:rPr>
        <w:t>11004365981</w:t>
      </w:r>
      <w:r w:rsidRPr="00E224E9">
        <w:rPr>
          <w:rFonts w:ascii="Book Antiqua" w:hAnsi="標楷體" w:hint="eastAsia"/>
          <w:color w:val="000000" w:themeColor="text1"/>
          <w:sz w:val="24"/>
        </w:rPr>
        <w:t>號令第一點</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w:t>
      </w:r>
      <w:r w:rsidR="0064676F" w:rsidRPr="00E224E9">
        <w:rPr>
          <w:rFonts w:ascii="Book Antiqua" w:hAnsi="標楷體" w:hint="eastAsia"/>
          <w:color w:val="000000" w:themeColor="text1"/>
          <w:sz w:val="24"/>
        </w:rPr>
        <w:t>範圍</w:t>
      </w:r>
      <w:r w:rsidRPr="00E224E9">
        <w:rPr>
          <w:rFonts w:ascii="Book Antiqua" w:hAnsi="標楷體" w:hint="eastAsia"/>
          <w:color w:val="000000" w:themeColor="text1"/>
          <w:sz w:val="24"/>
        </w:rPr>
        <w:t>。</w:t>
      </w:r>
    </w:p>
    <w:p w14:paraId="2C6E03C8" w14:textId="7CB870A5" w:rsidR="00676675" w:rsidRPr="00E224E9" w:rsidRDefault="00676675" w:rsidP="00285610">
      <w:pPr>
        <w:spacing w:line="440" w:lineRule="exact"/>
        <w:ind w:leftChars="94" w:left="964" w:hangingChars="300" w:hanging="720"/>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200</w:t>
      </w:r>
      <w:r w:rsidRPr="00E224E9">
        <w:rPr>
          <w:rFonts w:ascii="Book Antiqua" w:hAnsi="Book Antiqua" w:hint="eastAsia"/>
          <w:color w:val="000000" w:themeColor="text1"/>
          <w:sz w:val="24"/>
        </w:rPr>
        <w:t>-3</w:t>
      </w:r>
      <w:r w:rsidRPr="00E224E9">
        <w:rPr>
          <w:rFonts w:ascii="Book Antiqua" w:hAnsi="標楷體"/>
          <w:color w:val="000000" w:themeColor="text1"/>
          <w:sz w:val="24"/>
        </w:rPr>
        <w:t>列</w:t>
      </w:r>
      <w:r w:rsidRPr="00E224E9">
        <w:rPr>
          <w:rFonts w:ascii="Book Antiqua" w:hAnsi="標楷體" w:hint="eastAsia"/>
          <w:color w:val="000000" w:themeColor="text1"/>
          <w:sz w:val="24"/>
        </w:rPr>
        <w:t>-</w:t>
      </w:r>
      <w:r w:rsidR="0064676F" w:rsidRPr="00E224E9">
        <w:rPr>
          <w:rFonts w:ascii="Book Antiqua" w:hAnsi="標楷體" w:hint="eastAsia"/>
          <w:color w:val="000000" w:themeColor="text1"/>
          <w:sz w:val="24"/>
        </w:rPr>
        <w:t>其他</w:t>
      </w:r>
    </w:p>
    <w:p w14:paraId="1ABAECEB" w14:textId="407570CD" w:rsidR="00676675" w:rsidRPr="00E224E9" w:rsidRDefault="0064676F" w:rsidP="00285610">
      <w:pPr>
        <w:spacing w:line="440" w:lineRule="exact"/>
        <w:ind w:leftChars="425" w:left="1105" w:firstLineChars="5" w:firstLine="12"/>
        <w:jc w:val="both"/>
        <w:rPr>
          <w:rFonts w:ascii="Book Antiqua" w:hAnsi="Book Antiqua"/>
          <w:color w:val="000000" w:themeColor="text1"/>
          <w:sz w:val="24"/>
        </w:rPr>
      </w:pPr>
      <w:r w:rsidRPr="00E224E9">
        <w:rPr>
          <w:rFonts w:ascii="Book Antiqua" w:hAnsi="標楷體" w:hint="eastAsia"/>
          <w:color w:val="000000" w:themeColor="text1"/>
          <w:sz w:val="24"/>
        </w:rPr>
        <w:t>創業投資，但非屬「第</w:t>
      </w:r>
      <w:r w:rsidRPr="00E224E9">
        <w:rPr>
          <w:rFonts w:ascii="Book Antiqua" w:hAnsi="標楷體" w:hint="eastAsia"/>
          <w:color w:val="000000" w:themeColor="text1"/>
          <w:sz w:val="24"/>
        </w:rPr>
        <w:t>200-1</w:t>
      </w:r>
      <w:r w:rsidRPr="00E224E9">
        <w:rPr>
          <w:rFonts w:ascii="Book Antiqua" w:hAnsi="標楷體" w:hint="eastAsia"/>
          <w:color w:val="000000" w:themeColor="text1"/>
          <w:sz w:val="24"/>
        </w:rPr>
        <w:t>列」或「第</w:t>
      </w:r>
      <w:r w:rsidRPr="00E224E9">
        <w:rPr>
          <w:rFonts w:ascii="Book Antiqua" w:hAnsi="標楷體" w:hint="eastAsia"/>
          <w:color w:val="000000" w:themeColor="text1"/>
          <w:sz w:val="24"/>
        </w:rPr>
        <w:t>200-2</w:t>
      </w:r>
      <w:r w:rsidRPr="00E224E9">
        <w:rPr>
          <w:rFonts w:ascii="Book Antiqua" w:hAnsi="標楷體" w:hint="eastAsia"/>
          <w:color w:val="000000" w:themeColor="text1"/>
          <w:sz w:val="24"/>
        </w:rPr>
        <w:t>列」範圍。</w:t>
      </w:r>
    </w:p>
    <w:p w14:paraId="22A20F07"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202</w:t>
      </w:r>
      <w:r w:rsidRPr="00E224E9">
        <w:rPr>
          <w:rFonts w:ascii="Book Antiqua" w:hAnsi="標楷體"/>
          <w:color w:val="000000" w:themeColor="text1"/>
          <w:sz w:val="24"/>
        </w:rPr>
        <w:t>列－放款</w:t>
      </w:r>
    </w:p>
    <w:p w14:paraId="3E2748F9" w14:textId="77777777" w:rsidR="003477BF" w:rsidRPr="00E224E9" w:rsidRDefault="003477BF" w:rsidP="003477BF">
      <w:pPr>
        <w:pStyle w:val="Item1"/>
        <w:tabs>
          <w:tab w:val="num" w:pos="-2160"/>
        </w:tabs>
        <w:spacing w:line="440" w:lineRule="exact"/>
        <w:ind w:leftChars="300" w:left="780" w:firstLineChars="0" w:firstLine="0"/>
        <w:jc w:val="both"/>
        <w:rPr>
          <w:rFonts w:ascii="Book Antiqua" w:hAnsi="標楷體"/>
          <w:color w:val="000000" w:themeColor="text1"/>
          <w:sz w:val="24"/>
        </w:rPr>
      </w:pPr>
      <w:r w:rsidRPr="00E224E9">
        <w:rPr>
          <w:rFonts w:ascii="Book Antiqua" w:hAnsi="標楷體"/>
          <w:color w:val="000000" w:themeColor="text1"/>
          <w:sz w:val="24"/>
        </w:rPr>
        <w:t>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w:t>
      </w:r>
      <w:r w:rsidRPr="00E224E9">
        <w:rPr>
          <w:rFonts w:ascii="Book Antiqua" w:hAnsi="Book Antiqua"/>
          <w:color w:val="000000" w:themeColor="text1"/>
          <w:sz w:val="24"/>
        </w:rPr>
        <w:t>3</w:t>
      </w:r>
      <w:r w:rsidRPr="00E224E9">
        <w:rPr>
          <w:rFonts w:ascii="Book Antiqua" w:hAnsi="標楷體"/>
          <w:color w:val="000000" w:themeColor="text1"/>
          <w:sz w:val="24"/>
        </w:rPr>
        <w:t>第一項，保險業可辦理之放款項目，可分為「不動產擔保放款」、「動產擔保放款」、「有價證券質押放款」及「銀行保證放款」。</w:t>
      </w:r>
    </w:p>
    <w:p w14:paraId="0427529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206</w:t>
      </w:r>
      <w:r w:rsidRPr="00E224E9">
        <w:rPr>
          <w:rFonts w:ascii="Book Antiqua" w:hAnsi="標楷體"/>
          <w:color w:val="000000" w:themeColor="text1"/>
          <w:sz w:val="24"/>
        </w:rPr>
        <w:t>列－</w:t>
      </w:r>
      <w:r w:rsidRPr="00E224E9">
        <w:rPr>
          <w:rFonts w:ascii="Book Antiqua" w:hAnsi="標楷體" w:hint="eastAsia"/>
          <w:color w:val="000000" w:themeColor="text1"/>
          <w:sz w:val="24"/>
        </w:rPr>
        <w:t>銀行保證放款</w:t>
      </w:r>
    </w:p>
    <w:p w14:paraId="73987EC3" w14:textId="77777777" w:rsidR="003477BF" w:rsidRPr="00E224E9" w:rsidRDefault="003477BF" w:rsidP="003477BF">
      <w:pPr>
        <w:pStyle w:val="Item1"/>
        <w:tabs>
          <w:tab w:val="num" w:pos="-2160"/>
        </w:tabs>
        <w:spacing w:line="440" w:lineRule="exact"/>
        <w:ind w:leftChars="300" w:left="780" w:firstLineChars="0" w:firstLine="0"/>
        <w:jc w:val="both"/>
        <w:rPr>
          <w:rFonts w:ascii="Book Antiqua" w:hAnsi="Book Antiqua"/>
          <w:color w:val="000000" w:themeColor="text1"/>
          <w:sz w:val="24"/>
        </w:rPr>
      </w:pPr>
      <w:r w:rsidRPr="00E224E9">
        <w:rPr>
          <w:rFonts w:ascii="Book Antiqua" w:hAnsi="標楷體" w:hint="eastAsia"/>
          <w:color w:val="000000" w:themeColor="text1"/>
          <w:sz w:val="24"/>
        </w:rPr>
        <w:t>依保險法第</w:t>
      </w:r>
      <w:r w:rsidRPr="00E224E9">
        <w:rPr>
          <w:rFonts w:ascii="Book Antiqua" w:hAnsi="標楷體" w:hint="eastAsia"/>
          <w:color w:val="000000" w:themeColor="text1"/>
          <w:sz w:val="24"/>
        </w:rPr>
        <w:t>146</w:t>
      </w:r>
      <w:r w:rsidRPr="00E224E9">
        <w:rPr>
          <w:rFonts w:ascii="Book Antiqua" w:hAnsi="標楷體" w:hint="eastAsia"/>
          <w:color w:val="000000" w:themeColor="text1"/>
          <w:sz w:val="24"/>
        </w:rPr>
        <w:t>條之</w:t>
      </w:r>
      <w:r w:rsidRPr="00E224E9">
        <w:rPr>
          <w:rFonts w:ascii="Book Antiqua" w:hAnsi="標楷體" w:hint="eastAsia"/>
          <w:color w:val="000000" w:themeColor="text1"/>
          <w:sz w:val="24"/>
        </w:rPr>
        <w:t>3</w:t>
      </w: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1</w:t>
      </w:r>
      <w:r w:rsidRPr="00E224E9">
        <w:rPr>
          <w:rFonts w:ascii="Book Antiqua" w:hAnsi="標楷體" w:hint="eastAsia"/>
          <w:color w:val="000000" w:themeColor="text1"/>
          <w:sz w:val="24"/>
        </w:rPr>
        <w:t>項第</w:t>
      </w:r>
      <w:r w:rsidRPr="00E224E9">
        <w:rPr>
          <w:rFonts w:ascii="Book Antiqua" w:hAnsi="標楷體" w:hint="eastAsia"/>
          <w:color w:val="000000" w:themeColor="text1"/>
          <w:sz w:val="24"/>
        </w:rPr>
        <w:t>1</w:t>
      </w:r>
      <w:r w:rsidRPr="00E224E9">
        <w:rPr>
          <w:rFonts w:ascii="Book Antiqua" w:hAnsi="標楷體" w:hint="eastAsia"/>
          <w:color w:val="000000" w:themeColor="text1"/>
          <w:sz w:val="24"/>
        </w:rPr>
        <w:t>款規定，人壽保險業得辦理銀行或主管機關認可之信用保證機構提供保證之放款，及依保險法第</w:t>
      </w:r>
      <w:r w:rsidRPr="00E224E9">
        <w:rPr>
          <w:rFonts w:ascii="Book Antiqua" w:hAnsi="標楷體" w:hint="eastAsia"/>
          <w:color w:val="000000" w:themeColor="text1"/>
          <w:sz w:val="24"/>
        </w:rPr>
        <w:t>146</w:t>
      </w:r>
      <w:r w:rsidRPr="00E224E9">
        <w:rPr>
          <w:rFonts w:ascii="Book Antiqua" w:hAnsi="標楷體" w:hint="eastAsia"/>
          <w:color w:val="000000" w:themeColor="text1"/>
          <w:sz w:val="24"/>
        </w:rPr>
        <w:t>條第</w:t>
      </w:r>
      <w:r w:rsidRPr="00E224E9">
        <w:rPr>
          <w:rFonts w:ascii="Book Antiqua" w:hAnsi="標楷體" w:hint="eastAsia"/>
          <w:color w:val="000000" w:themeColor="text1"/>
          <w:sz w:val="24"/>
        </w:rPr>
        <w:t>1</w:t>
      </w:r>
      <w:r w:rsidRPr="00E224E9">
        <w:rPr>
          <w:rFonts w:ascii="Book Antiqua" w:hAnsi="標楷體" w:hint="eastAsia"/>
          <w:color w:val="000000" w:themeColor="text1"/>
          <w:sz w:val="24"/>
        </w:rPr>
        <w:t>項第</w:t>
      </w:r>
      <w:r w:rsidRPr="00E224E9">
        <w:rPr>
          <w:rFonts w:ascii="Book Antiqua" w:hAnsi="標楷體" w:hint="eastAsia"/>
          <w:color w:val="000000" w:themeColor="text1"/>
          <w:sz w:val="24"/>
        </w:rPr>
        <w:t>4</w:t>
      </w:r>
      <w:r w:rsidRPr="00E224E9">
        <w:rPr>
          <w:rFonts w:ascii="Book Antiqua" w:hAnsi="標楷體" w:hint="eastAsia"/>
          <w:color w:val="000000" w:themeColor="text1"/>
          <w:sz w:val="24"/>
        </w:rPr>
        <w:t>款規定，經主管機關核准放款予財團法人保險安定基金之金額</w:t>
      </w:r>
    </w:p>
    <w:p w14:paraId="3C43EE1C" w14:textId="3425EF7A"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207</w:t>
      </w:r>
      <w:r w:rsidRPr="00E224E9">
        <w:rPr>
          <w:rFonts w:ascii="Book Antiqua" w:hAnsi="標楷體"/>
          <w:color w:val="000000" w:themeColor="text1"/>
          <w:sz w:val="24"/>
        </w:rPr>
        <w:t>列－</w:t>
      </w:r>
      <w:r w:rsidRPr="00E224E9">
        <w:rPr>
          <w:rFonts w:ascii="Book Antiqua" w:hAnsi="標楷體" w:hint="eastAsia"/>
          <w:color w:val="000000" w:themeColor="text1"/>
          <w:sz w:val="24"/>
        </w:rPr>
        <w:t>公共投資</w:t>
      </w:r>
      <w:r w:rsidR="00142A68" w:rsidRPr="00E224E9">
        <w:rPr>
          <w:rFonts w:ascii="Book Antiqua" w:hAnsi="標楷體" w:hint="eastAsia"/>
          <w:color w:val="000000" w:themeColor="text1"/>
          <w:sz w:val="24"/>
        </w:rPr>
        <w:t>、</w:t>
      </w:r>
      <w:r w:rsidRPr="00E224E9">
        <w:rPr>
          <w:rFonts w:ascii="Book Antiqua" w:hAnsi="標楷體" w:hint="eastAsia"/>
          <w:color w:val="000000" w:themeColor="text1"/>
          <w:sz w:val="24"/>
        </w:rPr>
        <w:t>5+2</w:t>
      </w:r>
      <w:r w:rsidR="00142A68" w:rsidRPr="00E224E9">
        <w:rPr>
          <w:rFonts w:ascii="Book Antiqua" w:hAnsi="標楷體" w:hint="eastAsia"/>
          <w:color w:val="000000" w:themeColor="text1"/>
          <w:sz w:val="24"/>
        </w:rPr>
        <w:t>及六大核心</w:t>
      </w:r>
      <w:r w:rsidRPr="00E224E9">
        <w:rPr>
          <w:rFonts w:ascii="Book Antiqua" w:hAnsi="標楷體" w:hint="eastAsia"/>
          <w:color w:val="000000" w:themeColor="text1"/>
          <w:sz w:val="24"/>
        </w:rPr>
        <w:t>產業</w:t>
      </w:r>
    </w:p>
    <w:p w14:paraId="2F2409C3" w14:textId="2701C79F" w:rsidR="00B901F2" w:rsidRPr="00E224E9" w:rsidRDefault="0064676F" w:rsidP="003477BF">
      <w:pPr>
        <w:spacing w:line="440" w:lineRule="exact"/>
        <w:ind w:leftChars="300" w:left="780"/>
        <w:jc w:val="both"/>
        <w:rPr>
          <w:rFonts w:ascii="Book Antiqua" w:hAnsi="Book Antiqua"/>
          <w:color w:val="000000" w:themeColor="text1"/>
          <w:sz w:val="24"/>
        </w:rPr>
      </w:pPr>
      <w:r w:rsidRPr="00E224E9">
        <w:rPr>
          <w:rFonts w:ascii="Book Antiqua" w:hAnsi="Book Antiqua" w:hint="eastAsia"/>
          <w:color w:val="000000" w:themeColor="text1"/>
          <w:sz w:val="24"/>
        </w:rPr>
        <w:t>針對</w:t>
      </w:r>
      <w:r w:rsidR="003477BF" w:rsidRPr="00E224E9">
        <w:rPr>
          <w:rFonts w:ascii="Book Antiqua" w:hAnsi="Book Antiqua" w:hint="eastAsia"/>
          <w:color w:val="000000" w:themeColor="text1"/>
          <w:sz w:val="24"/>
        </w:rPr>
        <w:t>「保險業資金</w:t>
      </w:r>
      <w:r w:rsidR="003477BF" w:rsidRPr="00E224E9">
        <w:rPr>
          <w:rFonts w:ascii="Book Antiqua" w:hAnsi="標楷體" w:hint="eastAsia"/>
          <w:color w:val="000000" w:themeColor="text1"/>
          <w:sz w:val="24"/>
        </w:rPr>
        <w:t>辦理</w:t>
      </w:r>
      <w:r w:rsidR="003477BF" w:rsidRPr="00E224E9">
        <w:rPr>
          <w:rFonts w:ascii="Book Antiqua" w:hAnsi="Book Antiqua" w:hint="eastAsia"/>
          <w:color w:val="000000" w:themeColor="text1"/>
          <w:sz w:val="24"/>
        </w:rPr>
        <w:t>專案運用公共及社會福利事業投資管理辦</w:t>
      </w:r>
      <w:r w:rsidR="00CD1D24" w:rsidRPr="00E224E9">
        <w:rPr>
          <w:rFonts w:ascii="Book Antiqua" w:hAnsi="Book Antiqua" w:hint="eastAsia"/>
          <w:color w:val="000000" w:themeColor="text1"/>
          <w:sz w:val="24"/>
        </w:rPr>
        <w:t>法</w:t>
      </w:r>
      <w:r w:rsidR="003477BF" w:rsidRPr="00E224E9">
        <w:rPr>
          <w:rFonts w:ascii="Book Antiqua" w:hAnsi="Book Antiqua" w:hint="eastAsia"/>
          <w:color w:val="000000" w:themeColor="text1"/>
          <w:sz w:val="24"/>
        </w:rPr>
        <w:t>」</w:t>
      </w:r>
      <w:r w:rsidR="00BA1CDF" w:rsidRPr="00E224E9">
        <w:rPr>
          <w:rFonts w:ascii="Book Antiqua" w:hAnsi="Book Antiqua" w:hint="eastAsia"/>
          <w:color w:val="000000" w:themeColor="text1"/>
          <w:sz w:val="24"/>
        </w:rPr>
        <w:t>第</w:t>
      </w:r>
      <w:r w:rsidR="00BA1CDF" w:rsidRPr="00E224E9">
        <w:rPr>
          <w:rFonts w:ascii="Book Antiqua" w:hAnsi="Book Antiqua"/>
          <w:color w:val="000000" w:themeColor="text1"/>
          <w:sz w:val="24"/>
        </w:rPr>
        <w:t>2</w:t>
      </w:r>
      <w:r w:rsidR="00BA1CDF" w:rsidRPr="00E224E9">
        <w:rPr>
          <w:rFonts w:ascii="Book Antiqua" w:hAnsi="Book Antiqua" w:hint="eastAsia"/>
          <w:color w:val="000000" w:themeColor="text1"/>
          <w:sz w:val="24"/>
        </w:rPr>
        <w:t>條第</w:t>
      </w:r>
      <w:r w:rsidR="00BA1CDF" w:rsidRPr="00E224E9">
        <w:rPr>
          <w:rFonts w:ascii="Book Antiqua" w:hAnsi="Book Antiqua"/>
          <w:color w:val="000000" w:themeColor="text1"/>
          <w:sz w:val="24"/>
        </w:rPr>
        <w:t>2</w:t>
      </w:r>
      <w:r w:rsidR="00BA1CDF" w:rsidRPr="00E224E9">
        <w:rPr>
          <w:rFonts w:ascii="Book Antiqua" w:hAnsi="Book Antiqua" w:hint="eastAsia"/>
          <w:color w:val="000000" w:themeColor="text1"/>
          <w:sz w:val="24"/>
        </w:rPr>
        <w:t>款</w:t>
      </w:r>
      <w:r w:rsidRPr="00E224E9">
        <w:rPr>
          <w:rFonts w:ascii="Book Antiqua" w:hAnsi="Book Antiqua" w:hint="eastAsia"/>
          <w:color w:val="000000" w:themeColor="text1"/>
          <w:sz w:val="24"/>
        </w:rPr>
        <w:t>所述</w:t>
      </w:r>
      <w:r w:rsidR="00C52CBF" w:rsidRPr="00E224E9">
        <w:rPr>
          <w:rFonts w:ascii="Book Antiqua" w:hAnsi="Book Antiqua" w:hint="eastAsia"/>
          <w:color w:val="000000" w:themeColor="text1"/>
          <w:sz w:val="24"/>
        </w:rPr>
        <w:t>「符合主管機關所定條件且投資範圍為配合政府政策項目之私募股權基金」</w:t>
      </w:r>
      <w:r w:rsidRPr="00E224E9">
        <w:rPr>
          <w:rFonts w:ascii="Book Antiqua" w:hAnsi="Book Antiqua" w:hint="eastAsia"/>
          <w:color w:val="000000" w:themeColor="text1"/>
          <w:sz w:val="24"/>
        </w:rPr>
        <w:t>和第</w:t>
      </w:r>
      <w:r w:rsidRPr="00E224E9">
        <w:rPr>
          <w:rFonts w:ascii="Book Antiqua" w:hAnsi="Book Antiqua" w:hint="eastAsia"/>
          <w:color w:val="000000" w:themeColor="text1"/>
          <w:sz w:val="24"/>
        </w:rPr>
        <w:t>7</w:t>
      </w:r>
      <w:r w:rsidRPr="00E224E9">
        <w:rPr>
          <w:rFonts w:ascii="Book Antiqua" w:hAnsi="Book Antiqua" w:hint="eastAsia"/>
          <w:color w:val="000000" w:themeColor="text1"/>
          <w:sz w:val="24"/>
        </w:rPr>
        <w:t>款「配合政府政策之資金運用」屬私募股權基金性質者的投資。</w:t>
      </w:r>
      <w:r w:rsidRPr="00E224E9" w:rsidDel="0064676F">
        <w:rPr>
          <w:rFonts w:ascii="Book Antiqua" w:hAnsi="Book Antiqua" w:hint="eastAsia"/>
          <w:color w:val="000000" w:themeColor="text1"/>
          <w:sz w:val="24"/>
        </w:rPr>
        <w:t xml:space="preserve"> </w:t>
      </w:r>
      <w:r w:rsidR="00B901F2" w:rsidRPr="00E224E9">
        <w:rPr>
          <w:rFonts w:ascii="Book Antiqua" w:hAnsi="Book Antiqua"/>
          <w:color w:val="000000" w:themeColor="text1"/>
          <w:sz w:val="24"/>
        </w:rPr>
        <w:t>(</w:t>
      </w:r>
      <w:r w:rsidR="00B901F2" w:rsidRPr="00E224E9">
        <w:rPr>
          <w:rFonts w:ascii="Book Antiqua" w:hAnsi="Book Antiqua" w:hint="eastAsia"/>
          <w:color w:val="000000" w:themeColor="text1"/>
          <w:sz w:val="24"/>
        </w:rPr>
        <w:t>即，包含「金管保財字第</w:t>
      </w:r>
      <w:r w:rsidR="00B901F2" w:rsidRPr="00E224E9">
        <w:rPr>
          <w:rFonts w:ascii="Book Antiqua" w:hAnsi="Book Antiqua"/>
          <w:color w:val="000000" w:themeColor="text1"/>
          <w:sz w:val="24"/>
        </w:rPr>
        <w:t>11004365982</w:t>
      </w:r>
      <w:r w:rsidR="00B901F2" w:rsidRPr="00E224E9">
        <w:rPr>
          <w:rFonts w:ascii="Book Antiqua" w:hAnsi="Book Antiqua" w:hint="eastAsia"/>
          <w:color w:val="000000" w:themeColor="text1"/>
          <w:sz w:val="24"/>
        </w:rPr>
        <w:t>號」</w:t>
      </w:r>
      <w:r w:rsidR="00D3553A" w:rsidRPr="00E224E9">
        <w:rPr>
          <w:rFonts w:ascii="Book Antiqua" w:hAnsi="Book Antiqua" w:hint="eastAsia"/>
          <w:color w:val="000000" w:themeColor="text1"/>
          <w:sz w:val="24"/>
        </w:rPr>
        <w:t>、</w:t>
      </w:r>
      <w:r w:rsidR="00B901F2" w:rsidRPr="00E224E9">
        <w:rPr>
          <w:rFonts w:ascii="Book Antiqua" w:hAnsi="Book Antiqua" w:hint="eastAsia"/>
          <w:color w:val="000000" w:themeColor="text1"/>
          <w:sz w:val="24"/>
        </w:rPr>
        <w:t>「金管保財字第</w:t>
      </w:r>
      <w:r w:rsidR="00B901F2" w:rsidRPr="00E224E9">
        <w:rPr>
          <w:rFonts w:ascii="Book Antiqua" w:hAnsi="Book Antiqua"/>
          <w:color w:val="000000" w:themeColor="text1"/>
          <w:sz w:val="24"/>
        </w:rPr>
        <w:t>11004365983</w:t>
      </w:r>
      <w:r w:rsidR="00B901F2" w:rsidRPr="00E224E9">
        <w:rPr>
          <w:rFonts w:ascii="Book Antiqua" w:hAnsi="Book Antiqua" w:hint="eastAsia"/>
          <w:color w:val="000000" w:themeColor="text1"/>
          <w:sz w:val="24"/>
        </w:rPr>
        <w:t>號」</w:t>
      </w:r>
      <w:r w:rsidR="00D3553A" w:rsidRPr="00E224E9">
        <w:rPr>
          <w:rFonts w:ascii="Book Antiqua" w:hAnsi="Book Antiqua" w:hint="eastAsia"/>
          <w:color w:val="000000" w:themeColor="text1"/>
          <w:sz w:val="24"/>
        </w:rPr>
        <w:t>和「金管保財字第</w:t>
      </w:r>
      <w:r w:rsidR="00D3553A" w:rsidRPr="00E224E9">
        <w:rPr>
          <w:rFonts w:ascii="Book Antiqua" w:hAnsi="Book Antiqua" w:hint="eastAsia"/>
          <w:color w:val="000000" w:themeColor="text1"/>
          <w:sz w:val="24"/>
        </w:rPr>
        <w:t>11104902763</w:t>
      </w:r>
      <w:r w:rsidR="00D3553A" w:rsidRPr="00E224E9">
        <w:rPr>
          <w:rFonts w:ascii="Book Antiqua" w:hAnsi="Book Antiqua" w:hint="eastAsia"/>
          <w:color w:val="000000" w:themeColor="text1"/>
          <w:sz w:val="24"/>
        </w:rPr>
        <w:t>號令」</w:t>
      </w:r>
      <w:r w:rsidR="00B901F2" w:rsidRPr="00E224E9">
        <w:rPr>
          <w:rFonts w:ascii="Book Antiqua" w:hAnsi="Book Antiqua"/>
          <w:color w:val="000000" w:themeColor="text1"/>
          <w:sz w:val="24"/>
        </w:rPr>
        <w:t>)</w:t>
      </w:r>
      <w:r w:rsidR="00B901F2" w:rsidRPr="00E224E9">
        <w:rPr>
          <w:rFonts w:ascii="Book Antiqua" w:hAnsi="Book Antiqua" w:hint="eastAsia"/>
          <w:color w:val="000000" w:themeColor="text1"/>
          <w:sz w:val="24"/>
        </w:rPr>
        <w:t>。</w:t>
      </w:r>
    </w:p>
    <w:p w14:paraId="151277F9" w14:textId="5C4FC18E" w:rsidR="003477BF" w:rsidRPr="00E224E9" w:rsidRDefault="00B901F2" w:rsidP="003477BF">
      <w:pPr>
        <w:spacing w:line="440" w:lineRule="exact"/>
        <w:ind w:leftChars="300" w:left="780"/>
        <w:jc w:val="both"/>
        <w:rPr>
          <w:rFonts w:ascii="Book Antiqua" w:hAnsi="Book Antiqua"/>
          <w:color w:val="000000" w:themeColor="text1"/>
          <w:sz w:val="24"/>
        </w:rPr>
      </w:pPr>
      <w:r w:rsidRPr="00E224E9">
        <w:rPr>
          <w:rFonts w:ascii="Book Antiqua" w:hAnsi="Book Antiqua" w:hint="eastAsia"/>
          <w:color w:val="000000" w:themeColor="text1"/>
          <w:sz w:val="24"/>
        </w:rPr>
        <w:t>具體說明為，</w:t>
      </w:r>
      <w:r w:rsidR="003477BF" w:rsidRPr="00E224E9">
        <w:rPr>
          <w:rFonts w:ascii="Book Antiqua" w:hAnsi="Book Antiqua" w:hint="eastAsia"/>
          <w:color w:val="000000" w:themeColor="text1"/>
          <w:sz w:val="24"/>
        </w:rPr>
        <w:t>投資國家級投資公司所設立之國內基金、證投信及證券商轉投資子公司擔任普通合夥人設立之國內私募股權基金</w:t>
      </w:r>
      <w:r w:rsidR="00F37FA8" w:rsidRPr="00E224E9">
        <w:rPr>
          <w:rFonts w:ascii="Book Antiqua" w:hAnsi="Book Antiqua" w:hint="eastAsia"/>
          <w:color w:val="000000" w:themeColor="text1"/>
          <w:sz w:val="24"/>
        </w:rPr>
        <w:t>、</w:t>
      </w:r>
      <w:r w:rsidR="00344890" w:rsidRPr="00E224E9">
        <w:rPr>
          <w:rFonts w:ascii="Book Antiqua" w:hAnsi="Book Antiqua" w:hint="eastAsia"/>
          <w:color w:val="000000" w:themeColor="text1"/>
          <w:sz w:val="24"/>
        </w:rPr>
        <w:t>或取得國家發展委員會資格函之國內私募股權基金，</w:t>
      </w:r>
      <w:r w:rsidR="001F714C" w:rsidRPr="00E224E9">
        <w:rPr>
          <w:rFonts w:ascii="Book Antiqua" w:hAnsi="Book Antiqua" w:hint="eastAsia"/>
          <w:color w:val="000000" w:themeColor="text1"/>
          <w:sz w:val="24"/>
        </w:rPr>
        <w:t>且該基金</w:t>
      </w:r>
      <w:r w:rsidR="003477BF" w:rsidRPr="00E224E9">
        <w:rPr>
          <w:rFonts w:ascii="Book Antiqua" w:hAnsi="Book Antiqua" w:hint="eastAsia"/>
          <w:color w:val="000000" w:themeColor="text1"/>
          <w:sz w:val="24"/>
        </w:rPr>
        <w:t>投資於公共投資</w:t>
      </w:r>
      <w:r w:rsidR="00C019F2" w:rsidRPr="00E224E9">
        <w:rPr>
          <w:rFonts w:ascii="Book Antiqua" w:hAnsi="Book Antiqua"/>
          <w:color w:val="000000" w:themeColor="text1"/>
          <w:sz w:val="24"/>
        </w:rPr>
        <w:t>(</w:t>
      </w:r>
      <w:r w:rsidR="00C019F2" w:rsidRPr="00E224E9">
        <w:rPr>
          <w:rFonts w:ascii="Book Antiqua" w:hAnsi="Book Antiqua" w:hint="eastAsia"/>
          <w:color w:val="000000" w:themeColor="text1"/>
          <w:sz w:val="24"/>
        </w:rPr>
        <w:t>即，「保險業資金辦理專案運用公共及社會福利事業投資管理辦</w:t>
      </w:r>
      <w:r w:rsidR="007B7D4A" w:rsidRPr="00E224E9">
        <w:rPr>
          <w:rFonts w:ascii="Book Antiqua" w:hAnsi="Book Antiqua" w:hint="eastAsia"/>
          <w:color w:val="000000" w:themeColor="text1"/>
          <w:sz w:val="24"/>
        </w:rPr>
        <w:t>法</w:t>
      </w:r>
      <w:r w:rsidR="00C019F2" w:rsidRPr="00E224E9">
        <w:rPr>
          <w:rFonts w:ascii="Book Antiqua" w:hAnsi="Book Antiqua" w:hint="eastAsia"/>
          <w:color w:val="000000" w:themeColor="text1"/>
          <w:sz w:val="24"/>
        </w:rPr>
        <w:t>」第</w:t>
      </w:r>
      <w:r w:rsidR="00C019F2" w:rsidRPr="00E224E9">
        <w:rPr>
          <w:rFonts w:ascii="Book Antiqua" w:hAnsi="Book Antiqua" w:hint="eastAsia"/>
          <w:color w:val="000000" w:themeColor="text1"/>
          <w:sz w:val="24"/>
        </w:rPr>
        <w:t>3</w:t>
      </w:r>
      <w:r w:rsidR="00C019F2" w:rsidRPr="00E224E9">
        <w:rPr>
          <w:rFonts w:ascii="Book Antiqua" w:hAnsi="Book Antiqua" w:hint="eastAsia"/>
          <w:color w:val="000000" w:themeColor="text1"/>
          <w:sz w:val="24"/>
        </w:rPr>
        <w:t>條</w:t>
      </w:r>
      <w:r w:rsidR="00C019F2" w:rsidRPr="00E224E9">
        <w:rPr>
          <w:rFonts w:ascii="Book Antiqua" w:hAnsi="Book Antiqua"/>
          <w:color w:val="000000" w:themeColor="text1"/>
          <w:sz w:val="24"/>
        </w:rPr>
        <w:t>)</w:t>
      </w:r>
      <w:r w:rsidR="003477BF" w:rsidRPr="00E224E9">
        <w:rPr>
          <w:rFonts w:ascii="Book Antiqua" w:hAnsi="Book Antiqua" w:hint="eastAsia"/>
          <w:color w:val="000000" w:themeColor="text1"/>
          <w:sz w:val="24"/>
        </w:rPr>
        <w:t>及金管保財字第</w:t>
      </w:r>
      <w:r w:rsidR="003477BF" w:rsidRPr="00E224E9">
        <w:rPr>
          <w:rFonts w:ascii="Book Antiqua" w:hAnsi="Book Antiqua" w:hint="eastAsia"/>
          <w:color w:val="000000" w:themeColor="text1"/>
          <w:sz w:val="24"/>
        </w:rPr>
        <w:t>10610908021</w:t>
      </w:r>
      <w:r w:rsidR="003477BF" w:rsidRPr="00E224E9">
        <w:rPr>
          <w:rFonts w:ascii="Book Antiqua" w:hAnsi="Book Antiqua" w:hint="eastAsia"/>
          <w:color w:val="000000" w:themeColor="text1"/>
          <w:sz w:val="24"/>
        </w:rPr>
        <w:t>號令</w:t>
      </w:r>
      <w:r w:rsidR="00BA1CDF" w:rsidRPr="00E224E9">
        <w:rPr>
          <w:rFonts w:ascii="Book Antiqua" w:hAnsi="Book Antiqua" w:hint="eastAsia"/>
          <w:color w:val="000000" w:themeColor="text1"/>
          <w:sz w:val="24"/>
        </w:rPr>
        <w:t>第一</w:t>
      </w:r>
      <w:r w:rsidR="00BA1CDF" w:rsidRPr="00E224E9">
        <w:rPr>
          <w:rFonts w:ascii="Book Antiqua" w:hAnsi="Book Antiqua" w:hint="eastAsia"/>
          <w:color w:val="000000" w:themeColor="text1"/>
          <w:sz w:val="24"/>
        </w:rPr>
        <w:lastRenderedPageBreak/>
        <w:t>點</w:t>
      </w:r>
      <w:r w:rsidR="00897E5E" w:rsidRPr="00E224E9">
        <w:rPr>
          <w:rFonts w:ascii="Book Antiqua" w:hAnsi="Book Antiqua"/>
          <w:color w:val="000000" w:themeColor="text1"/>
          <w:sz w:val="24"/>
        </w:rPr>
        <w:t>(5+2)</w:t>
      </w:r>
      <w:r w:rsidR="00507662" w:rsidRPr="00E224E9">
        <w:rPr>
          <w:rFonts w:ascii="Book Antiqua" w:hAnsi="Book Antiqua" w:hint="eastAsia"/>
          <w:color w:val="000000" w:themeColor="text1"/>
          <w:sz w:val="24"/>
        </w:rPr>
        <w:t>和</w:t>
      </w:r>
      <w:r w:rsidR="00BA1CDF" w:rsidRPr="00E224E9">
        <w:rPr>
          <w:rFonts w:ascii="Book Antiqua" w:hAnsi="Book Antiqua" w:hint="eastAsia"/>
          <w:color w:val="000000" w:themeColor="text1"/>
          <w:sz w:val="24"/>
        </w:rPr>
        <w:t>金管保財字第</w:t>
      </w:r>
      <w:r w:rsidR="00BA1CDF" w:rsidRPr="00E224E9">
        <w:rPr>
          <w:rFonts w:ascii="Book Antiqua" w:hAnsi="Book Antiqua" w:hint="eastAsia"/>
          <w:color w:val="000000" w:themeColor="text1"/>
          <w:sz w:val="24"/>
        </w:rPr>
        <w:t>11004365981</w:t>
      </w:r>
      <w:r w:rsidR="00BA1CDF" w:rsidRPr="00E224E9">
        <w:rPr>
          <w:rFonts w:ascii="Book Antiqua" w:hAnsi="Book Antiqua" w:hint="eastAsia"/>
          <w:color w:val="000000" w:themeColor="text1"/>
          <w:sz w:val="24"/>
        </w:rPr>
        <w:t>號令</w:t>
      </w:r>
      <w:r w:rsidR="003477BF" w:rsidRPr="00E224E9">
        <w:rPr>
          <w:rFonts w:ascii="Book Antiqua" w:hAnsi="Book Antiqua" w:hint="eastAsia"/>
          <w:color w:val="000000" w:themeColor="text1"/>
          <w:sz w:val="24"/>
        </w:rPr>
        <w:t>第一點</w:t>
      </w:r>
      <w:r w:rsidR="00897E5E" w:rsidRPr="00E224E9">
        <w:rPr>
          <w:rFonts w:ascii="Book Antiqua" w:hAnsi="Book Antiqua"/>
          <w:color w:val="000000" w:themeColor="text1"/>
          <w:sz w:val="24"/>
        </w:rPr>
        <w:t>(6</w:t>
      </w:r>
      <w:r w:rsidR="00897E5E" w:rsidRPr="00E224E9">
        <w:rPr>
          <w:rFonts w:ascii="Book Antiqua" w:hAnsi="Book Antiqua" w:hint="eastAsia"/>
          <w:color w:val="000000" w:themeColor="text1"/>
          <w:sz w:val="24"/>
        </w:rPr>
        <w:t>大核心</w:t>
      </w:r>
      <w:r w:rsidR="00897E5E" w:rsidRPr="00E224E9">
        <w:rPr>
          <w:rFonts w:ascii="Book Antiqua" w:hAnsi="Book Antiqua"/>
          <w:color w:val="000000" w:themeColor="text1"/>
          <w:sz w:val="24"/>
        </w:rPr>
        <w:t>)</w:t>
      </w:r>
      <w:r w:rsidR="003477BF" w:rsidRPr="00E224E9">
        <w:rPr>
          <w:rFonts w:ascii="Book Antiqua" w:hAnsi="Book Antiqua" w:hint="eastAsia"/>
          <w:color w:val="000000" w:themeColor="text1"/>
          <w:sz w:val="24"/>
        </w:rPr>
        <w:t>各款所列事項者。</w:t>
      </w:r>
    </w:p>
    <w:p w14:paraId="400E858F" w14:textId="751E568A" w:rsidR="0064676F" w:rsidRPr="00E224E9" w:rsidRDefault="007A472E" w:rsidP="00285610">
      <w:pPr>
        <w:spacing w:line="440" w:lineRule="exact"/>
        <w:ind w:leftChars="94" w:left="964" w:hangingChars="300" w:hanging="720"/>
        <w:jc w:val="both"/>
        <w:rPr>
          <w:rFonts w:ascii="Book Antiqua" w:hAnsi="Book Antiqua"/>
          <w:color w:val="000000" w:themeColor="text1"/>
          <w:sz w:val="24"/>
        </w:rPr>
      </w:pPr>
      <w:r w:rsidRPr="00E224E9">
        <w:rPr>
          <w:rFonts w:ascii="Book Antiqua" w:hAnsi="Book Antiqua" w:hint="eastAsia"/>
          <w:color w:val="000000" w:themeColor="text1"/>
          <w:sz w:val="24"/>
        </w:rPr>
        <w:t>第</w:t>
      </w:r>
      <w:r w:rsidRPr="00E224E9">
        <w:rPr>
          <w:rFonts w:ascii="Book Antiqua" w:hAnsi="Book Antiqua" w:hint="eastAsia"/>
          <w:color w:val="000000" w:themeColor="text1"/>
          <w:sz w:val="24"/>
        </w:rPr>
        <w:t>207</w:t>
      </w:r>
      <w:r w:rsidRPr="00E224E9">
        <w:rPr>
          <w:rFonts w:ascii="Book Antiqua" w:hAnsi="Book Antiqua"/>
          <w:color w:val="000000" w:themeColor="text1"/>
          <w:sz w:val="24"/>
        </w:rPr>
        <w:t>-1</w:t>
      </w:r>
      <w:r w:rsidRPr="00E224E9">
        <w:rPr>
          <w:rFonts w:ascii="Book Antiqua" w:hAnsi="Book Antiqua" w:hint="eastAsia"/>
          <w:color w:val="000000" w:themeColor="text1"/>
          <w:sz w:val="24"/>
        </w:rPr>
        <w:t>列－公共投資</w:t>
      </w:r>
      <w:r w:rsidRPr="00E224E9">
        <w:rPr>
          <w:rFonts w:ascii="Book Antiqua" w:hAnsi="Book Antiqua" w:hint="eastAsia"/>
          <w:color w:val="000000" w:themeColor="text1"/>
          <w:sz w:val="24"/>
        </w:rPr>
        <w:t>(100%)</w:t>
      </w:r>
    </w:p>
    <w:p w14:paraId="7D3A791E" w14:textId="69737CF2" w:rsidR="007A472E" w:rsidRPr="00E224E9" w:rsidRDefault="007A472E" w:rsidP="00285610">
      <w:pPr>
        <w:spacing w:line="440" w:lineRule="exact"/>
        <w:ind w:leftChars="425" w:left="1105" w:firstLineChars="5" w:firstLine="12"/>
        <w:jc w:val="both"/>
        <w:rPr>
          <w:rFonts w:ascii="Book Antiqua" w:hAnsi="Book Antiqua"/>
          <w:color w:val="000000" w:themeColor="text1"/>
          <w:sz w:val="24"/>
        </w:rPr>
      </w:pPr>
      <w:r w:rsidRPr="00E224E9">
        <w:rPr>
          <w:rFonts w:ascii="Book Antiqua" w:hAnsi="Book Antiqua" w:hint="eastAsia"/>
          <w:color w:val="000000" w:themeColor="text1"/>
          <w:sz w:val="24"/>
        </w:rPr>
        <w:t>底層</w:t>
      </w:r>
      <w:r w:rsidRPr="00E224E9">
        <w:rPr>
          <w:rFonts w:ascii="Book Antiqua" w:hAnsi="標楷體" w:hint="eastAsia"/>
          <w:color w:val="000000" w:themeColor="text1"/>
          <w:sz w:val="24"/>
        </w:rPr>
        <w:t>投資</w:t>
      </w:r>
      <w:r w:rsidRPr="00E224E9">
        <w:rPr>
          <w:rFonts w:ascii="Book Antiqua" w:hAnsi="Book Antiqua" w:hint="eastAsia"/>
          <w:color w:val="000000" w:themeColor="text1"/>
          <w:sz w:val="24"/>
        </w:rPr>
        <w:t>標的</w:t>
      </w:r>
      <w:r w:rsidRPr="00E224E9">
        <w:rPr>
          <w:rFonts w:ascii="Book Antiqua" w:hAnsi="Book Antiqua" w:hint="eastAsia"/>
          <w:color w:val="000000" w:themeColor="text1"/>
          <w:sz w:val="24"/>
        </w:rPr>
        <w:t>100%</w:t>
      </w:r>
      <w:r w:rsidRPr="00E224E9">
        <w:rPr>
          <w:rFonts w:ascii="Book Antiqua" w:hAnsi="Book Antiqua" w:hint="eastAsia"/>
          <w:color w:val="000000" w:themeColor="text1"/>
          <w:sz w:val="24"/>
        </w:rPr>
        <w:t>為公共投資</w:t>
      </w:r>
    </w:p>
    <w:p w14:paraId="584FA2EB" w14:textId="63934544" w:rsidR="0064676F" w:rsidRPr="00E224E9" w:rsidRDefault="007A472E" w:rsidP="00285610">
      <w:pPr>
        <w:spacing w:line="440" w:lineRule="exact"/>
        <w:ind w:leftChars="94" w:left="964" w:hangingChars="300" w:hanging="720"/>
        <w:jc w:val="both"/>
        <w:rPr>
          <w:rFonts w:ascii="Book Antiqua" w:hAnsi="Book Antiqua"/>
          <w:color w:val="000000" w:themeColor="text1"/>
          <w:sz w:val="24"/>
        </w:rPr>
      </w:pPr>
      <w:r w:rsidRPr="00E224E9">
        <w:rPr>
          <w:rFonts w:ascii="Book Antiqua" w:hAnsi="Book Antiqua" w:hint="eastAsia"/>
          <w:color w:val="000000" w:themeColor="text1"/>
          <w:sz w:val="24"/>
        </w:rPr>
        <w:t>第</w:t>
      </w:r>
      <w:r w:rsidRPr="00E224E9">
        <w:rPr>
          <w:rFonts w:ascii="Book Antiqua" w:hAnsi="Book Antiqua" w:hint="eastAsia"/>
          <w:color w:val="000000" w:themeColor="text1"/>
          <w:sz w:val="24"/>
        </w:rPr>
        <w:t>207</w:t>
      </w:r>
      <w:r w:rsidRPr="00E224E9">
        <w:rPr>
          <w:rFonts w:ascii="Book Antiqua" w:hAnsi="Book Antiqua"/>
          <w:color w:val="000000" w:themeColor="text1"/>
          <w:sz w:val="24"/>
        </w:rPr>
        <w:t>-2</w:t>
      </w:r>
      <w:r w:rsidRPr="00E224E9">
        <w:rPr>
          <w:rFonts w:ascii="Book Antiqua" w:hAnsi="Book Antiqua" w:hint="eastAsia"/>
          <w:color w:val="000000" w:themeColor="text1"/>
          <w:sz w:val="24"/>
        </w:rPr>
        <w:t>列－公共投資</w:t>
      </w:r>
      <w:r w:rsidRPr="00E224E9">
        <w:rPr>
          <w:rFonts w:ascii="Book Antiqua" w:hAnsi="Book Antiqua" w:hint="eastAsia"/>
          <w:color w:val="000000" w:themeColor="text1"/>
          <w:sz w:val="24"/>
        </w:rPr>
        <w:t>, 5+2</w:t>
      </w:r>
      <w:r w:rsidRPr="00E224E9">
        <w:rPr>
          <w:rFonts w:ascii="Book Antiqua" w:hAnsi="Book Antiqua" w:hint="eastAsia"/>
          <w:color w:val="000000" w:themeColor="text1"/>
          <w:sz w:val="24"/>
        </w:rPr>
        <w:t>及六大核心產業</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混合型標的</w:t>
      </w:r>
      <w:r w:rsidRPr="00E224E9">
        <w:rPr>
          <w:rFonts w:ascii="Book Antiqua" w:hAnsi="Book Antiqua" w:hint="eastAsia"/>
          <w:color w:val="000000" w:themeColor="text1"/>
          <w:sz w:val="24"/>
        </w:rPr>
        <w:t>)</w:t>
      </w:r>
    </w:p>
    <w:p w14:paraId="6AEC2975" w14:textId="7DC475B7" w:rsidR="007A472E" w:rsidRPr="00E224E9" w:rsidRDefault="007A472E" w:rsidP="00285610">
      <w:pPr>
        <w:spacing w:line="440" w:lineRule="exact"/>
        <w:ind w:leftChars="425" w:left="1105" w:firstLineChars="5" w:firstLine="12"/>
        <w:jc w:val="both"/>
        <w:rPr>
          <w:rFonts w:ascii="Book Antiqua" w:hAnsi="標楷體"/>
          <w:color w:val="000000" w:themeColor="text1"/>
          <w:sz w:val="24"/>
        </w:rPr>
      </w:pPr>
      <w:r w:rsidRPr="00E224E9">
        <w:rPr>
          <w:rFonts w:ascii="Book Antiqua" w:hAnsi="標楷體" w:hint="eastAsia"/>
          <w:color w:val="000000" w:themeColor="text1"/>
          <w:sz w:val="24"/>
        </w:rPr>
        <w:t>底層投資標的不超出「公共投資、</w:t>
      </w:r>
      <w:r w:rsidRPr="00E224E9">
        <w:rPr>
          <w:rFonts w:ascii="Book Antiqua" w:hAnsi="標楷體"/>
          <w:color w:val="000000" w:themeColor="text1"/>
          <w:sz w:val="24"/>
        </w:rPr>
        <w:t>5+2</w:t>
      </w:r>
      <w:r w:rsidRPr="00E224E9">
        <w:rPr>
          <w:rFonts w:ascii="Book Antiqua" w:hAnsi="標楷體" w:hint="eastAsia"/>
          <w:color w:val="000000" w:themeColor="text1"/>
          <w:sz w:val="24"/>
        </w:rPr>
        <w:t>及六大核心產業」範圍。</w:t>
      </w:r>
    </w:p>
    <w:p w14:paraId="00915018"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208</w:t>
      </w:r>
      <w:r w:rsidRPr="00E224E9">
        <w:rPr>
          <w:rFonts w:ascii="Book Antiqua" w:hAnsi="標楷體"/>
          <w:color w:val="000000" w:themeColor="text1"/>
          <w:sz w:val="24"/>
        </w:rPr>
        <w:t>列－其他專案運用公共及社會福利事業投資</w:t>
      </w:r>
    </w:p>
    <w:p w14:paraId="61BA6AE1" w14:textId="5B322B24"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本列為除政策性</w:t>
      </w:r>
      <w:r w:rsidR="008F3C01" w:rsidRPr="00E224E9">
        <w:rPr>
          <w:rFonts w:ascii="Book Antiqua" w:hAnsi="標楷體"/>
          <w:color w:val="000000" w:themeColor="text1"/>
          <w:sz w:val="24"/>
        </w:rPr>
        <w:t>(</w:t>
      </w:r>
      <w:r w:rsidR="008F3C01" w:rsidRPr="00E224E9">
        <w:rPr>
          <w:rFonts w:ascii="Book Antiqua" w:hAnsi="標楷體" w:hint="eastAsia"/>
          <w:color w:val="000000" w:themeColor="text1"/>
          <w:sz w:val="24"/>
        </w:rPr>
        <w:t>第</w:t>
      </w:r>
      <w:r w:rsidR="008F3C01" w:rsidRPr="00E224E9">
        <w:rPr>
          <w:rFonts w:ascii="Book Antiqua" w:hAnsi="標楷體"/>
          <w:color w:val="000000" w:themeColor="text1"/>
          <w:sz w:val="24"/>
        </w:rPr>
        <w:t>199</w:t>
      </w:r>
      <w:r w:rsidR="008F3C01" w:rsidRPr="00E224E9">
        <w:rPr>
          <w:rFonts w:ascii="Book Antiqua" w:hAnsi="標楷體" w:hint="eastAsia"/>
          <w:color w:val="000000" w:themeColor="text1"/>
          <w:sz w:val="24"/>
        </w:rPr>
        <w:t>列</w:t>
      </w:r>
      <w:r w:rsidR="008F3C01" w:rsidRPr="00E224E9">
        <w:rPr>
          <w:rFonts w:ascii="Book Antiqua" w:hAnsi="標楷體"/>
          <w:color w:val="000000" w:themeColor="text1"/>
          <w:sz w:val="24"/>
        </w:rPr>
        <w:t>)</w:t>
      </w:r>
      <w:r w:rsidRPr="00E224E9">
        <w:rPr>
          <w:rFonts w:ascii="Book Antiqua" w:hAnsi="標楷體"/>
          <w:color w:val="000000" w:themeColor="text1"/>
          <w:sz w:val="24"/>
        </w:rPr>
        <w:t>、創投</w:t>
      </w:r>
      <w:r w:rsidR="008F3C01" w:rsidRPr="00E224E9">
        <w:rPr>
          <w:rFonts w:ascii="Book Antiqua" w:hAnsi="標楷體"/>
          <w:color w:val="000000" w:themeColor="text1"/>
          <w:sz w:val="24"/>
        </w:rPr>
        <w:t>(</w:t>
      </w:r>
      <w:r w:rsidR="008F3C01" w:rsidRPr="00E224E9">
        <w:rPr>
          <w:rFonts w:ascii="Book Antiqua" w:hAnsi="標楷體" w:hint="eastAsia"/>
          <w:color w:val="000000" w:themeColor="text1"/>
          <w:sz w:val="24"/>
        </w:rPr>
        <w:t>第</w:t>
      </w:r>
      <w:r w:rsidR="008F3C01" w:rsidRPr="00E224E9">
        <w:rPr>
          <w:rFonts w:ascii="Book Antiqua" w:hAnsi="標楷體"/>
          <w:color w:val="000000" w:themeColor="text1"/>
          <w:sz w:val="24"/>
        </w:rPr>
        <w:t>200</w:t>
      </w:r>
      <w:r w:rsidR="008F3C01" w:rsidRPr="00E224E9">
        <w:rPr>
          <w:rFonts w:ascii="Book Antiqua" w:hAnsi="標楷體" w:hint="eastAsia"/>
          <w:color w:val="000000" w:themeColor="text1"/>
          <w:sz w:val="24"/>
        </w:rPr>
        <w:t>列</w:t>
      </w:r>
      <w:r w:rsidR="008F3C01" w:rsidRPr="00E224E9">
        <w:rPr>
          <w:rFonts w:ascii="Book Antiqua" w:hAnsi="標楷體"/>
          <w:color w:val="000000" w:themeColor="text1"/>
          <w:sz w:val="24"/>
        </w:rPr>
        <w:t>)</w:t>
      </w:r>
      <w:r w:rsidRPr="00E224E9">
        <w:rPr>
          <w:rFonts w:ascii="Book Antiqua" w:hAnsi="標楷體"/>
          <w:color w:val="000000" w:themeColor="text1"/>
          <w:sz w:val="24"/>
        </w:rPr>
        <w:t>、股票</w:t>
      </w:r>
      <w:r w:rsidR="008F3C01" w:rsidRPr="00E224E9">
        <w:rPr>
          <w:rFonts w:ascii="Book Antiqua" w:hAnsi="標楷體"/>
          <w:color w:val="000000" w:themeColor="text1"/>
          <w:sz w:val="24"/>
        </w:rPr>
        <w:t>(</w:t>
      </w:r>
      <w:r w:rsidR="008F3C01" w:rsidRPr="00E224E9">
        <w:rPr>
          <w:rFonts w:ascii="Book Antiqua" w:hAnsi="標楷體"/>
          <w:color w:val="000000" w:themeColor="text1"/>
          <w:sz w:val="24"/>
        </w:rPr>
        <w:t>第</w:t>
      </w:r>
      <w:r w:rsidR="008F3C01" w:rsidRPr="00E224E9">
        <w:rPr>
          <w:rFonts w:ascii="Book Antiqua" w:hAnsi="Book Antiqua"/>
          <w:color w:val="000000" w:themeColor="text1"/>
          <w:sz w:val="24"/>
        </w:rPr>
        <w:t>20</w:t>
      </w:r>
      <w:r w:rsidR="00745BB3" w:rsidRPr="00E224E9">
        <w:rPr>
          <w:rFonts w:ascii="Book Antiqua" w:hAnsi="Book Antiqua" w:hint="eastAsia"/>
          <w:color w:val="000000" w:themeColor="text1"/>
          <w:sz w:val="24"/>
        </w:rPr>
        <w:t>1</w:t>
      </w:r>
      <w:r w:rsidR="008F3C01" w:rsidRPr="00E224E9">
        <w:rPr>
          <w:rFonts w:ascii="Book Antiqua" w:hAnsi="標楷體"/>
          <w:color w:val="000000" w:themeColor="text1"/>
          <w:sz w:val="24"/>
        </w:rPr>
        <w:t>列</w:t>
      </w:r>
      <w:r w:rsidR="008F3C01" w:rsidRPr="00E224E9">
        <w:rPr>
          <w:rFonts w:ascii="Book Antiqua" w:hAnsi="標楷體"/>
          <w:color w:val="000000" w:themeColor="text1"/>
          <w:sz w:val="24"/>
        </w:rPr>
        <w:t>)</w:t>
      </w:r>
      <w:r w:rsidR="008F3C01" w:rsidRPr="00E224E9">
        <w:rPr>
          <w:rFonts w:ascii="Book Antiqua" w:hAnsi="標楷體" w:hint="eastAsia"/>
          <w:color w:val="000000" w:themeColor="text1"/>
          <w:sz w:val="24"/>
        </w:rPr>
        <w:t>、</w:t>
      </w:r>
      <w:r w:rsidRPr="00E224E9">
        <w:rPr>
          <w:rFonts w:ascii="Book Antiqua" w:hAnsi="標楷體"/>
          <w:color w:val="000000" w:themeColor="text1"/>
          <w:sz w:val="24"/>
        </w:rPr>
        <w:t>放款</w:t>
      </w:r>
      <w:r w:rsidR="008F3C01" w:rsidRPr="00E224E9">
        <w:rPr>
          <w:rFonts w:ascii="Book Antiqua" w:hAnsi="標楷體"/>
          <w:color w:val="000000" w:themeColor="text1"/>
          <w:sz w:val="24"/>
        </w:rPr>
        <w:t>(</w:t>
      </w:r>
      <w:r w:rsidR="008F3C01" w:rsidRPr="00E224E9">
        <w:rPr>
          <w:rFonts w:ascii="Book Antiqua" w:hAnsi="標楷體" w:hint="eastAsia"/>
          <w:color w:val="000000" w:themeColor="text1"/>
          <w:sz w:val="24"/>
        </w:rPr>
        <w:t>第</w:t>
      </w:r>
      <w:r w:rsidR="008F3C01" w:rsidRPr="00E224E9">
        <w:rPr>
          <w:rFonts w:ascii="Book Antiqua" w:hAnsi="標楷體"/>
          <w:color w:val="000000" w:themeColor="text1"/>
          <w:sz w:val="24"/>
        </w:rPr>
        <w:t>202</w:t>
      </w:r>
      <w:r w:rsidR="008F3C01" w:rsidRPr="00E224E9">
        <w:rPr>
          <w:rFonts w:ascii="Book Antiqua" w:hAnsi="標楷體" w:hint="eastAsia"/>
          <w:color w:val="000000" w:themeColor="text1"/>
          <w:sz w:val="24"/>
        </w:rPr>
        <w:t>列</w:t>
      </w:r>
      <w:r w:rsidR="008F3C01" w:rsidRPr="00E224E9">
        <w:rPr>
          <w:rFonts w:ascii="Book Antiqua" w:hAnsi="標楷體"/>
          <w:color w:val="000000" w:themeColor="text1"/>
          <w:sz w:val="24"/>
        </w:rPr>
        <w:t>)</w:t>
      </w:r>
      <w:r w:rsidR="008F3C01" w:rsidRPr="00E224E9">
        <w:rPr>
          <w:rFonts w:ascii="Book Antiqua" w:hAnsi="標楷體" w:hint="eastAsia"/>
          <w:color w:val="000000" w:themeColor="text1"/>
          <w:sz w:val="24"/>
        </w:rPr>
        <w:t>及</w:t>
      </w:r>
      <w:r w:rsidR="000E2939" w:rsidRPr="00E224E9">
        <w:rPr>
          <w:rFonts w:ascii="Book Antiqua" w:hAnsi="標楷體" w:hint="eastAsia"/>
          <w:color w:val="000000" w:themeColor="text1"/>
          <w:sz w:val="24"/>
        </w:rPr>
        <w:t>「</w:t>
      </w:r>
      <w:r w:rsidR="008F3C01" w:rsidRPr="00E224E9">
        <w:rPr>
          <w:rFonts w:ascii="Book Antiqua" w:hAnsi="標楷體" w:hint="eastAsia"/>
          <w:color w:val="000000" w:themeColor="text1"/>
          <w:sz w:val="24"/>
        </w:rPr>
        <w:t>公共投資、</w:t>
      </w:r>
      <w:r w:rsidR="008F3C01" w:rsidRPr="00E224E9">
        <w:rPr>
          <w:rFonts w:ascii="Book Antiqua" w:hAnsi="標楷體" w:hint="eastAsia"/>
          <w:color w:val="000000" w:themeColor="text1"/>
          <w:sz w:val="24"/>
        </w:rPr>
        <w:t>5+2</w:t>
      </w:r>
      <w:r w:rsidR="008F3C01" w:rsidRPr="00E224E9">
        <w:rPr>
          <w:rFonts w:ascii="Book Antiqua" w:hAnsi="標楷體" w:hint="eastAsia"/>
          <w:color w:val="000000" w:themeColor="text1"/>
          <w:sz w:val="24"/>
        </w:rPr>
        <w:t>及六大核心產業</w:t>
      </w:r>
      <w:r w:rsidR="008F3C01" w:rsidRPr="00E224E9">
        <w:rPr>
          <w:rFonts w:ascii="Book Antiqua" w:hAnsi="標楷體" w:hint="eastAsia"/>
          <w:color w:val="000000" w:themeColor="text1"/>
          <w:sz w:val="24"/>
        </w:rPr>
        <w:t>(</w:t>
      </w:r>
      <w:r w:rsidR="008F3C01" w:rsidRPr="00E224E9">
        <w:rPr>
          <w:rFonts w:ascii="Book Antiqua" w:hAnsi="標楷體" w:hint="eastAsia"/>
          <w:color w:val="000000" w:themeColor="text1"/>
          <w:sz w:val="24"/>
        </w:rPr>
        <w:t>第</w:t>
      </w:r>
      <w:r w:rsidR="008F3C01" w:rsidRPr="00E224E9">
        <w:rPr>
          <w:rFonts w:ascii="Book Antiqua" w:hAnsi="標楷體" w:hint="eastAsia"/>
          <w:color w:val="000000" w:themeColor="text1"/>
          <w:sz w:val="24"/>
        </w:rPr>
        <w:t>207</w:t>
      </w:r>
      <w:r w:rsidR="008F3C01" w:rsidRPr="00E224E9">
        <w:rPr>
          <w:rFonts w:ascii="Book Antiqua" w:hAnsi="標楷體" w:hint="eastAsia"/>
          <w:color w:val="000000" w:themeColor="text1"/>
          <w:sz w:val="24"/>
        </w:rPr>
        <w:t>列</w:t>
      </w:r>
      <w:r w:rsidR="008F3C01" w:rsidRPr="00E224E9">
        <w:rPr>
          <w:rFonts w:ascii="Book Antiqua" w:hAnsi="標楷體" w:hint="eastAsia"/>
          <w:color w:val="000000" w:themeColor="text1"/>
          <w:sz w:val="24"/>
        </w:rPr>
        <w:t>)</w:t>
      </w:r>
      <w:r w:rsidR="004C53CA" w:rsidRPr="00E224E9">
        <w:rPr>
          <w:rFonts w:ascii="Book Antiqua" w:hAnsi="標楷體" w:hint="eastAsia"/>
          <w:color w:val="000000" w:themeColor="text1"/>
          <w:sz w:val="24"/>
        </w:rPr>
        <w:t>」</w:t>
      </w:r>
      <w:r w:rsidRPr="00E224E9">
        <w:rPr>
          <w:rFonts w:ascii="Book Antiqua" w:hAnsi="標楷體"/>
          <w:color w:val="000000" w:themeColor="text1"/>
          <w:sz w:val="24"/>
        </w:rPr>
        <w:t>以外之專案運用公共及社會福利事業投資合計金額。</w:t>
      </w:r>
    </w:p>
    <w:p w14:paraId="47A3227D"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209</w:t>
      </w:r>
      <w:r w:rsidRPr="00E224E9">
        <w:rPr>
          <w:rFonts w:ascii="Book Antiqua" w:hAnsi="標楷體"/>
          <w:color w:val="000000" w:themeColor="text1"/>
          <w:sz w:val="24"/>
        </w:rPr>
        <w:t>列－關係人</w:t>
      </w:r>
    </w:p>
    <w:p w14:paraId="586EF82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 xml:space="preserve">　　　本列之金額為第</w:t>
      </w:r>
      <w:r w:rsidR="003A27B8" w:rsidRPr="00E224E9">
        <w:rPr>
          <w:rFonts w:ascii="Book Antiqua" w:hAnsi="標楷體" w:hint="eastAsia"/>
          <w:color w:val="000000" w:themeColor="text1"/>
          <w:sz w:val="24"/>
        </w:rPr>
        <w:t>210</w:t>
      </w:r>
      <w:r w:rsidR="003A27B8" w:rsidRPr="00E224E9">
        <w:rPr>
          <w:rFonts w:ascii="Book Antiqua" w:hAnsi="標楷體"/>
          <w:color w:val="000000" w:themeColor="text1"/>
          <w:sz w:val="24"/>
        </w:rPr>
        <w:t>列</w:t>
      </w:r>
      <w:r w:rsidR="003A27B8" w:rsidRPr="00E224E9">
        <w:rPr>
          <w:rFonts w:ascii="Book Antiqua" w:hAnsi="標楷體" w:hint="eastAsia"/>
          <w:color w:val="000000" w:themeColor="text1"/>
          <w:sz w:val="24"/>
        </w:rPr>
        <w:t>、第</w:t>
      </w:r>
      <w:r w:rsidR="003A27B8" w:rsidRPr="00E224E9">
        <w:rPr>
          <w:rFonts w:ascii="Book Antiqua" w:hAnsi="標楷體" w:hint="eastAsia"/>
          <w:color w:val="000000" w:themeColor="text1"/>
          <w:sz w:val="24"/>
        </w:rPr>
        <w:t>213</w:t>
      </w:r>
      <w:r w:rsidR="003A27B8" w:rsidRPr="00E224E9">
        <w:rPr>
          <w:rFonts w:ascii="Book Antiqua" w:hAnsi="標楷體" w:hint="eastAsia"/>
          <w:color w:val="000000" w:themeColor="text1"/>
          <w:sz w:val="24"/>
        </w:rPr>
        <w:t>列至</w:t>
      </w:r>
      <w:r w:rsidRPr="00E224E9">
        <w:rPr>
          <w:rFonts w:ascii="Book Antiqua" w:hAnsi="標楷體"/>
          <w:color w:val="000000" w:themeColor="text1"/>
          <w:sz w:val="24"/>
        </w:rPr>
        <w:t>第</w:t>
      </w:r>
      <w:r w:rsidR="003A27B8" w:rsidRPr="00E224E9">
        <w:rPr>
          <w:rFonts w:ascii="Book Antiqua" w:hAnsi="Book Antiqua" w:hint="eastAsia"/>
          <w:color w:val="000000" w:themeColor="text1"/>
          <w:sz w:val="24"/>
        </w:rPr>
        <w:t>215</w:t>
      </w:r>
      <w:r w:rsidRPr="00E224E9">
        <w:rPr>
          <w:rFonts w:ascii="Book Antiqua" w:hAnsi="標楷體"/>
          <w:color w:val="000000" w:themeColor="text1"/>
          <w:sz w:val="24"/>
        </w:rPr>
        <w:t>列及</w:t>
      </w:r>
      <w:r w:rsidR="00FA068A" w:rsidRPr="00E224E9">
        <w:rPr>
          <w:rFonts w:ascii="Book Antiqua" w:hAnsi="標楷體"/>
          <w:color w:val="000000" w:themeColor="text1"/>
          <w:sz w:val="24"/>
        </w:rPr>
        <w:t>第</w:t>
      </w:r>
      <w:r w:rsidR="003A27B8" w:rsidRPr="00E224E9">
        <w:rPr>
          <w:rFonts w:ascii="Book Antiqua" w:hAnsi="標楷體" w:hint="eastAsia"/>
          <w:color w:val="000000" w:themeColor="text1"/>
          <w:sz w:val="24"/>
        </w:rPr>
        <w:t>218</w:t>
      </w:r>
      <w:r w:rsidR="00FA068A" w:rsidRPr="00E224E9">
        <w:rPr>
          <w:rFonts w:ascii="Book Antiqua" w:hAnsi="標楷體"/>
          <w:color w:val="000000" w:themeColor="text1"/>
          <w:sz w:val="24"/>
        </w:rPr>
        <w:t>列、</w:t>
      </w:r>
      <w:r w:rsidRPr="00E224E9">
        <w:rPr>
          <w:rFonts w:ascii="Book Antiqua" w:hAnsi="標楷體"/>
          <w:color w:val="000000" w:themeColor="text1"/>
          <w:sz w:val="24"/>
        </w:rPr>
        <w:t>第</w:t>
      </w:r>
      <w:r w:rsidR="003A27B8" w:rsidRPr="00E224E9">
        <w:rPr>
          <w:rFonts w:ascii="Book Antiqua" w:hAnsi="標楷體" w:hint="eastAsia"/>
          <w:color w:val="000000" w:themeColor="text1"/>
          <w:sz w:val="24"/>
        </w:rPr>
        <w:t>221</w:t>
      </w:r>
      <w:r w:rsidRPr="00E224E9">
        <w:rPr>
          <w:rFonts w:ascii="Book Antiqua" w:hAnsi="標楷體"/>
          <w:color w:val="000000" w:themeColor="text1"/>
          <w:sz w:val="24"/>
        </w:rPr>
        <w:t>列各投資項目之加總。</w:t>
      </w:r>
    </w:p>
    <w:p w14:paraId="34334C88"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43E9" w:rsidRPr="00E224E9">
        <w:rPr>
          <w:rFonts w:ascii="Book Antiqua" w:hAnsi="標楷體" w:hint="eastAsia"/>
          <w:color w:val="000000" w:themeColor="text1"/>
          <w:sz w:val="24"/>
        </w:rPr>
        <w:t>215</w:t>
      </w:r>
      <w:r w:rsidRPr="00E224E9">
        <w:rPr>
          <w:rFonts w:ascii="Book Antiqua" w:hAnsi="標楷體"/>
          <w:color w:val="000000" w:themeColor="text1"/>
          <w:sz w:val="24"/>
        </w:rPr>
        <w:t>列－利害關係人放款</w:t>
      </w:r>
    </w:p>
    <w:p w14:paraId="2F0BDF1D"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7143E9" w:rsidRPr="00E224E9">
        <w:rPr>
          <w:rFonts w:ascii="Book Antiqua" w:hAnsi="標楷體" w:hint="eastAsia"/>
          <w:color w:val="000000" w:themeColor="text1"/>
          <w:sz w:val="24"/>
        </w:rPr>
        <w:t>216</w:t>
      </w:r>
      <w:r w:rsidRPr="00E224E9">
        <w:rPr>
          <w:rFonts w:ascii="Book Antiqua" w:hAnsi="標楷體"/>
          <w:color w:val="000000" w:themeColor="text1"/>
          <w:sz w:val="24"/>
        </w:rPr>
        <w:t>列具控制與從屬關係與第</w:t>
      </w:r>
      <w:r w:rsidR="007143E9" w:rsidRPr="00E224E9">
        <w:rPr>
          <w:rFonts w:ascii="Book Antiqua" w:hAnsi="標楷體" w:hint="eastAsia"/>
          <w:color w:val="000000" w:themeColor="text1"/>
          <w:sz w:val="24"/>
        </w:rPr>
        <w:t>217</w:t>
      </w:r>
      <w:r w:rsidRPr="00E224E9">
        <w:rPr>
          <w:rFonts w:ascii="Book Antiqua" w:hAnsi="標楷體"/>
          <w:color w:val="000000" w:themeColor="text1"/>
          <w:sz w:val="24"/>
        </w:rPr>
        <w:t>列非控制與從屬關係兩列之加總。</w:t>
      </w:r>
    </w:p>
    <w:p w14:paraId="757B2FFA" w14:textId="63EB87D6" w:rsidR="0060748C" w:rsidRPr="00E224E9" w:rsidRDefault="0060748C" w:rsidP="0060748C">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43E9" w:rsidRPr="00E224E9">
        <w:rPr>
          <w:rFonts w:ascii="Book Antiqua" w:hAnsi="標楷體" w:hint="eastAsia"/>
          <w:color w:val="000000" w:themeColor="text1"/>
          <w:sz w:val="24"/>
        </w:rPr>
        <w:t>218</w:t>
      </w:r>
      <w:r w:rsidRPr="00E224E9">
        <w:rPr>
          <w:rFonts w:ascii="Book Antiqua" w:hAnsi="標楷體"/>
          <w:color w:val="000000" w:themeColor="text1"/>
          <w:sz w:val="24"/>
        </w:rPr>
        <w:t>列－</w:t>
      </w:r>
      <w:r w:rsidRPr="00E224E9">
        <w:rPr>
          <w:rFonts w:ascii="Book Antiqua" w:hAnsi="標楷體" w:hint="eastAsia"/>
          <w:color w:val="000000" w:themeColor="text1"/>
          <w:sz w:val="24"/>
        </w:rPr>
        <w:t>公共投資</w:t>
      </w:r>
      <w:r w:rsidR="00142A68" w:rsidRPr="00E224E9">
        <w:rPr>
          <w:rFonts w:ascii="Book Antiqua" w:hAnsi="標楷體" w:hint="eastAsia"/>
          <w:color w:val="000000" w:themeColor="text1"/>
          <w:sz w:val="24"/>
        </w:rPr>
        <w:t>、</w:t>
      </w:r>
      <w:r w:rsidRPr="00E224E9">
        <w:rPr>
          <w:rFonts w:ascii="Book Antiqua" w:hAnsi="標楷體" w:hint="eastAsia"/>
          <w:color w:val="000000" w:themeColor="text1"/>
          <w:sz w:val="24"/>
        </w:rPr>
        <w:t>5+2</w:t>
      </w:r>
      <w:r w:rsidR="00142A68" w:rsidRPr="00E224E9">
        <w:rPr>
          <w:rFonts w:ascii="Book Antiqua" w:hAnsi="標楷體" w:hint="eastAsia"/>
          <w:color w:val="000000" w:themeColor="text1"/>
          <w:sz w:val="24"/>
        </w:rPr>
        <w:t>及六大核心</w:t>
      </w:r>
      <w:r w:rsidRPr="00E224E9">
        <w:rPr>
          <w:rFonts w:ascii="Book Antiqua" w:hAnsi="標楷體" w:hint="eastAsia"/>
          <w:color w:val="000000" w:themeColor="text1"/>
          <w:sz w:val="24"/>
        </w:rPr>
        <w:t>產業</w:t>
      </w:r>
    </w:p>
    <w:p w14:paraId="150A5E89" w14:textId="6CEE61A0" w:rsidR="001B4854" w:rsidRPr="00E224E9" w:rsidRDefault="001B4854" w:rsidP="001B4854">
      <w:pPr>
        <w:spacing w:line="440" w:lineRule="exact"/>
        <w:ind w:leftChars="300" w:left="780"/>
        <w:jc w:val="both"/>
        <w:rPr>
          <w:rFonts w:ascii="Book Antiqua" w:hAnsi="標楷體"/>
          <w:color w:val="000000" w:themeColor="text1"/>
          <w:sz w:val="24"/>
        </w:rPr>
      </w:pPr>
      <w:r w:rsidRPr="00E224E9">
        <w:rPr>
          <w:rFonts w:ascii="Book Antiqua" w:hAnsi="標楷體" w:hint="eastAsia"/>
          <w:color w:val="000000" w:themeColor="text1"/>
          <w:sz w:val="24"/>
        </w:rPr>
        <w:t>同「第</w:t>
      </w:r>
      <w:r w:rsidRPr="00E224E9">
        <w:rPr>
          <w:rFonts w:ascii="Book Antiqua" w:hAnsi="標楷體"/>
          <w:color w:val="000000" w:themeColor="text1"/>
          <w:sz w:val="24"/>
        </w:rPr>
        <w:t>207</w:t>
      </w:r>
      <w:r w:rsidRPr="00E224E9">
        <w:rPr>
          <w:rFonts w:ascii="Book Antiqua" w:hAnsi="標楷體" w:hint="eastAsia"/>
          <w:color w:val="000000" w:themeColor="text1"/>
          <w:sz w:val="24"/>
        </w:rPr>
        <w:t>列」定義。</w:t>
      </w:r>
    </w:p>
    <w:p w14:paraId="38CB8D46" w14:textId="77777777" w:rsidR="0060748C" w:rsidRPr="00E224E9" w:rsidRDefault="0060748C" w:rsidP="0060748C">
      <w:pPr>
        <w:spacing w:line="440" w:lineRule="exact"/>
        <w:ind w:leftChars="300" w:left="780"/>
        <w:jc w:val="both"/>
        <w:rPr>
          <w:rFonts w:ascii="Book Antiqua" w:hAnsi="標楷體"/>
          <w:color w:val="000000" w:themeColor="text1"/>
          <w:sz w:val="24"/>
        </w:rPr>
      </w:pPr>
      <w:r w:rsidRPr="00E224E9">
        <w:rPr>
          <w:rFonts w:ascii="Book Antiqua" w:hAnsi="標楷體"/>
          <w:color w:val="000000" w:themeColor="text1"/>
          <w:sz w:val="24"/>
        </w:rPr>
        <w:t>本列之金額為第</w:t>
      </w:r>
      <w:r w:rsidR="007143E9" w:rsidRPr="00E224E9">
        <w:rPr>
          <w:rFonts w:ascii="Book Antiqua" w:hAnsi="標楷體" w:hint="eastAsia"/>
          <w:color w:val="000000" w:themeColor="text1"/>
          <w:sz w:val="24"/>
        </w:rPr>
        <w:t>219</w:t>
      </w:r>
      <w:r w:rsidRPr="00E224E9">
        <w:rPr>
          <w:rFonts w:ascii="Book Antiqua" w:hAnsi="標楷體"/>
          <w:color w:val="000000" w:themeColor="text1"/>
          <w:sz w:val="24"/>
        </w:rPr>
        <w:t>列具控制與從屬關係與第</w:t>
      </w:r>
      <w:r w:rsidR="007143E9" w:rsidRPr="00E224E9">
        <w:rPr>
          <w:rFonts w:ascii="Book Antiqua" w:hAnsi="標楷體" w:hint="eastAsia"/>
          <w:color w:val="000000" w:themeColor="text1"/>
          <w:sz w:val="24"/>
        </w:rPr>
        <w:t>220</w:t>
      </w:r>
      <w:r w:rsidRPr="00E224E9">
        <w:rPr>
          <w:rFonts w:ascii="Book Antiqua" w:hAnsi="標楷體"/>
          <w:color w:val="000000" w:themeColor="text1"/>
          <w:sz w:val="24"/>
        </w:rPr>
        <w:t>列非控制與從屬關係兩列之加總。</w:t>
      </w:r>
    </w:p>
    <w:p w14:paraId="73F7779D"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43E9" w:rsidRPr="00E224E9">
        <w:rPr>
          <w:rFonts w:ascii="Book Antiqua" w:hAnsi="標楷體" w:hint="eastAsia"/>
          <w:color w:val="000000" w:themeColor="text1"/>
          <w:sz w:val="24"/>
        </w:rPr>
        <w:t>221</w:t>
      </w:r>
      <w:r w:rsidRPr="00E224E9">
        <w:rPr>
          <w:rFonts w:ascii="Book Antiqua" w:hAnsi="標楷體"/>
          <w:color w:val="000000" w:themeColor="text1"/>
          <w:sz w:val="24"/>
        </w:rPr>
        <w:t>列－其他專案運用公共及社會福利事業投資</w:t>
      </w:r>
    </w:p>
    <w:p w14:paraId="77B4C349" w14:textId="10243B9A"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本列為除政策性、創投、股票</w:t>
      </w:r>
      <w:r w:rsidR="004C53CA" w:rsidRPr="00E224E9">
        <w:rPr>
          <w:rFonts w:ascii="Book Antiqua" w:hAnsi="標楷體" w:hint="eastAsia"/>
          <w:color w:val="000000" w:themeColor="text1"/>
          <w:sz w:val="24"/>
        </w:rPr>
        <w:t>、</w:t>
      </w:r>
      <w:r w:rsidRPr="00E224E9">
        <w:rPr>
          <w:rFonts w:ascii="Book Antiqua" w:hAnsi="標楷體"/>
          <w:color w:val="000000" w:themeColor="text1"/>
          <w:sz w:val="24"/>
        </w:rPr>
        <w:t>放款</w:t>
      </w:r>
      <w:r w:rsidR="004C53CA" w:rsidRPr="00E224E9">
        <w:rPr>
          <w:rFonts w:ascii="Book Antiqua" w:hAnsi="標楷體" w:hint="eastAsia"/>
          <w:color w:val="000000" w:themeColor="text1"/>
          <w:sz w:val="24"/>
        </w:rPr>
        <w:t>及「公共投資、</w:t>
      </w:r>
      <w:r w:rsidR="004C53CA" w:rsidRPr="00E224E9">
        <w:rPr>
          <w:rFonts w:ascii="Book Antiqua" w:hAnsi="標楷體"/>
          <w:color w:val="000000" w:themeColor="text1"/>
          <w:sz w:val="24"/>
        </w:rPr>
        <w:t>5+2</w:t>
      </w:r>
      <w:r w:rsidR="004C53CA" w:rsidRPr="00E224E9">
        <w:rPr>
          <w:rFonts w:ascii="Book Antiqua" w:hAnsi="標楷體" w:hint="eastAsia"/>
          <w:color w:val="000000" w:themeColor="text1"/>
          <w:sz w:val="24"/>
        </w:rPr>
        <w:t>及六大核心產業」</w:t>
      </w:r>
      <w:r w:rsidRPr="00E224E9">
        <w:rPr>
          <w:rFonts w:ascii="Book Antiqua" w:hAnsi="標楷體"/>
          <w:color w:val="000000" w:themeColor="text1"/>
          <w:sz w:val="24"/>
        </w:rPr>
        <w:t>以外之專案運用公共及社會福利事業投資合計金額。</w:t>
      </w:r>
    </w:p>
    <w:p w14:paraId="6CB4AE18"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7143E9" w:rsidRPr="00E224E9">
        <w:rPr>
          <w:rFonts w:ascii="Book Antiqua" w:hAnsi="標楷體" w:hint="eastAsia"/>
          <w:color w:val="000000" w:themeColor="text1"/>
          <w:sz w:val="24"/>
        </w:rPr>
        <w:t>222</w:t>
      </w:r>
      <w:r w:rsidRPr="00E224E9">
        <w:rPr>
          <w:rFonts w:ascii="Book Antiqua" w:hAnsi="標楷體"/>
          <w:color w:val="000000" w:themeColor="text1"/>
          <w:sz w:val="24"/>
        </w:rPr>
        <w:t>列具控制與從屬關係與第</w:t>
      </w:r>
      <w:r w:rsidR="007143E9" w:rsidRPr="00E224E9">
        <w:rPr>
          <w:rFonts w:ascii="Book Antiqua" w:hAnsi="標楷體" w:hint="eastAsia"/>
          <w:color w:val="000000" w:themeColor="text1"/>
          <w:sz w:val="24"/>
        </w:rPr>
        <w:t>223</w:t>
      </w:r>
      <w:r w:rsidRPr="00E224E9">
        <w:rPr>
          <w:rFonts w:ascii="Book Antiqua" w:hAnsi="標楷體"/>
          <w:color w:val="000000" w:themeColor="text1"/>
          <w:sz w:val="24"/>
        </w:rPr>
        <w:t>列非控制與從屬關係兩列之加總。</w:t>
      </w:r>
    </w:p>
    <w:p w14:paraId="6A87C22E"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43E9" w:rsidRPr="00E224E9">
        <w:rPr>
          <w:rFonts w:ascii="Book Antiqua" w:hAnsi="標楷體" w:hint="eastAsia"/>
          <w:color w:val="000000" w:themeColor="text1"/>
          <w:sz w:val="24"/>
        </w:rPr>
        <w:t>224</w:t>
      </w:r>
      <w:r w:rsidRPr="00E224E9">
        <w:rPr>
          <w:rFonts w:ascii="Book Antiqua" w:hAnsi="標楷體"/>
          <w:color w:val="000000" w:themeColor="text1"/>
          <w:sz w:val="24"/>
        </w:rPr>
        <w:t>列－專案運用及公共投資合計</w:t>
      </w:r>
    </w:p>
    <w:p w14:paraId="75315B77"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1</w:t>
      </w:r>
      <w:r w:rsidR="005E1082" w:rsidRPr="00E224E9">
        <w:rPr>
          <w:rFonts w:ascii="Book Antiqua" w:hAnsi="Book Antiqua" w:hint="eastAsia"/>
          <w:color w:val="000000" w:themeColor="text1"/>
          <w:sz w:val="24"/>
        </w:rPr>
        <w:t>98</w:t>
      </w:r>
      <w:r w:rsidRPr="00E224E9">
        <w:rPr>
          <w:rFonts w:ascii="Book Antiqua" w:hAnsi="標楷體"/>
          <w:color w:val="000000" w:themeColor="text1"/>
          <w:sz w:val="24"/>
        </w:rPr>
        <w:t>列及第</w:t>
      </w:r>
      <w:r w:rsidR="005E1082" w:rsidRPr="00E224E9">
        <w:rPr>
          <w:rFonts w:ascii="Book Antiqua" w:hAnsi="Book Antiqua" w:hint="eastAsia"/>
          <w:color w:val="000000" w:themeColor="text1"/>
          <w:sz w:val="24"/>
        </w:rPr>
        <w:t>209</w:t>
      </w:r>
      <w:r w:rsidRPr="00E224E9">
        <w:rPr>
          <w:rFonts w:ascii="Book Antiqua" w:hAnsi="標楷體"/>
          <w:color w:val="000000" w:themeColor="text1"/>
          <w:sz w:val="24"/>
        </w:rPr>
        <w:t>列之加總。</w:t>
      </w:r>
    </w:p>
    <w:p w14:paraId="018ECEA2"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七、其他投資</w:t>
      </w:r>
    </w:p>
    <w:p w14:paraId="5E99CDA1"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為配合資本適足性報表分類，茲將其他投資依被投資對象分為非關係人與關係人兩大類。</w:t>
      </w:r>
    </w:p>
    <w:p w14:paraId="4D727CD8"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其他投資為上述七大類以外的資金運用項目。</w:t>
      </w:r>
    </w:p>
    <w:p w14:paraId="3C2C4A3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43E9" w:rsidRPr="00E224E9">
        <w:rPr>
          <w:rFonts w:ascii="Book Antiqua" w:hAnsi="標楷體" w:hint="eastAsia"/>
          <w:color w:val="000000" w:themeColor="text1"/>
          <w:sz w:val="24"/>
        </w:rPr>
        <w:t>225</w:t>
      </w:r>
      <w:r w:rsidRPr="00E224E9">
        <w:rPr>
          <w:rFonts w:ascii="Book Antiqua" w:hAnsi="標楷體"/>
          <w:color w:val="000000" w:themeColor="text1"/>
          <w:sz w:val="24"/>
        </w:rPr>
        <w:t>列－關係人其他投資</w:t>
      </w:r>
    </w:p>
    <w:p w14:paraId="0A287228" w14:textId="77777777" w:rsidR="003477BF" w:rsidRPr="00E224E9" w:rsidRDefault="003477BF" w:rsidP="003477BF">
      <w:pPr>
        <w:spacing w:line="440" w:lineRule="exact"/>
        <w:ind w:leftChars="375" w:left="975"/>
        <w:jc w:val="both"/>
        <w:rPr>
          <w:rFonts w:ascii="Book Antiqua" w:hAnsi="Book Antiqua"/>
          <w:color w:val="000000" w:themeColor="text1"/>
          <w:sz w:val="24"/>
        </w:rPr>
      </w:pPr>
      <w:r w:rsidRPr="00E224E9">
        <w:rPr>
          <w:rFonts w:ascii="Book Antiqua" w:hAnsi="標楷體"/>
          <w:color w:val="000000" w:themeColor="text1"/>
          <w:sz w:val="24"/>
        </w:rPr>
        <w:lastRenderedPageBreak/>
        <w:t>本列之金額為第</w:t>
      </w:r>
      <w:r w:rsidR="007143E9" w:rsidRPr="00E224E9">
        <w:rPr>
          <w:rFonts w:ascii="Book Antiqua" w:hAnsi="標楷體" w:hint="eastAsia"/>
          <w:color w:val="000000" w:themeColor="text1"/>
          <w:sz w:val="24"/>
        </w:rPr>
        <w:t>226</w:t>
      </w:r>
      <w:r w:rsidRPr="00E224E9">
        <w:rPr>
          <w:rFonts w:ascii="Book Antiqua" w:hAnsi="標楷體"/>
          <w:color w:val="000000" w:themeColor="text1"/>
          <w:sz w:val="24"/>
        </w:rPr>
        <w:t>列具控制與從屬關係與第</w:t>
      </w:r>
      <w:r w:rsidR="007143E9" w:rsidRPr="00E224E9">
        <w:rPr>
          <w:rFonts w:ascii="Book Antiqua" w:hAnsi="標楷體" w:hint="eastAsia"/>
          <w:color w:val="000000" w:themeColor="text1"/>
          <w:sz w:val="24"/>
        </w:rPr>
        <w:t>230</w:t>
      </w:r>
      <w:r w:rsidRPr="00E224E9">
        <w:rPr>
          <w:rFonts w:ascii="Book Antiqua" w:hAnsi="標楷體"/>
          <w:color w:val="000000" w:themeColor="text1"/>
          <w:sz w:val="24"/>
        </w:rPr>
        <w:t>列非控制與從屬關係兩列之加總。</w:t>
      </w:r>
    </w:p>
    <w:p w14:paraId="4CB02F43"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43E9" w:rsidRPr="00E224E9">
        <w:rPr>
          <w:rFonts w:ascii="Book Antiqua" w:hAnsi="標楷體" w:hint="eastAsia"/>
          <w:color w:val="000000" w:themeColor="text1"/>
          <w:sz w:val="24"/>
        </w:rPr>
        <w:t>234</w:t>
      </w:r>
      <w:r w:rsidRPr="00E224E9">
        <w:rPr>
          <w:rFonts w:ascii="Book Antiqua" w:hAnsi="標楷體"/>
          <w:color w:val="000000" w:themeColor="text1"/>
          <w:sz w:val="24"/>
        </w:rPr>
        <w:t>列－非關係人其他投資</w:t>
      </w:r>
    </w:p>
    <w:p w14:paraId="1E12092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標楷體"/>
          <w:color w:val="000000" w:themeColor="text1"/>
          <w:sz w:val="24"/>
        </w:rPr>
        <w:t>本列之金額為第</w:t>
      </w:r>
      <w:r w:rsidR="007143E9" w:rsidRPr="00E224E9">
        <w:rPr>
          <w:rFonts w:ascii="Book Antiqua" w:hAnsi="標楷體" w:hint="eastAsia"/>
          <w:color w:val="000000" w:themeColor="text1"/>
          <w:sz w:val="24"/>
        </w:rPr>
        <w:t>235</w:t>
      </w:r>
      <w:r w:rsidRPr="00E224E9">
        <w:rPr>
          <w:rFonts w:ascii="Book Antiqua" w:hAnsi="標楷體"/>
          <w:color w:val="000000" w:themeColor="text1"/>
          <w:sz w:val="24"/>
        </w:rPr>
        <w:t>列至第</w:t>
      </w:r>
      <w:r w:rsidRPr="00E224E9">
        <w:rPr>
          <w:rFonts w:ascii="Book Antiqua" w:hAnsi="Book Antiqua"/>
          <w:color w:val="000000" w:themeColor="text1"/>
          <w:sz w:val="24"/>
        </w:rPr>
        <w:t>2</w:t>
      </w:r>
      <w:r w:rsidR="007143E9" w:rsidRPr="00E224E9">
        <w:rPr>
          <w:rFonts w:ascii="Book Antiqua" w:hAnsi="Book Antiqua" w:hint="eastAsia"/>
          <w:color w:val="000000" w:themeColor="text1"/>
          <w:sz w:val="24"/>
        </w:rPr>
        <w:t>37</w:t>
      </w:r>
      <w:r w:rsidRPr="00E224E9">
        <w:rPr>
          <w:rFonts w:ascii="Book Antiqua" w:hAnsi="標楷體"/>
          <w:color w:val="000000" w:themeColor="text1"/>
          <w:sz w:val="24"/>
        </w:rPr>
        <w:t>列之加總。</w:t>
      </w:r>
    </w:p>
    <w:p w14:paraId="34F65258"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3B4609" w:rsidRPr="00E224E9">
        <w:rPr>
          <w:rFonts w:ascii="Book Antiqua" w:hAnsi="Book Antiqua" w:hint="eastAsia"/>
          <w:color w:val="000000" w:themeColor="text1"/>
          <w:sz w:val="24"/>
        </w:rPr>
        <w:t>38</w:t>
      </w:r>
      <w:r w:rsidRPr="00E224E9">
        <w:rPr>
          <w:rFonts w:ascii="Book Antiqua" w:hAnsi="標楷體"/>
          <w:color w:val="000000" w:themeColor="text1"/>
          <w:sz w:val="24"/>
        </w:rPr>
        <w:t>列－其他投資合計</w:t>
      </w:r>
    </w:p>
    <w:p w14:paraId="68C1DBB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3B4609" w:rsidRPr="00E224E9">
        <w:rPr>
          <w:rFonts w:ascii="Book Antiqua" w:hAnsi="標楷體" w:hint="eastAsia"/>
          <w:color w:val="000000" w:themeColor="text1"/>
          <w:sz w:val="24"/>
        </w:rPr>
        <w:t>225</w:t>
      </w:r>
      <w:r w:rsidRPr="00E224E9">
        <w:rPr>
          <w:rFonts w:ascii="Book Antiqua" w:hAnsi="標楷體"/>
          <w:color w:val="000000" w:themeColor="text1"/>
          <w:sz w:val="24"/>
        </w:rPr>
        <w:t>列關係人其他投資與第</w:t>
      </w:r>
      <w:r w:rsidR="003B4609" w:rsidRPr="00E224E9">
        <w:rPr>
          <w:rFonts w:ascii="Book Antiqua" w:hAnsi="標楷體" w:hint="eastAsia"/>
          <w:color w:val="000000" w:themeColor="text1"/>
          <w:sz w:val="24"/>
        </w:rPr>
        <w:t>234</w:t>
      </w:r>
      <w:r w:rsidRPr="00E224E9">
        <w:rPr>
          <w:rFonts w:ascii="Book Antiqua" w:hAnsi="標楷體"/>
          <w:color w:val="000000" w:themeColor="text1"/>
          <w:sz w:val="24"/>
        </w:rPr>
        <w:t>列非關係人其他投資兩列之加總。</w:t>
      </w:r>
    </w:p>
    <w:p w14:paraId="70183029"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B4609" w:rsidRPr="00E224E9">
        <w:rPr>
          <w:rFonts w:ascii="Book Antiqua" w:hAnsi="標楷體" w:hint="eastAsia"/>
          <w:color w:val="000000" w:themeColor="text1"/>
          <w:sz w:val="24"/>
        </w:rPr>
        <w:t>239</w:t>
      </w:r>
      <w:r w:rsidRPr="00E224E9">
        <w:rPr>
          <w:rFonts w:ascii="Book Antiqua" w:hAnsi="標楷體"/>
          <w:color w:val="000000" w:themeColor="text1"/>
          <w:sz w:val="24"/>
        </w:rPr>
        <w:t>列－資金運用總計</w:t>
      </w:r>
    </w:p>
    <w:p w14:paraId="6AFC85C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6</w:t>
      </w:r>
      <w:r w:rsidRPr="00E224E9">
        <w:rPr>
          <w:rFonts w:ascii="Book Antiqua" w:hAnsi="標楷體"/>
          <w:color w:val="000000" w:themeColor="text1"/>
          <w:sz w:val="24"/>
        </w:rPr>
        <w:t>列、第</w:t>
      </w:r>
      <w:r w:rsidR="003B4609" w:rsidRPr="00E224E9">
        <w:rPr>
          <w:rFonts w:ascii="Book Antiqua" w:hAnsi="標楷體" w:hint="eastAsia"/>
          <w:color w:val="000000" w:themeColor="text1"/>
          <w:sz w:val="24"/>
        </w:rPr>
        <w:t>76</w:t>
      </w:r>
      <w:r w:rsidRPr="00E224E9">
        <w:rPr>
          <w:rFonts w:ascii="Book Antiqua" w:hAnsi="標楷體"/>
          <w:color w:val="000000" w:themeColor="text1"/>
          <w:sz w:val="24"/>
        </w:rPr>
        <w:t>列、第</w:t>
      </w:r>
      <w:r w:rsidR="003B4609" w:rsidRPr="00E224E9">
        <w:rPr>
          <w:rFonts w:ascii="Book Antiqua" w:hAnsi="標楷體" w:hint="eastAsia"/>
          <w:color w:val="000000" w:themeColor="text1"/>
          <w:sz w:val="24"/>
        </w:rPr>
        <w:t>93</w:t>
      </w:r>
      <w:r w:rsidRPr="00E224E9">
        <w:rPr>
          <w:rFonts w:ascii="Book Antiqua" w:hAnsi="標楷體"/>
          <w:color w:val="000000" w:themeColor="text1"/>
          <w:sz w:val="24"/>
        </w:rPr>
        <w:t>列、第</w:t>
      </w:r>
      <w:r w:rsidR="003B4609" w:rsidRPr="00E224E9">
        <w:rPr>
          <w:rFonts w:ascii="Book Antiqua" w:hAnsi="標楷體" w:hint="eastAsia"/>
          <w:color w:val="000000" w:themeColor="text1"/>
          <w:sz w:val="24"/>
        </w:rPr>
        <w:t>104</w:t>
      </w:r>
      <w:r w:rsidRPr="00E224E9">
        <w:rPr>
          <w:rFonts w:ascii="Book Antiqua" w:hAnsi="標楷體"/>
          <w:color w:val="000000" w:themeColor="text1"/>
          <w:sz w:val="24"/>
        </w:rPr>
        <w:t>列、第</w:t>
      </w:r>
      <w:r w:rsidRPr="00E224E9">
        <w:rPr>
          <w:rFonts w:ascii="Book Antiqua" w:hAnsi="Book Antiqua"/>
          <w:color w:val="000000" w:themeColor="text1"/>
          <w:sz w:val="24"/>
        </w:rPr>
        <w:t>1</w:t>
      </w:r>
      <w:r w:rsidR="003B4609" w:rsidRPr="00E224E9">
        <w:rPr>
          <w:rFonts w:ascii="Book Antiqua" w:hAnsi="Book Antiqua" w:hint="eastAsia"/>
          <w:color w:val="000000" w:themeColor="text1"/>
          <w:sz w:val="24"/>
        </w:rPr>
        <w:t>97</w:t>
      </w:r>
      <w:r w:rsidRPr="00E224E9">
        <w:rPr>
          <w:rFonts w:ascii="Book Antiqua" w:hAnsi="標楷體"/>
          <w:color w:val="000000" w:themeColor="text1"/>
          <w:sz w:val="24"/>
        </w:rPr>
        <w:t>列、第</w:t>
      </w:r>
      <w:r w:rsidR="003B4609" w:rsidRPr="00E224E9">
        <w:rPr>
          <w:rFonts w:ascii="Book Antiqua" w:hAnsi="標楷體" w:hint="eastAsia"/>
          <w:color w:val="000000" w:themeColor="text1"/>
          <w:sz w:val="24"/>
        </w:rPr>
        <w:t>224</w:t>
      </w:r>
      <w:r w:rsidRPr="00E224E9">
        <w:rPr>
          <w:rFonts w:ascii="Book Antiqua" w:hAnsi="標楷體"/>
          <w:color w:val="000000" w:themeColor="text1"/>
          <w:sz w:val="24"/>
        </w:rPr>
        <w:t>列以及第</w:t>
      </w:r>
      <w:r w:rsidRPr="00E224E9">
        <w:rPr>
          <w:rFonts w:ascii="Book Antiqua" w:hAnsi="Book Antiqua"/>
          <w:color w:val="000000" w:themeColor="text1"/>
          <w:sz w:val="24"/>
        </w:rPr>
        <w:t>2</w:t>
      </w:r>
      <w:r w:rsidR="003B4609" w:rsidRPr="00E224E9">
        <w:rPr>
          <w:rFonts w:ascii="Book Antiqua" w:hAnsi="Book Antiqua" w:hint="eastAsia"/>
          <w:color w:val="000000" w:themeColor="text1"/>
          <w:sz w:val="24"/>
        </w:rPr>
        <w:t>38</w:t>
      </w:r>
      <w:r w:rsidRPr="00E224E9">
        <w:rPr>
          <w:rFonts w:ascii="Book Antiqua" w:hAnsi="標楷體"/>
          <w:color w:val="000000" w:themeColor="text1"/>
          <w:sz w:val="24"/>
        </w:rPr>
        <w:t>列之加總。</w:t>
      </w:r>
    </w:p>
    <w:p w14:paraId="2477736F" w14:textId="3B8F75C0" w:rsidR="005E38F9" w:rsidRPr="00E224E9" w:rsidRDefault="003477BF" w:rsidP="005E38F9">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501936" w:rsidRPr="00E224E9">
        <w:rPr>
          <w:rFonts w:ascii="Book Antiqua" w:hAnsi="Book Antiqua" w:hint="eastAsia"/>
          <w:color w:val="000000" w:themeColor="text1"/>
          <w:sz w:val="24"/>
        </w:rPr>
        <w:t>40</w:t>
      </w:r>
      <w:r w:rsidRPr="00E224E9">
        <w:rPr>
          <w:rFonts w:ascii="Book Antiqua" w:hAnsi="標楷體"/>
          <w:color w:val="000000" w:themeColor="text1"/>
          <w:sz w:val="24"/>
        </w:rPr>
        <w:t>列－</w:t>
      </w:r>
      <w:r w:rsidR="005E38F9" w:rsidRPr="00E224E9">
        <w:rPr>
          <w:rFonts w:ascii="Book Antiqua" w:hAnsi="標楷體"/>
          <w:color w:val="000000" w:themeColor="text1"/>
          <w:sz w:val="24"/>
        </w:rPr>
        <w:t>自有資金</w:t>
      </w:r>
      <w:r w:rsidR="005E38F9" w:rsidRPr="00E224E9">
        <w:rPr>
          <w:rFonts w:ascii="Book Antiqua" w:hAnsi="Book Antiqua"/>
          <w:color w:val="000000" w:themeColor="text1"/>
          <w:sz w:val="24"/>
        </w:rPr>
        <w:t>(</w:t>
      </w:r>
      <w:r w:rsidR="005E38F9" w:rsidRPr="00E224E9">
        <w:rPr>
          <w:rFonts w:ascii="Book Antiqua" w:hAnsi="標楷體"/>
          <w:color w:val="000000" w:themeColor="text1"/>
          <w:sz w:val="24"/>
        </w:rPr>
        <w:t>業主權益</w:t>
      </w:r>
      <w:r w:rsidR="008D0116" w:rsidRPr="00E224E9">
        <w:rPr>
          <w:rFonts w:ascii="Book Antiqua" w:hAnsi="標楷體" w:hint="eastAsia"/>
          <w:color w:val="000000" w:themeColor="text1"/>
          <w:sz w:val="24"/>
        </w:rPr>
        <w:t>，包括保險業依法發行之具資本性質債券及負債型特別股</w:t>
      </w:r>
      <w:r w:rsidR="005E38F9" w:rsidRPr="00E224E9">
        <w:rPr>
          <w:rFonts w:ascii="Book Antiqua" w:hAnsi="Book Antiqua"/>
          <w:color w:val="000000" w:themeColor="text1"/>
          <w:sz w:val="24"/>
        </w:rPr>
        <w:t>)</w:t>
      </w:r>
    </w:p>
    <w:p w14:paraId="2AC690C1" w14:textId="55BF4C3A" w:rsidR="003477BF" w:rsidRPr="00E224E9" w:rsidRDefault="005E38F9" w:rsidP="005E38F9">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欄、第</w:t>
      </w:r>
      <w:r w:rsidRPr="00E224E9">
        <w:rPr>
          <w:rFonts w:ascii="Book Antiqua" w:hAnsi="Book Antiqua"/>
          <w:color w:val="000000" w:themeColor="text1"/>
          <w:sz w:val="24"/>
        </w:rPr>
        <w:t>(4)</w:t>
      </w:r>
      <w:r w:rsidRPr="00E224E9">
        <w:rPr>
          <w:rFonts w:ascii="Book Antiqua" w:hAnsi="標楷體"/>
          <w:color w:val="000000" w:themeColor="text1"/>
          <w:sz w:val="24"/>
        </w:rPr>
        <w:t>欄及第</w:t>
      </w:r>
      <w:r w:rsidRPr="00E224E9">
        <w:rPr>
          <w:rFonts w:ascii="Book Antiqua" w:hAnsi="Book Antiqua"/>
          <w:color w:val="000000" w:themeColor="text1"/>
          <w:sz w:val="24"/>
        </w:rPr>
        <w:t>(5)</w:t>
      </w:r>
      <w:r w:rsidRPr="00E224E9">
        <w:rPr>
          <w:rFonts w:ascii="Book Antiqua" w:hAnsi="標楷體"/>
          <w:color w:val="000000" w:themeColor="text1"/>
          <w:sz w:val="24"/>
        </w:rPr>
        <w:t>欄之金額應分別與表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，第</w:t>
      </w:r>
      <w:r w:rsidRPr="00E224E9">
        <w:rPr>
          <w:rFonts w:ascii="Book Antiqua" w:hAnsi="Book Antiqua"/>
          <w:color w:val="000000" w:themeColor="text1"/>
          <w:sz w:val="24"/>
        </w:rPr>
        <w:t>(</w:t>
      </w:r>
      <w:r w:rsidRPr="00E224E9">
        <w:rPr>
          <w:rFonts w:ascii="Book Antiqua" w:hAnsi="Book Antiqua" w:hint="eastAsia"/>
          <w:color w:val="000000" w:themeColor="text1"/>
          <w:sz w:val="24"/>
        </w:rPr>
        <w:t>90</w:t>
      </w:r>
      <w:r w:rsidRPr="00E224E9">
        <w:rPr>
          <w:rFonts w:ascii="Book Antiqua" w:hAnsi="Book Antiqua"/>
          <w:color w:val="000000" w:themeColor="text1"/>
          <w:sz w:val="24"/>
        </w:rPr>
        <w:t>)</w:t>
      </w:r>
      <w:r w:rsidRPr="00E224E9">
        <w:rPr>
          <w:rFonts w:ascii="Book Antiqua" w:hAnsi="標楷體"/>
          <w:color w:val="000000" w:themeColor="text1"/>
          <w:sz w:val="24"/>
        </w:rPr>
        <w:t>列第</w:t>
      </w:r>
      <w:r w:rsidRPr="00E224E9">
        <w:rPr>
          <w:rFonts w:ascii="Book Antiqua" w:hAnsi="Book Antiqua"/>
          <w:color w:val="000000" w:themeColor="text1"/>
          <w:sz w:val="24"/>
        </w:rPr>
        <w:t>(14)</w:t>
      </w:r>
      <w:r w:rsidRPr="00E224E9">
        <w:rPr>
          <w:rFonts w:ascii="Book Antiqua" w:hAnsi="標楷體"/>
          <w:color w:val="000000" w:themeColor="text1"/>
          <w:sz w:val="24"/>
        </w:rPr>
        <w:t>欄</w:t>
      </w:r>
      <w:r w:rsidR="008D0116" w:rsidRPr="00E224E9">
        <w:rPr>
          <w:rFonts w:ascii="Book Antiqua" w:hAnsi="標楷體" w:hint="eastAsia"/>
          <w:color w:val="000000" w:themeColor="text1"/>
          <w:sz w:val="24"/>
        </w:rPr>
        <w:t>加計保險業依法發行之具資本性質債券及負債型特別股</w:t>
      </w:r>
      <w:r w:rsidRPr="00E224E9">
        <w:rPr>
          <w:rFonts w:ascii="Book Antiqua" w:hAnsi="標楷體"/>
          <w:color w:val="000000" w:themeColor="text1"/>
          <w:sz w:val="24"/>
        </w:rPr>
        <w:t>、第</w:t>
      </w:r>
      <w:r w:rsidRPr="00E224E9">
        <w:rPr>
          <w:rFonts w:ascii="Book Antiqua" w:hAnsi="Book Antiqua"/>
          <w:color w:val="000000" w:themeColor="text1"/>
          <w:sz w:val="24"/>
        </w:rPr>
        <w:t>(</w:t>
      </w:r>
      <w:r w:rsidRPr="00E224E9">
        <w:rPr>
          <w:rFonts w:ascii="Book Antiqua" w:hAnsi="Book Antiqua" w:hint="eastAsia"/>
          <w:color w:val="000000" w:themeColor="text1"/>
          <w:sz w:val="24"/>
        </w:rPr>
        <w:t>91</w:t>
      </w:r>
      <w:r w:rsidRPr="00E224E9">
        <w:rPr>
          <w:rFonts w:ascii="Book Antiqua" w:hAnsi="Book Antiqua"/>
          <w:color w:val="000000" w:themeColor="text1"/>
          <w:sz w:val="24"/>
        </w:rPr>
        <w:t>)</w:t>
      </w:r>
      <w:r w:rsidRPr="00E224E9">
        <w:rPr>
          <w:rFonts w:ascii="Book Antiqua" w:hAnsi="標楷體"/>
          <w:color w:val="000000" w:themeColor="text1"/>
          <w:sz w:val="24"/>
        </w:rPr>
        <w:t>列至第</w:t>
      </w:r>
      <w:r w:rsidRPr="00E224E9">
        <w:rPr>
          <w:rFonts w:ascii="Book Antiqua" w:hAnsi="Book Antiqua"/>
          <w:color w:val="000000" w:themeColor="text1"/>
          <w:sz w:val="24"/>
        </w:rPr>
        <w:t>(</w:t>
      </w:r>
      <w:r w:rsidRPr="00E224E9">
        <w:rPr>
          <w:rFonts w:ascii="Book Antiqua" w:hAnsi="Book Antiqua" w:hint="eastAsia"/>
          <w:color w:val="000000" w:themeColor="text1"/>
          <w:sz w:val="24"/>
        </w:rPr>
        <w:t>93</w:t>
      </w:r>
      <w:r w:rsidRPr="00E224E9">
        <w:rPr>
          <w:rFonts w:ascii="Book Antiqua" w:hAnsi="Book Antiqua"/>
          <w:color w:val="000000" w:themeColor="text1"/>
          <w:sz w:val="24"/>
        </w:rPr>
        <w:t>)</w:t>
      </w:r>
      <w:r w:rsidRPr="00E224E9">
        <w:rPr>
          <w:rFonts w:ascii="Book Antiqua" w:hAnsi="標楷體"/>
          <w:color w:val="000000" w:themeColor="text1"/>
          <w:sz w:val="24"/>
        </w:rPr>
        <w:t>列第</w:t>
      </w:r>
      <w:r w:rsidRPr="00E224E9">
        <w:rPr>
          <w:rFonts w:ascii="Book Antiqua" w:hAnsi="Book Antiqua"/>
          <w:color w:val="000000" w:themeColor="text1"/>
          <w:sz w:val="24"/>
        </w:rPr>
        <w:t>(14)</w:t>
      </w:r>
      <w:r w:rsidRPr="00E224E9">
        <w:rPr>
          <w:rFonts w:ascii="Book Antiqua" w:hAnsi="標楷體"/>
          <w:color w:val="000000" w:themeColor="text1"/>
          <w:sz w:val="24"/>
        </w:rPr>
        <w:t>欄加總之和，以及第</w:t>
      </w:r>
      <w:r w:rsidRPr="00E224E9">
        <w:rPr>
          <w:rFonts w:ascii="Book Antiqua" w:hAnsi="Book Antiqua"/>
          <w:color w:val="000000" w:themeColor="text1"/>
          <w:sz w:val="24"/>
        </w:rPr>
        <w:t>(</w:t>
      </w:r>
      <w:r w:rsidRPr="00E224E9">
        <w:rPr>
          <w:rFonts w:ascii="Book Antiqua" w:hAnsi="Book Antiqua" w:hint="eastAsia"/>
          <w:color w:val="000000" w:themeColor="text1"/>
          <w:sz w:val="24"/>
        </w:rPr>
        <w:t>95</w:t>
      </w:r>
      <w:r w:rsidRPr="00E224E9">
        <w:rPr>
          <w:rFonts w:ascii="Book Antiqua" w:hAnsi="Book Antiqua"/>
          <w:color w:val="000000" w:themeColor="text1"/>
          <w:sz w:val="24"/>
        </w:rPr>
        <w:t>)</w:t>
      </w:r>
      <w:r w:rsidRPr="00E224E9">
        <w:rPr>
          <w:rFonts w:ascii="Book Antiqua" w:hAnsi="標楷體"/>
          <w:color w:val="000000" w:themeColor="text1"/>
          <w:sz w:val="24"/>
        </w:rPr>
        <w:t>列第</w:t>
      </w:r>
      <w:r w:rsidRPr="00E224E9">
        <w:rPr>
          <w:rFonts w:ascii="Book Antiqua" w:hAnsi="Book Antiqua"/>
          <w:color w:val="000000" w:themeColor="text1"/>
          <w:sz w:val="24"/>
        </w:rPr>
        <w:t>(14)</w:t>
      </w:r>
      <w:r w:rsidRPr="00E224E9">
        <w:rPr>
          <w:rFonts w:ascii="Book Antiqua" w:hAnsi="標楷體"/>
          <w:color w:val="000000" w:themeColor="text1"/>
          <w:sz w:val="24"/>
        </w:rPr>
        <w:t>欄之金額相一致。</w:t>
      </w:r>
    </w:p>
    <w:p w14:paraId="1EAC0D90" w14:textId="77777777" w:rsidR="003477BF" w:rsidRPr="00E224E9" w:rsidRDefault="003477BF" w:rsidP="003477BF">
      <w:pPr>
        <w:spacing w:line="440" w:lineRule="exact"/>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標楷體"/>
          <w:color w:val="000000" w:themeColor="text1"/>
          <w:sz w:val="24"/>
        </w:rPr>
        <w:t>2</w:t>
      </w:r>
      <w:r w:rsidR="006B4088" w:rsidRPr="00E224E9">
        <w:rPr>
          <w:rFonts w:ascii="Book Antiqua" w:hAnsi="標楷體" w:hint="eastAsia"/>
          <w:color w:val="000000" w:themeColor="text1"/>
          <w:sz w:val="24"/>
        </w:rPr>
        <w:t>41</w:t>
      </w:r>
      <w:r w:rsidRPr="00E224E9">
        <w:rPr>
          <w:rFonts w:ascii="Book Antiqua" w:hAnsi="標楷體"/>
          <w:color w:val="000000" w:themeColor="text1"/>
          <w:sz w:val="24"/>
        </w:rPr>
        <w:t>列－</w:t>
      </w:r>
      <w:r w:rsidRPr="00E224E9">
        <w:rPr>
          <w:rFonts w:ascii="Book Antiqua" w:hAnsi="標楷體" w:hint="eastAsia"/>
          <w:color w:val="000000" w:themeColor="text1"/>
          <w:sz w:val="24"/>
        </w:rPr>
        <w:t>軍保資金</w:t>
      </w:r>
    </w:p>
    <w:p w14:paraId="499111CC"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八、各種責任準備金</w:t>
      </w:r>
    </w:p>
    <w:p w14:paraId="5D6499B2"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42</w:t>
      </w:r>
      <w:r w:rsidRPr="00E224E9">
        <w:rPr>
          <w:rFonts w:ascii="Book Antiqua" w:hAnsi="標楷體"/>
          <w:color w:val="000000" w:themeColor="text1"/>
          <w:sz w:val="24"/>
        </w:rPr>
        <w:t>列－未滿期保費準備金</w:t>
      </w:r>
    </w:p>
    <w:p w14:paraId="776932A7"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1</w:t>
      </w:r>
      <w:r w:rsidRPr="00E224E9">
        <w:rPr>
          <w:rFonts w:ascii="Book Antiqua" w:hAnsi="標楷體"/>
          <w:color w:val="000000" w:themeColor="text1"/>
          <w:sz w:val="24"/>
        </w:rPr>
        <w:t>列未滿期保費準備之金額。</w:t>
      </w:r>
    </w:p>
    <w:p w14:paraId="19C92D93"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43</w:t>
      </w:r>
      <w:r w:rsidRPr="00E224E9">
        <w:rPr>
          <w:rFonts w:ascii="Book Antiqua" w:hAnsi="標楷體"/>
          <w:color w:val="000000" w:themeColor="text1"/>
          <w:sz w:val="24"/>
        </w:rPr>
        <w:t>列－壽險責任準備金</w:t>
      </w:r>
    </w:p>
    <w:p w14:paraId="55E6327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3</w:t>
      </w:r>
      <w:r w:rsidRPr="00E224E9">
        <w:rPr>
          <w:rFonts w:ascii="Book Antiqua" w:hAnsi="標楷體"/>
          <w:color w:val="000000" w:themeColor="text1"/>
          <w:sz w:val="24"/>
        </w:rPr>
        <w:t>列壽險責任準備之金額。</w:t>
      </w:r>
    </w:p>
    <w:p w14:paraId="7B2A3BA4"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44</w:t>
      </w:r>
      <w:r w:rsidRPr="00E224E9">
        <w:rPr>
          <w:rFonts w:ascii="Book Antiqua" w:hAnsi="標楷體"/>
          <w:color w:val="000000" w:themeColor="text1"/>
          <w:sz w:val="24"/>
        </w:rPr>
        <w:t>列－賠款準備金</w:t>
      </w:r>
    </w:p>
    <w:p w14:paraId="1E3F08ED"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2</w:t>
      </w:r>
      <w:r w:rsidRPr="00E224E9">
        <w:rPr>
          <w:rFonts w:ascii="Book Antiqua" w:hAnsi="標楷體"/>
          <w:color w:val="000000" w:themeColor="text1"/>
          <w:sz w:val="24"/>
        </w:rPr>
        <w:t>列賠款準備之金額。</w:t>
      </w:r>
    </w:p>
    <w:p w14:paraId="734639CC"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B4088" w:rsidRPr="00E224E9">
        <w:rPr>
          <w:rFonts w:ascii="Book Antiqua" w:hAnsi="標楷體" w:hint="eastAsia"/>
          <w:color w:val="000000" w:themeColor="text1"/>
          <w:sz w:val="24"/>
        </w:rPr>
        <w:t>245</w:t>
      </w:r>
      <w:r w:rsidRPr="00E224E9">
        <w:rPr>
          <w:rFonts w:ascii="Book Antiqua" w:hAnsi="標楷體"/>
          <w:color w:val="000000" w:themeColor="text1"/>
          <w:sz w:val="24"/>
        </w:rPr>
        <w:t>列－特別準備金</w:t>
      </w:r>
    </w:p>
    <w:p w14:paraId="68242EC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4</w:t>
      </w:r>
      <w:r w:rsidRPr="00E224E9">
        <w:rPr>
          <w:rFonts w:ascii="Book Antiqua" w:hAnsi="標楷體"/>
          <w:color w:val="000000" w:themeColor="text1"/>
          <w:sz w:val="24"/>
        </w:rPr>
        <w:t>列特別準備之金額。</w:t>
      </w:r>
    </w:p>
    <w:p w14:paraId="4F24A406"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46</w:t>
      </w:r>
      <w:r w:rsidRPr="00E224E9">
        <w:rPr>
          <w:rFonts w:ascii="Book Antiqua" w:hAnsi="標楷體"/>
          <w:color w:val="000000" w:themeColor="text1"/>
          <w:sz w:val="24"/>
        </w:rPr>
        <w:t>列－保費不足準備金</w:t>
      </w:r>
    </w:p>
    <w:p w14:paraId="4BB55870"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5</w:t>
      </w:r>
      <w:r w:rsidRPr="00E224E9">
        <w:rPr>
          <w:rFonts w:ascii="Book Antiqua" w:hAnsi="標楷體"/>
          <w:color w:val="000000" w:themeColor="text1"/>
          <w:sz w:val="24"/>
        </w:rPr>
        <w:t>列保費不足準備之金額。</w:t>
      </w:r>
    </w:p>
    <w:p w14:paraId="070EADDD"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47</w:t>
      </w:r>
      <w:r w:rsidRPr="00E224E9">
        <w:rPr>
          <w:rFonts w:ascii="Book Antiqua" w:hAnsi="標楷體"/>
          <w:color w:val="000000" w:themeColor="text1"/>
          <w:sz w:val="24"/>
        </w:rPr>
        <w:t>列－負債適足準備金</w:t>
      </w:r>
    </w:p>
    <w:p w14:paraId="59309D59"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lastRenderedPageBreak/>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6</w:t>
      </w:r>
      <w:r w:rsidRPr="00E224E9">
        <w:rPr>
          <w:rFonts w:ascii="Book Antiqua" w:hAnsi="標楷體"/>
          <w:color w:val="000000" w:themeColor="text1"/>
          <w:sz w:val="24"/>
        </w:rPr>
        <w:t>列負債適足準備之金額。</w:t>
      </w:r>
    </w:p>
    <w:p w14:paraId="391143A9"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B4088"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48</w:t>
      </w:r>
      <w:r w:rsidRPr="00E224E9">
        <w:rPr>
          <w:rFonts w:ascii="Book Antiqua" w:hAnsi="標楷體"/>
          <w:color w:val="000000" w:themeColor="text1"/>
          <w:sz w:val="24"/>
        </w:rPr>
        <w:t>列－具金融商品性質之保險契約準備金</w:t>
      </w:r>
    </w:p>
    <w:p w14:paraId="665D8C8C"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30</w:t>
      </w:r>
      <w:r w:rsidRPr="00E224E9">
        <w:rPr>
          <w:rFonts w:ascii="Book Antiqua" w:hAnsi="標楷體"/>
          <w:color w:val="000000" w:themeColor="text1"/>
          <w:sz w:val="24"/>
        </w:rPr>
        <w:t>列具金融商品性質之保險契約準備之金額。</w:t>
      </w:r>
    </w:p>
    <w:p w14:paraId="2DE5D51D" w14:textId="77777777" w:rsidR="003477BF" w:rsidRPr="00E224E9" w:rsidRDefault="003477BF" w:rsidP="003477BF">
      <w:pPr>
        <w:spacing w:line="440" w:lineRule="exact"/>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標楷體"/>
          <w:color w:val="000000" w:themeColor="text1"/>
          <w:sz w:val="24"/>
        </w:rPr>
        <w:t>2</w:t>
      </w:r>
      <w:r w:rsidR="006B4088" w:rsidRPr="00E224E9">
        <w:rPr>
          <w:rFonts w:ascii="Book Antiqua" w:hAnsi="標楷體" w:hint="eastAsia"/>
          <w:color w:val="000000" w:themeColor="text1"/>
          <w:sz w:val="24"/>
        </w:rPr>
        <w:t>49</w:t>
      </w:r>
      <w:r w:rsidRPr="00E224E9">
        <w:rPr>
          <w:rFonts w:ascii="Book Antiqua" w:hAnsi="標楷體"/>
          <w:color w:val="000000" w:themeColor="text1"/>
          <w:sz w:val="24"/>
        </w:rPr>
        <w:t>列－</w:t>
      </w:r>
      <w:r w:rsidRPr="00E224E9">
        <w:rPr>
          <w:rFonts w:ascii="Book Antiqua" w:hAnsi="標楷體" w:hint="eastAsia"/>
          <w:color w:val="000000" w:themeColor="text1"/>
          <w:sz w:val="24"/>
        </w:rPr>
        <w:t>外匯價格變動準備金</w:t>
      </w:r>
    </w:p>
    <w:p w14:paraId="652D95D8" w14:textId="77777777" w:rsidR="003477BF" w:rsidRPr="00E224E9" w:rsidRDefault="003477BF" w:rsidP="003477BF">
      <w:pPr>
        <w:spacing w:line="440" w:lineRule="exact"/>
        <w:ind w:leftChars="300" w:left="780"/>
        <w:jc w:val="both"/>
        <w:rPr>
          <w:rFonts w:ascii="Book Antiqua" w:hAnsi="標楷體"/>
          <w:color w:val="000000" w:themeColor="text1"/>
          <w:sz w:val="24"/>
        </w:rPr>
      </w:pPr>
      <w:r w:rsidRPr="00E224E9">
        <w:rPr>
          <w:rFonts w:ascii="Book Antiqua" w:hAnsi="標楷體"/>
          <w:color w:val="000000" w:themeColor="text1"/>
          <w:sz w:val="24"/>
        </w:rPr>
        <w:t>本列第</w:t>
      </w:r>
      <w:r w:rsidRPr="00E224E9">
        <w:rPr>
          <w:rFonts w:ascii="Book Antiqua" w:hAnsi="標楷體"/>
          <w:color w:val="000000" w:themeColor="text1"/>
          <w:sz w:val="24"/>
        </w:rPr>
        <w:t>(2)</w:t>
      </w:r>
      <w:r w:rsidRPr="00E224E9">
        <w:rPr>
          <w:rFonts w:ascii="Book Antiqua" w:hAnsi="標楷體"/>
          <w:color w:val="000000" w:themeColor="text1"/>
          <w:sz w:val="24"/>
        </w:rPr>
        <w:t>欄之金額等於表</w:t>
      </w:r>
      <w:r w:rsidRPr="00E224E9">
        <w:rPr>
          <w:rFonts w:ascii="Book Antiqua" w:hAnsi="標楷體"/>
          <w:color w:val="000000" w:themeColor="text1"/>
          <w:sz w:val="24"/>
        </w:rPr>
        <w:t>03</w:t>
      </w:r>
      <w:r w:rsidRPr="00E224E9">
        <w:rPr>
          <w:rFonts w:ascii="Book Antiqua" w:hAnsi="標楷體"/>
          <w:color w:val="000000" w:themeColor="text1"/>
          <w:sz w:val="24"/>
        </w:rPr>
        <w:t>資產負債表</w:t>
      </w:r>
      <w:r w:rsidRPr="00E224E9">
        <w:rPr>
          <w:rFonts w:ascii="Book Antiqua" w:hAnsi="標楷體"/>
          <w:color w:val="000000" w:themeColor="text1"/>
          <w:sz w:val="24"/>
        </w:rPr>
        <w:t>(</w:t>
      </w:r>
      <w:r w:rsidRPr="00E224E9">
        <w:rPr>
          <w:rFonts w:ascii="Book Antiqua" w:hAnsi="標楷體"/>
          <w:color w:val="000000" w:themeColor="text1"/>
          <w:sz w:val="24"/>
        </w:rPr>
        <w:t>負債與權益部份</w:t>
      </w:r>
      <w:r w:rsidRPr="00E224E9">
        <w:rPr>
          <w:rFonts w:ascii="Book Antiqua" w:hAnsi="標楷體"/>
          <w:color w:val="000000" w:themeColor="text1"/>
          <w:sz w:val="24"/>
        </w:rPr>
        <w:t>)</w:t>
      </w:r>
      <w:r w:rsidRPr="00E224E9">
        <w:rPr>
          <w:rFonts w:ascii="Book Antiqua" w:hAnsi="標楷體"/>
          <w:color w:val="000000" w:themeColor="text1"/>
          <w:sz w:val="24"/>
        </w:rPr>
        <w:t>，其第</w:t>
      </w:r>
      <w:r w:rsidRPr="00E224E9">
        <w:rPr>
          <w:rFonts w:ascii="Book Antiqua" w:hAnsi="標楷體"/>
          <w:color w:val="000000" w:themeColor="text1"/>
          <w:sz w:val="24"/>
        </w:rPr>
        <w:t>14</w:t>
      </w:r>
      <w:r w:rsidRPr="00E224E9">
        <w:rPr>
          <w:rFonts w:ascii="Book Antiqua" w:hAnsi="標楷體"/>
          <w:color w:val="000000" w:themeColor="text1"/>
          <w:sz w:val="24"/>
        </w:rPr>
        <w:t>欄第</w:t>
      </w:r>
      <w:r w:rsidRPr="00E224E9">
        <w:rPr>
          <w:rFonts w:ascii="Book Antiqua" w:hAnsi="標楷體" w:hint="eastAsia"/>
          <w:color w:val="000000" w:themeColor="text1"/>
          <w:sz w:val="24"/>
        </w:rPr>
        <w:t>31</w:t>
      </w:r>
      <w:r w:rsidRPr="00E224E9">
        <w:rPr>
          <w:rFonts w:ascii="Book Antiqua" w:hAnsi="標楷體"/>
          <w:color w:val="000000" w:themeColor="text1"/>
          <w:sz w:val="24"/>
        </w:rPr>
        <w:t>列具金融商品性質之保險契約準備之金額。</w:t>
      </w:r>
    </w:p>
    <w:p w14:paraId="20DA7748"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50</w:t>
      </w:r>
      <w:r w:rsidRPr="00E224E9">
        <w:rPr>
          <w:rFonts w:ascii="Book Antiqua" w:hAnsi="標楷體"/>
          <w:color w:val="000000" w:themeColor="text1"/>
          <w:sz w:val="24"/>
        </w:rPr>
        <w:t>列－其他準備金</w:t>
      </w:r>
    </w:p>
    <w:p w14:paraId="781EC9A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7</w:t>
      </w:r>
      <w:r w:rsidRPr="00E224E9">
        <w:rPr>
          <w:rFonts w:ascii="Book Antiqua" w:hAnsi="標楷體"/>
          <w:color w:val="000000" w:themeColor="text1"/>
          <w:sz w:val="24"/>
        </w:rPr>
        <w:t>特別準備之金額。</w:t>
      </w:r>
    </w:p>
    <w:p w14:paraId="502A732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51</w:t>
      </w:r>
      <w:r w:rsidRPr="00E224E9">
        <w:rPr>
          <w:rFonts w:ascii="Book Antiqua" w:hAnsi="標楷體"/>
          <w:color w:val="000000" w:themeColor="text1"/>
          <w:sz w:val="24"/>
        </w:rPr>
        <w:t>列－各種責任準備金合計</w:t>
      </w:r>
    </w:p>
    <w:p w14:paraId="07910354"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42</w:t>
      </w:r>
      <w:r w:rsidRPr="00E224E9">
        <w:rPr>
          <w:rFonts w:ascii="Book Antiqua" w:hAnsi="標楷體"/>
          <w:color w:val="000000" w:themeColor="text1"/>
          <w:sz w:val="24"/>
        </w:rPr>
        <w:t>列至第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50</w:t>
      </w:r>
      <w:r w:rsidRPr="00E224E9">
        <w:rPr>
          <w:rFonts w:ascii="Book Antiqua" w:hAnsi="標楷體"/>
          <w:color w:val="000000" w:themeColor="text1"/>
          <w:sz w:val="24"/>
        </w:rPr>
        <w:t>列各項準備金之加總。</w:t>
      </w:r>
    </w:p>
    <w:p w14:paraId="613964A9"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52</w:t>
      </w:r>
      <w:r w:rsidRPr="00E224E9">
        <w:rPr>
          <w:rFonts w:ascii="Book Antiqua" w:hAnsi="標楷體"/>
          <w:color w:val="000000" w:themeColor="text1"/>
          <w:sz w:val="24"/>
        </w:rPr>
        <w:t>列－資金來源總計</w:t>
      </w:r>
    </w:p>
    <w:p w14:paraId="71D79B9B" w14:textId="77777777" w:rsidR="00065C53"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40</w:t>
      </w:r>
      <w:r w:rsidRPr="00E224E9">
        <w:rPr>
          <w:rFonts w:ascii="Book Antiqua" w:hAnsi="標楷體"/>
          <w:color w:val="000000" w:themeColor="text1"/>
          <w:sz w:val="24"/>
        </w:rPr>
        <w:t>列自有資金</w:t>
      </w:r>
      <w:r w:rsidRPr="00E224E9">
        <w:rPr>
          <w:rFonts w:ascii="Book Antiqua" w:hAnsi="Book Antiqua"/>
          <w:color w:val="000000" w:themeColor="text1"/>
          <w:sz w:val="24"/>
        </w:rPr>
        <w:t>(</w:t>
      </w:r>
      <w:r w:rsidRPr="00E224E9">
        <w:rPr>
          <w:rFonts w:ascii="Book Antiqua" w:hAnsi="標楷體"/>
          <w:color w:val="000000" w:themeColor="text1"/>
          <w:sz w:val="24"/>
        </w:rPr>
        <w:t>業主權益</w:t>
      </w:r>
      <w:r w:rsidRPr="00E224E9">
        <w:rPr>
          <w:rFonts w:ascii="Book Antiqua" w:hAnsi="Book Antiqua"/>
          <w:color w:val="000000" w:themeColor="text1"/>
          <w:sz w:val="24"/>
        </w:rPr>
        <w:t>)</w:t>
      </w:r>
      <w:r w:rsidRPr="00E224E9">
        <w:rPr>
          <w:rFonts w:ascii="Book Antiqua" w:hAnsi="標楷體"/>
          <w:color w:val="000000" w:themeColor="text1"/>
          <w:sz w:val="24"/>
        </w:rPr>
        <w:t>與第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51</w:t>
      </w:r>
      <w:r w:rsidRPr="00E224E9">
        <w:rPr>
          <w:rFonts w:ascii="Book Antiqua" w:hAnsi="標楷體"/>
          <w:color w:val="000000" w:themeColor="text1"/>
          <w:sz w:val="24"/>
        </w:rPr>
        <w:t>列各種責任準備金合計兩列之加總。</w:t>
      </w:r>
    </w:p>
    <w:p w14:paraId="77797EF1" w14:textId="77777777" w:rsidR="00065C53" w:rsidRPr="00E224E9" w:rsidRDefault="00065C53">
      <w:pPr>
        <w:spacing w:line="440" w:lineRule="exact"/>
        <w:ind w:leftChars="300" w:left="780"/>
        <w:jc w:val="both"/>
        <w:rPr>
          <w:rFonts w:ascii="Book Antiqua" w:hAnsi="Book Antiqua"/>
          <w:color w:val="000000" w:themeColor="text1"/>
          <w:sz w:val="24"/>
        </w:rPr>
      </w:pPr>
    </w:p>
    <w:p w14:paraId="0B07EAA6" w14:textId="77777777" w:rsidR="00065C53" w:rsidRPr="00E224E9" w:rsidRDefault="00065C53">
      <w:pPr>
        <w:spacing w:line="440" w:lineRule="exact"/>
        <w:ind w:leftChars="300" w:left="780"/>
        <w:jc w:val="both"/>
        <w:rPr>
          <w:rFonts w:ascii="Book Antiqua" w:hAnsi="Book Antiqua"/>
          <w:color w:val="000000" w:themeColor="text1"/>
          <w:sz w:val="24"/>
        </w:rPr>
      </w:pPr>
    </w:p>
    <w:p w14:paraId="49C1A8F6" w14:textId="77777777" w:rsidR="00065C53" w:rsidRPr="00E224E9" w:rsidRDefault="00065C53" w:rsidP="00C32AAC">
      <w:pPr>
        <w:pStyle w:val="1"/>
        <w:spacing w:after="120"/>
        <w:rPr>
          <w:color w:val="000000" w:themeColor="text1"/>
          <w:szCs w:val="40"/>
        </w:rPr>
      </w:pPr>
      <w:bookmarkStart w:id="13" w:name="_Toc153382415"/>
      <w:r w:rsidRPr="00E224E9">
        <w:rPr>
          <w:rFonts w:ascii="Book Antiqua" w:hAnsi="Book Antiqua"/>
          <w:color w:val="000000" w:themeColor="text1"/>
          <w:sz w:val="24"/>
        </w:rPr>
        <w:br w:type="page"/>
      </w:r>
      <w:bookmarkStart w:id="14" w:name="_Toc153964971"/>
      <w:bookmarkStart w:id="15" w:name="_Toc296928209"/>
      <w:bookmarkStart w:id="16" w:name="_Toc200468514"/>
      <w:r w:rsidRPr="00E224E9">
        <w:rPr>
          <w:color w:val="000000" w:themeColor="text1"/>
          <w:szCs w:val="40"/>
        </w:rPr>
        <w:lastRenderedPageBreak/>
        <w:t>表05-2：資產負債表與資金運用表之調節表</w:t>
      </w:r>
      <w:bookmarkEnd w:id="14"/>
      <w:bookmarkEnd w:id="15"/>
      <w:bookmarkEnd w:id="16"/>
    </w:p>
    <w:p w14:paraId="257BCA39"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本表目的係在調節「表</w:t>
      </w:r>
      <w:r w:rsidRPr="00E224E9">
        <w:rPr>
          <w:rFonts w:ascii="Book Antiqua" w:hAnsi="Book Antiqua"/>
          <w:color w:val="000000" w:themeColor="text1"/>
          <w:sz w:val="24"/>
        </w:rPr>
        <w:t>05-1</w:t>
      </w:r>
      <w:r w:rsidRPr="00E224E9">
        <w:rPr>
          <w:rFonts w:ascii="Book Antiqua" w:hAnsi="標楷體"/>
          <w:color w:val="000000" w:themeColor="text1"/>
          <w:sz w:val="24"/>
        </w:rPr>
        <w:t>資金運用表」與「表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資產負債表」之ㄧ致性，以確認各資金運用類別金額填報之正確性。本說明的目的為配合相關法令規定及資本適足性制度填報需求，簡介該表之填列規則，以利保險公司之填報。</w:t>
      </w:r>
    </w:p>
    <w:p w14:paraId="1909B2EB" w14:textId="77777777" w:rsidR="00065C53" w:rsidRPr="00E224E9" w:rsidRDefault="00065C53">
      <w:pPr>
        <w:spacing w:line="440" w:lineRule="exact"/>
        <w:ind w:firstLineChars="225" w:firstLine="540"/>
        <w:jc w:val="both"/>
        <w:rPr>
          <w:rFonts w:ascii="Book Antiqua" w:hAnsi="Book Antiqua"/>
          <w:color w:val="000000" w:themeColor="text1"/>
          <w:sz w:val="24"/>
        </w:rPr>
      </w:pPr>
      <w:r w:rsidRPr="00E224E9">
        <w:rPr>
          <w:rFonts w:ascii="Book Antiqua" w:hAnsi="標楷體"/>
          <w:color w:val="000000" w:themeColor="text1"/>
          <w:sz w:val="24"/>
        </w:rPr>
        <w:t>本表將調節項目分為四大類，分別為「附表</w:t>
      </w:r>
      <w:r w:rsidRPr="00E224E9">
        <w:rPr>
          <w:rFonts w:ascii="Book Antiqua" w:hAnsi="Book Antiqua"/>
          <w:color w:val="000000" w:themeColor="text1"/>
          <w:sz w:val="24"/>
        </w:rPr>
        <w:t>1</w:t>
      </w:r>
      <w:r w:rsidRPr="00E224E9">
        <w:rPr>
          <w:rFonts w:ascii="Book Antiqua" w:hAnsi="標楷體"/>
          <w:color w:val="000000" w:themeColor="text1"/>
          <w:sz w:val="24"/>
        </w:rPr>
        <w:t>、現金及銀行存款調節表」、「附表</w:t>
      </w:r>
      <w:r w:rsidRPr="00E224E9">
        <w:rPr>
          <w:rFonts w:ascii="Book Antiqua" w:hAnsi="Book Antiqua"/>
          <w:color w:val="000000" w:themeColor="text1"/>
          <w:sz w:val="24"/>
        </w:rPr>
        <w:t>2</w:t>
      </w:r>
      <w:r w:rsidRPr="00E224E9">
        <w:rPr>
          <w:rFonts w:ascii="Book Antiqua" w:hAnsi="標楷體"/>
          <w:color w:val="000000" w:themeColor="text1"/>
          <w:sz w:val="24"/>
        </w:rPr>
        <w:t>、不動產調節表」、「附表</w:t>
      </w:r>
      <w:r w:rsidRPr="00E224E9">
        <w:rPr>
          <w:rFonts w:ascii="Book Antiqua" w:hAnsi="Book Antiqua"/>
          <w:color w:val="000000" w:themeColor="text1"/>
          <w:sz w:val="24"/>
        </w:rPr>
        <w:t>3</w:t>
      </w:r>
      <w:r w:rsidRPr="00E224E9">
        <w:rPr>
          <w:rFonts w:ascii="Book Antiqua" w:hAnsi="標楷體"/>
          <w:color w:val="000000" w:themeColor="text1"/>
          <w:sz w:val="24"/>
        </w:rPr>
        <w:t>、放款調節表」以及「附表</w:t>
      </w:r>
      <w:r w:rsidRPr="00E224E9">
        <w:rPr>
          <w:rFonts w:ascii="Book Antiqua" w:hAnsi="Book Antiqua"/>
          <w:color w:val="000000" w:themeColor="text1"/>
          <w:sz w:val="24"/>
        </w:rPr>
        <w:t>4</w:t>
      </w:r>
      <w:r w:rsidRPr="00E224E9">
        <w:rPr>
          <w:rFonts w:ascii="Book Antiqua" w:hAnsi="標楷體"/>
          <w:color w:val="000000" w:themeColor="text1"/>
          <w:sz w:val="24"/>
        </w:rPr>
        <w:t>、有價證券調節表」。</w:t>
      </w:r>
    </w:p>
    <w:p w14:paraId="24219C6B" w14:textId="77777777" w:rsidR="00065C53" w:rsidRPr="00E224E9" w:rsidRDefault="00065C53">
      <w:pPr>
        <w:spacing w:line="440" w:lineRule="exact"/>
        <w:ind w:firstLineChars="225" w:firstLine="540"/>
        <w:jc w:val="both"/>
        <w:rPr>
          <w:rFonts w:ascii="Book Antiqua" w:hAnsi="Book Antiqua"/>
          <w:color w:val="000000" w:themeColor="text1"/>
          <w:sz w:val="24"/>
        </w:rPr>
      </w:pPr>
      <w:r w:rsidRPr="00E224E9">
        <w:rPr>
          <w:rFonts w:ascii="Book Antiqua" w:hAnsi="標楷體"/>
          <w:color w:val="000000" w:themeColor="text1"/>
          <w:sz w:val="24"/>
        </w:rPr>
        <w:t>其中，「附表</w:t>
      </w:r>
      <w:r w:rsidRPr="00E224E9">
        <w:rPr>
          <w:rFonts w:ascii="Book Antiqua" w:hAnsi="Book Antiqua"/>
          <w:color w:val="000000" w:themeColor="text1"/>
          <w:sz w:val="24"/>
        </w:rPr>
        <w:t>4</w:t>
      </w:r>
      <w:r w:rsidRPr="00E224E9">
        <w:rPr>
          <w:rFonts w:ascii="Book Antiqua" w:hAnsi="標楷體"/>
          <w:color w:val="000000" w:themeColor="text1"/>
          <w:sz w:val="24"/>
        </w:rPr>
        <w:t>、有價證券調節表」之金額以下列十二欄表示：</w:t>
      </w:r>
    </w:p>
    <w:p w14:paraId="387A6D71" w14:textId="77777777" w:rsidR="00065C53" w:rsidRPr="00E224E9" w:rsidRDefault="00065C53">
      <w:pPr>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標楷體"/>
          <w:color w:val="000000" w:themeColor="text1"/>
          <w:sz w:val="24"/>
        </w:rPr>
        <w:t>欄－資金運用項目</w:t>
      </w:r>
    </w:p>
    <w:p w14:paraId="4BC56736" w14:textId="077A8D8D" w:rsidR="00065C53" w:rsidRPr="00E224E9" w:rsidRDefault="00065C53">
      <w:pPr>
        <w:spacing w:line="440" w:lineRule="exact"/>
        <w:ind w:leftChars="275" w:left="717" w:hanging="2"/>
        <w:jc w:val="both"/>
        <w:rPr>
          <w:rFonts w:ascii="Book Antiqua" w:hAnsi="Book Antiqua"/>
          <w:vanish/>
          <w:color w:val="000000" w:themeColor="text1"/>
          <w:sz w:val="24"/>
          <w:specVanish/>
        </w:rPr>
      </w:pPr>
      <w:r w:rsidRPr="00E224E9">
        <w:rPr>
          <w:rFonts w:ascii="Book Antiqua" w:hAnsi="標楷體"/>
          <w:color w:val="000000" w:themeColor="text1"/>
          <w:sz w:val="24"/>
        </w:rPr>
        <w:t>除第</w:t>
      </w:r>
      <w:r w:rsidRPr="00E224E9">
        <w:rPr>
          <w:rFonts w:ascii="Book Antiqua" w:hAnsi="Book Antiqua"/>
          <w:color w:val="000000" w:themeColor="text1"/>
          <w:sz w:val="24"/>
        </w:rPr>
        <w:t>23</w:t>
      </w:r>
      <w:r w:rsidRPr="00E224E9">
        <w:rPr>
          <w:rFonts w:ascii="Book Antiqua" w:hAnsi="標楷體"/>
          <w:color w:val="000000" w:themeColor="text1"/>
          <w:sz w:val="24"/>
        </w:rPr>
        <w:t>至</w:t>
      </w:r>
      <w:r w:rsidRPr="00E224E9">
        <w:rPr>
          <w:rFonts w:ascii="Book Antiqua" w:hAnsi="Book Antiqua"/>
          <w:color w:val="000000" w:themeColor="text1"/>
          <w:sz w:val="24"/>
        </w:rPr>
        <w:t>24</w:t>
      </w:r>
      <w:r w:rsidRPr="00E224E9">
        <w:rPr>
          <w:rFonts w:ascii="Book Antiqua" w:hAnsi="標楷體"/>
          <w:color w:val="000000" w:themeColor="text1"/>
          <w:sz w:val="24"/>
        </w:rPr>
        <w:t>列</w:t>
      </w:r>
      <w:r w:rsidR="009304C4" w:rsidRPr="00E224E9">
        <w:rPr>
          <w:rFonts w:ascii="Book Antiqua" w:hAnsi="標楷體" w:hint="eastAsia"/>
          <w:color w:val="000000" w:themeColor="text1"/>
          <w:sz w:val="24"/>
        </w:rPr>
        <w:t>「</w:t>
      </w:r>
      <w:r w:rsidR="00A65DB4" w:rsidRPr="00E224E9">
        <w:rPr>
          <w:rFonts w:ascii="Book Antiqua" w:hAnsi="標楷體"/>
          <w:color w:val="000000" w:themeColor="text1"/>
          <w:sz w:val="24"/>
        </w:rPr>
        <w:t>透過損益按公允價值衡量之金融資產</w:t>
      </w:r>
      <w:r w:rsidR="009304C4" w:rsidRPr="00E224E9">
        <w:rPr>
          <w:rFonts w:ascii="Book Antiqua" w:hAnsi="標楷體" w:hint="eastAsia"/>
          <w:color w:val="000000" w:themeColor="text1"/>
          <w:sz w:val="24"/>
        </w:rPr>
        <w:t>」</w:t>
      </w:r>
      <w:r w:rsidR="006C2963" w:rsidRPr="00E224E9">
        <w:rPr>
          <w:rFonts w:ascii="標楷體" w:hAnsi="標楷體" w:hint="eastAsia"/>
          <w:color w:val="000000" w:themeColor="text1"/>
          <w:sz w:val="24"/>
        </w:rPr>
        <w:t>衍生性金融商品</w:t>
      </w:r>
      <w:r w:rsidRPr="00E224E9">
        <w:rPr>
          <w:rFonts w:ascii="Book Antiqua" w:hAnsi="標楷體"/>
          <w:color w:val="000000" w:themeColor="text1"/>
          <w:sz w:val="24"/>
        </w:rPr>
        <w:t>及第</w:t>
      </w:r>
      <w:r w:rsidRPr="00E224E9">
        <w:rPr>
          <w:rFonts w:ascii="Book Antiqua" w:hAnsi="Book Antiqua"/>
          <w:color w:val="000000" w:themeColor="text1"/>
          <w:sz w:val="24"/>
        </w:rPr>
        <w:t>25</w:t>
      </w:r>
      <w:r w:rsidRPr="00E224E9">
        <w:rPr>
          <w:rFonts w:ascii="Book Antiqua" w:hAnsi="標楷體"/>
          <w:color w:val="000000" w:themeColor="text1"/>
          <w:sz w:val="24"/>
        </w:rPr>
        <w:t>至</w:t>
      </w:r>
      <w:r w:rsidRPr="00E224E9">
        <w:rPr>
          <w:rFonts w:ascii="Book Antiqua" w:hAnsi="Book Antiqua"/>
          <w:color w:val="000000" w:themeColor="text1"/>
          <w:sz w:val="24"/>
        </w:rPr>
        <w:t>26</w:t>
      </w:r>
      <w:r w:rsidRPr="00E224E9">
        <w:rPr>
          <w:rFonts w:ascii="Book Antiqua" w:hAnsi="標楷體"/>
          <w:color w:val="000000" w:themeColor="text1"/>
          <w:sz w:val="24"/>
        </w:rPr>
        <w:t>列</w:t>
      </w:r>
      <w:r w:rsidR="006C2963" w:rsidRPr="00E224E9">
        <w:rPr>
          <w:rFonts w:ascii="標楷體" w:hAnsi="標楷體" w:hint="eastAsia"/>
          <w:color w:val="000000" w:themeColor="text1"/>
          <w:sz w:val="24"/>
        </w:rPr>
        <w:t>「減</w:t>
      </w:r>
      <w:r w:rsidR="006C2963" w:rsidRPr="00E224E9">
        <w:rPr>
          <w:rFonts w:ascii="標楷體" w:hAnsi="標楷體"/>
          <w:color w:val="000000" w:themeColor="text1"/>
          <w:sz w:val="24"/>
        </w:rPr>
        <w:t>:SPV國外籌資事業資金運用所投資之資產」</w:t>
      </w:r>
      <w:r w:rsidR="006C2963" w:rsidRPr="00E224E9">
        <w:rPr>
          <w:rFonts w:ascii="標楷體" w:hAnsi="標楷體" w:hint="eastAsia"/>
          <w:color w:val="000000" w:themeColor="text1"/>
          <w:sz w:val="24"/>
        </w:rPr>
        <w:t>外</w:t>
      </w:r>
      <w:r w:rsidRPr="00E224E9">
        <w:rPr>
          <w:rFonts w:ascii="Book Antiqua" w:hAnsi="標楷體"/>
          <w:color w:val="000000" w:themeColor="text1"/>
          <w:sz w:val="24"/>
        </w:rPr>
        <w:t>，餘係資金運用表之各資金運用項目。</w:t>
      </w:r>
    </w:p>
    <w:p w14:paraId="41771AAE" w14:textId="77777777" w:rsidR="006C2963" w:rsidRPr="00E224E9" w:rsidRDefault="00B853E1">
      <w:pPr>
        <w:spacing w:line="440" w:lineRule="exact"/>
        <w:ind w:left="900" w:hangingChars="375" w:hanging="900"/>
        <w:jc w:val="both"/>
        <w:rPr>
          <w:rFonts w:ascii="Book Antiqua" w:hAnsi="標楷體"/>
          <w:color w:val="000000" w:themeColor="text1"/>
          <w:sz w:val="24"/>
        </w:rPr>
      </w:pPr>
      <w:r w:rsidRPr="00E224E9">
        <w:rPr>
          <w:rFonts w:ascii="Book Antiqua" w:hAnsi="標楷體"/>
          <w:color w:val="000000" w:themeColor="text1"/>
          <w:sz w:val="24"/>
        </w:rPr>
        <w:t xml:space="preserve"> </w:t>
      </w:r>
    </w:p>
    <w:p w14:paraId="6F155051" w14:textId="56DB9885" w:rsidR="00065C53" w:rsidRPr="00E224E9" w:rsidRDefault="00065C53">
      <w:pPr>
        <w:spacing w:line="440" w:lineRule="exact"/>
        <w:ind w:left="900" w:hangingChars="375" w:hanging="900"/>
        <w:jc w:val="both"/>
        <w:rPr>
          <w:rFonts w:ascii="Book Antiqua" w:hAnsi="Book Antiqua"/>
          <w:vanish/>
          <w:color w:val="000000" w:themeColor="text1"/>
          <w:sz w:val="24"/>
          <w:specVanish/>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欄－帳載金額</w:t>
      </w:r>
    </w:p>
    <w:p w14:paraId="1FB71B21" w14:textId="41AAC922" w:rsidR="00065C53" w:rsidRPr="00E224E9" w:rsidRDefault="009304C4">
      <w:pPr>
        <w:spacing w:line="440" w:lineRule="exact"/>
        <w:ind w:leftChars="275" w:left="717" w:hanging="2"/>
        <w:jc w:val="both"/>
        <w:rPr>
          <w:rFonts w:ascii="Book Antiqua" w:hAnsi="Book Antiqua"/>
          <w:color w:val="000000" w:themeColor="text1"/>
          <w:sz w:val="24"/>
        </w:rPr>
      </w:pPr>
      <w:r w:rsidRPr="00E224E9">
        <w:rPr>
          <w:rFonts w:ascii="Book Antiqua" w:hAnsi="標楷體"/>
          <w:color w:val="000000" w:themeColor="text1"/>
          <w:sz w:val="24"/>
        </w:rPr>
        <w:t xml:space="preserve"> </w:t>
      </w:r>
      <w:r w:rsidR="00065C53" w:rsidRPr="00E224E9">
        <w:rPr>
          <w:rFonts w:ascii="Book Antiqua" w:hAnsi="標楷體"/>
          <w:color w:val="000000" w:themeColor="text1"/>
          <w:sz w:val="24"/>
        </w:rPr>
        <w:t>係指保險業總帳及明細分類帳所紀錄之各資金運用項目之金額，包含本</w:t>
      </w:r>
      <w:r w:rsidR="00065C53" w:rsidRPr="00E224E9">
        <w:rPr>
          <w:rFonts w:ascii="Book Antiqua" w:hAnsi="Book Antiqua"/>
          <w:color w:val="000000" w:themeColor="text1"/>
          <w:sz w:val="24"/>
        </w:rPr>
        <w:t>(</w:t>
      </w:r>
      <w:r w:rsidR="00065C53" w:rsidRPr="00E224E9">
        <w:rPr>
          <w:rFonts w:ascii="Book Antiqua" w:hAnsi="標楷體"/>
          <w:color w:val="000000" w:themeColor="text1"/>
          <w:sz w:val="24"/>
        </w:rPr>
        <w:t>半</w:t>
      </w:r>
      <w:r w:rsidR="00065C53" w:rsidRPr="00E224E9">
        <w:rPr>
          <w:rFonts w:ascii="Book Antiqua" w:hAnsi="Book Antiqua"/>
          <w:color w:val="000000" w:themeColor="text1"/>
          <w:sz w:val="24"/>
        </w:rPr>
        <w:t>)</w:t>
      </w:r>
      <w:r w:rsidR="00065C53" w:rsidRPr="00E224E9">
        <w:rPr>
          <w:rFonts w:ascii="Book Antiqua" w:hAnsi="標楷體"/>
          <w:color w:val="000000" w:themeColor="text1"/>
          <w:sz w:val="24"/>
        </w:rPr>
        <w:t>年度及上</w:t>
      </w:r>
      <w:r w:rsidR="00065C53" w:rsidRPr="00E224E9">
        <w:rPr>
          <w:rFonts w:ascii="Book Antiqua" w:hAnsi="Book Antiqua"/>
          <w:color w:val="000000" w:themeColor="text1"/>
          <w:sz w:val="24"/>
        </w:rPr>
        <w:t>(</w:t>
      </w:r>
      <w:r w:rsidR="00065C53" w:rsidRPr="00E224E9">
        <w:rPr>
          <w:rFonts w:ascii="Book Antiqua" w:hAnsi="標楷體"/>
          <w:color w:val="000000" w:themeColor="text1"/>
          <w:sz w:val="24"/>
        </w:rPr>
        <w:t>半</w:t>
      </w:r>
      <w:r w:rsidR="00065C53" w:rsidRPr="00E224E9">
        <w:rPr>
          <w:rFonts w:ascii="Book Antiqua" w:hAnsi="Book Antiqua"/>
          <w:color w:val="000000" w:themeColor="text1"/>
          <w:sz w:val="24"/>
        </w:rPr>
        <w:t>)</w:t>
      </w:r>
      <w:r w:rsidR="00065C53" w:rsidRPr="00E224E9">
        <w:rPr>
          <w:rFonts w:ascii="Book Antiqua" w:hAnsi="標楷體"/>
          <w:color w:val="000000" w:themeColor="text1"/>
          <w:sz w:val="24"/>
        </w:rPr>
        <w:t>年度之金額。</w:t>
      </w:r>
    </w:p>
    <w:p w14:paraId="4E988373" w14:textId="77777777" w:rsidR="00065C53" w:rsidRPr="00E224E9" w:rsidRDefault="00065C53">
      <w:pPr>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至</w:t>
      </w:r>
      <w:r w:rsidRPr="00E224E9">
        <w:rPr>
          <w:rFonts w:ascii="Book Antiqua" w:hAnsi="Book Antiqua"/>
          <w:color w:val="000000" w:themeColor="text1"/>
          <w:sz w:val="24"/>
        </w:rPr>
        <w:t>11</w:t>
      </w:r>
      <w:r w:rsidRPr="00E224E9">
        <w:rPr>
          <w:rFonts w:ascii="Book Antiqua" w:hAnsi="標楷體"/>
          <w:color w:val="000000" w:themeColor="text1"/>
          <w:sz w:val="24"/>
        </w:rPr>
        <w:t>欄－有價證券投資科目</w:t>
      </w:r>
    </w:p>
    <w:p w14:paraId="4BF7B109" w14:textId="77777777" w:rsidR="00065C53" w:rsidRPr="00E224E9" w:rsidRDefault="00065C53">
      <w:pPr>
        <w:spacing w:line="440" w:lineRule="exact"/>
        <w:ind w:leftChars="276" w:left="898" w:hangingChars="75" w:hanging="180"/>
        <w:jc w:val="both"/>
        <w:rPr>
          <w:rFonts w:ascii="Book Antiqua" w:hAnsi="Book Antiqua"/>
          <w:color w:val="000000" w:themeColor="text1"/>
          <w:sz w:val="24"/>
        </w:rPr>
      </w:pPr>
      <w:r w:rsidRPr="00E224E9">
        <w:rPr>
          <w:rFonts w:ascii="Book Antiqua" w:hAnsi="標楷體"/>
          <w:color w:val="000000" w:themeColor="text1"/>
          <w:sz w:val="24"/>
        </w:rPr>
        <w:t>係依會計科目別列示之各有價證券投資。</w:t>
      </w:r>
    </w:p>
    <w:p w14:paraId="784F9370" w14:textId="77777777" w:rsidR="00065C53" w:rsidRPr="00E224E9" w:rsidRDefault="00065C53">
      <w:pPr>
        <w:spacing w:line="440" w:lineRule="exact"/>
        <w:ind w:left="898" w:hangingChars="374" w:hanging="898"/>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12</w:t>
      </w:r>
      <w:r w:rsidRPr="00E224E9">
        <w:rPr>
          <w:rFonts w:ascii="Book Antiqua" w:hAnsi="標楷體"/>
          <w:color w:val="000000" w:themeColor="text1"/>
          <w:sz w:val="24"/>
        </w:rPr>
        <w:t>欄－合計</w:t>
      </w:r>
    </w:p>
    <w:p w14:paraId="1FD8227B" w14:textId="77777777" w:rsidR="00065C53" w:rsidRPr="00E224E9" w:rsidRDefault="00065C53">
      <w:pPr>
        <w:spacing w:line="440" w:lineRule="exact"/>
        <w:ind w:leftChars="276" w:left="896" w:hangingChars="74" w:hanging="178"/>
        <w:jc w:val="both"/>
        <w:rPr>
          <w:rFonts w:ascii="Book Antiqua" w:hAnsi="Book Antiqua"/>
          <w:color w:val="000000" w:themeColor="text1"/>
          <w:sz w:val="24"/>
        </w:rPr>
      </w:pPr>
      <w:r w:rsidRPr="00E224E9">
        <w:rPr>
          <w:rFonts w:ascii="Book Antiqua" w:hAnsi="標楷體"/>
          <w:color w:val="000000" w:themeColor="text1"/>
          <w:sz w:val="24"/>
        </w:rPr>
        <w:t>係各資金運用項目之金額合計數。</w:t>
      </w:r>
    </w:p>
    <w:p w14:paraId="41AF86A6" w14:textId="77777777" w:rsidR="00065C53" w:rsidRPr="00E224E9" w:rsidRDefault="00065C53">
      <w:pPr>
        <w:spacing w:line="440" w:lineRule="exact"/>
        <w:jc w:val="both"/>
        <w:rPr>
          <w:rFonts w:ascii="Book Antiqua" w:hAnsi="Book Antiqua"/>
          <w:color w:val="000000" w:themeColor="text1"/>
          <w:sz w:val="24"/>
        </w:rPr>
      </w:pPr>
    </w:p>
    <w:p w14:paraId="05CD7077" w14:textId="77777777" w:rsidR="00065C53" w:rsidRPr="00E224E9" w:rsidRDefault="00065C53">
      <w:pPr>
        <w:spacing w:line="440" w:lineRule="exact"/>
        <w:ind w:firstLineChars="225" w:firstLine="540"/>
        <w:jc w:val="both"/>
        <w:rPr>
          <w:rFonts w:ascii="Book Antiqua" w:hAnsi="Book Antiqua"/>
          <w:color w:val="000000" w:themeColor="text1"/>
          <w:sz w:val="24"/>
        </w:rPr>
      </w:pPr>
      <w:r w:rsidRPr="00E224E9">
        <w:rPr>
          <w:rFonts w:ascii="Book Antiqua" w:hAnsi="標楷體"/>
          <w:color w:val="000000" w:themeColor="text1"/>
          <w:sz w:val="24"/>
        </w:rPr>
        <w:t>以上各資金運用項目之金額與表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資產負債表之調節方式說明如下：</w:t>
      </w:r>
    </w:p>
    <w:p w14:paraId="356036C2" w14:textId="03950E3A"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1029B7" w:rsidRPr="00E224E9">
        <w:rPr>
          <w:rFonts w:ascii="Book Antiqua" w:hAnsi="Book Antiqua"/>
          <w:color w:val="000000" w:themeColor="text1"/>
          <w:sz w:val="24"/>
        </w:rPr>
        <w:t>7</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17</w:t>
      </w:r>
      <w:r w:rsidRPr="00E224E9">
        <w:rPr>
          <w:rFonts w:ascii="Book Antiqua" w:hAnsi="標楷體"/>
          <w:color w:val="000000" w:themeColor="text1"/>
          <w:sz w:val="24"/>
        </w:rPr>
        <w:t>列之金額相一致。</w:t>
      </w:r>
    </w:p>
    <w:p w14:paraId="47218CCA" w14:textId="084F7CCC"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1029B7" w:rsidRPr="00E224E9">
        <w:rPr>
          <w:rFonts w:ascii="Book Antiqua" w:hAnsi="Book Antiqua"/>
          <w:color w:val="000000" w:themeColor="text1"/>
          <w:sz w:val="24"/>
        </w:rPr>
        <w:t>8</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17</w:t>
      </w:r>
      <w:r w:rsidRPr="00E224E9">
        <w:rPr>
          <w:rFonts w:ascii="Book Antiqua" w:hAnsi="標楷體"/>
          <w:color w:val="000000" w:themeColor="text1"/>
          <w:sz w:val="24"/>
        </w:rPr>
        <w:t>列之金額相一致。</w:t>
      </w:r>
    </w:p>
    <w:p w14:paraId="6D22F2D4" w14:textId="6C735AA6"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7</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28</w:t>
      </w:r>
      <w:r w:rsidRPr="00E224E9">
        <w:rPr>
          <w:rFonts w:ascii="Book Antiqua" w:hAnsi="標楷體"/>
          <w:color w:val="000000" w:themeColor="text1"/>
          <w:sz w:val="24"/>
        </w:rPr>
        <w:t>列之金額相一致。</w:t>
      </w:r>
    </w:p>
    <w:p w14:paraId="70CA99DC" w14:textId="20698985"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8</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28</w:t>
      </w:r>
      <w:r w:rsidRPr="00E224E9">
        <w:rPr>
          <w:rFonts w:ascii="Book Antiqua" w:hAnsi="標楷體"/>
          <w:color w:val="000000" w:themeColor="text1"/>
          <w:sz w:val="24"/>
        </w:rPr>
        <w:t>列之金額相一致。</w:t>
      </w:r>
    </w:p>
    <w:p w14:paraId="277D8E06" w14:textId="0BCD667F"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7</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38</w:t>
      </w:r>
      <w:r w:rsidRPr="00E224E9">
        <w:rPr>
          <w:rFonts w:ascii="Book Antiqua" w:hAnsi="標楷體"/>
          <w:color w:val="000000" w:themeColor="text1"/>
          <w:sz w:val="24"/>
        </w:rPr>
        <w:t>列之金額相一致。</w:t>
      </w:r>
      <w:r w:rsidRPr="00E224E9">
        <w:rPr>
          <w:rFonts w:ascii="Book Antiqua" w:hAnsi="Book Antiqua"/>
          <w:color w:val="000000" w:themeColor="text1"/>
          <w:sz w:val="24"/>
        </w:rPr>
        <w:t>.</w:t>
      </w:r>
    </w:p>
    <w:p w14:paraId="16BE54D3" w14:textId="61E1CBEF"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8</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38</w:t>
      </w:r>
      <w:r w:rsidRPr="00E224E9">
        <w:rPr>
          <w:rFonts w:ascii="Book Antiqua" w:hAnsi="標楷體"/>
          <w:color w:val="000000" w:themeColor="text1"/>
          <w:sz w:val="24"/>
        </w:rPr>
        <w:t>列之金額相一致。</w:t>
      </w:r>
    </w:p>
    <w:bookmarkEnd w:id="13"/>
    <w:p w14:paraId="1EC8D18F" w14:textId="758B0173"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6</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7</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15</w:t>
      </w:r>
      <w:r w:rsidRPr="00E224E9">
        <w:rPr>
          <w:rFonts w:ascii="Book Antiqua" w:hAnsi="標楷體"/>
          <w:color w:val="000000" w:themeColor="text1"/>
          <w:sz w:val="24"/>
        </w:rPr>
        <w:t>列之金額相一致。</w:t>
      </w:r>
    </w:p>
    <w:p w14:paraId="191C298D" w14:textId="70C38D5D"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6</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8</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15</w:t>
      </w:r>
      <w:r w:rsidRPr="00E224E9">
        <w:rPr>
          <w:rFonts w:ascii="Book Antiqua" w:hAnsi="標楷體"/>
          <w:color w:val="000000" w:themeColor="text1"/>
          <w:sz w:val="24"/>
        </w:rPr>
        <w:t>列之金額相一致。</w:t>
      </w:r>
    </w:p>
    <w:p w14:paraId="6872CE74" w14:textId="19131AE7"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7</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7</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49</w:t>
      </w:r>
      <w:r w:rsidRPr="00E224E9">
        <w:rPr>
          <w:rFonts w:ascii="Book Antiqua" w:hAnsi="標楷體"/>
          <w:color w:val="000000" w:themeColor="text1"/>
          <w:sz w:val="24"/>
        </w:rPr>
        <w:t>列之金額相一致。</w:t>
      </w:r>
    </w:p>
    <w:p w14:paraId="176715E1" w14:textId="0CFBDBF9"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7</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8</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Pr="00E224E9">
        <w:rPr>
          <w:rFonts w:ascii="Book Antiqua" w:hAnsi="Book Antiqua"/>
          <w:color w:val="000000" w:themeColor="text1"/>
          <w:sz w:val="24"/>
        </w:rPr>
        <w:t>49</w:t>
      </w:r>
      <w:r w:rsidRPr="00E224E9">
        <w:rPr>
          <w:rFonts w:ascii="Book Antiqua" w:hAnsi="標楷體"/>
          <w:color w:val="000000" w:themeColor="text1"/>
          <w:sz w:val="24"/>
        </w:rPr>
        <w:t>列之金額相一致。</w:t>
      </w:r>
    </w:p>
    <w:p w14:paraId="68BF1521" w14:textId="3532A0F2"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7</w:t>
      </w:r>
      <w:r w:rsidRPr="00E224E9">
        <w:rPr>
          <w:rFonts w:ascii="Book Antiqua" w:hAnsi="標楷體"/>
          <w:color w:val="000000" w:themeColor="text1"/>
          <w:sz w:val="24"/>
        </w:rPr>
        <w:t>列之金額</w:t>
      </w:r>
      <w:r w:rsidR="006571D5" w:rsidRPr="00E224E9">
        <w:rPr>
          <w:rFonts w:ascii="Book Antiqua" w:hAnsi="標楷體"/>
          <w:color w:val="000000" w:themeColor="text1"/>
          <w:sz w:val="24"/>
        </w:rPr>
        <w:t>應與表</w:t>
      </w:r>
      <w:r w:rsidR="006571D5" w:rsidRPr="00E224E9">
        <w:rPr>
          <w:rFonts w:ascii="Book Antiqua" w:hAnsi="Book Antiqua"/>
          <w:color w:val="000000" w:themeColor="text1"/>
          <w:sz w:val="24"/>
        </w:rPr>
        <w:t>03</w:t>
      </w:r>
      <w:r w:rsidR="006571D5" w:rsidRPr="00E224E9">
        <w:rPr>
          <w:rFonts w:ascii="Book Antiqua" w:hAnsi="標楷體"/>
          <w:color w:val="000000" w:themeColor="text1"/>
          <w:sz w:val="24"/>
        </w:rPr>
        <w:t>資產負債表第</w:t>
      </w:r>
      <w:r w:rsidR="000004F9" w:rsidRPr="00E224E9">
        <w:rPr>
          <w:rFonts w:ascii="Book Antiqua" w:hAnsi="Book Antiqua" w:hint="eastAsia"/>
          <w:color w:val="000000" w:themeColor="text1"/>
          <w:sz w:val="24"/>
        </w:rPr>
        <w:t>4</w:t>
      </w:r>
      <w:r w:rsidR="006571D5"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50</w:t>
      </w:r>
      <w:r w:rsidR="006571D5" w:rsidRPr="00E224E9">
        <w:rPr>
          <w:rFonts w:ascii="Book Antiqua" w:hAnsi="標楷體"/>
          <w:color w:val="000000" w:themeColor="text1"/>
          <w:sz w:val="24"/>
        </w:rPr>
        <w:t>列之金額相一致。</w:t>
      </w:r>
    </w:p>
    <w:p w14:paraId="059A7C44" w14:textId="7255344F"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8</w:t>
      </w:r>
      <w:r w:rsidRPr="00E224E9">
        <w:rPr>
          <w:rFonts w:ascii="Book Antiqua" w:hAnsi="標楷體"/>
          <w:color w:val="000000" w:themeColor="text1"/>
          <w:sz w:val="24"/>
        </w:rPr>
        <w:t>列之金額</w:t>
      </w:r>
      <w:r w:rsidR="006571D5" w:rsidRPr="00E224E9">
        <w:rPr>
          <w:rFonts w:ascii="Book Antiqua" w:hAnsi="標楷體"/>
          <w:color w:val="000000" w:themeColor="text1"/>
          <w:sz w:val="24"/>
        </w:rPr>
        <w:t>應與表</w:t>
      </w:r>
      <w:r w:rsidR="006571D5" w:rsidRPr="00E224E9">
        <w:rPr>
          <w:rFonts w:ascii="Book Antiqua" w:hAnsi="Book Antiqua"/>
          <w:color w:val="000000" w:themeColor="text1"/>
          <w:sz w:val="24"/>
        </w:rPr>
        <w:t>03</w:t>
      </w:r>
      <w:r w:rsidR="006571D5" w:rsidRPr="00E224E9">
        <w:rPr>
          <w:rFonts w:ascii="Book Antiqua" w:hAnsi="標楷體"/>
          <w:color w:val="000000" w:themeColor="text1"/>
          <w:sz w:val="24"/>
        </w:rPr>
        <w:t>資產負債表第</w:t>
      </w:r>
      <w:r w:rsidR="006571D5" w:rsidRPr="00E224E9">
        <w:rPr>
          <w:rFonts w:ascii="Book Antiqua" w:hAnsi="Book Antiqua"/>
          <w:color w:val="000000" w:themeColor="text1"/>
          <w:sz w:val="24"/>
        </w:rPr>
        <w:t>8</w:t>
      </w:r>
      <w:r w:rsidR="006571D5"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50</w:t>
      </w:r>
      <w:r w:rsidR="006571D5" w:rsidRPr="00E224E9">
        <w:rPr>
          <w:rFonts w:ascii="Book Antiqua" w:hAnsi="標楷體"/>
          <w:color w:val="000000" w:themeColor="text1"/>
          <w:sz w:val="24"/>
        </w:rPr>
        <w:t>列之金額相一致。</w:t>
      </w:r>
    </w:p>
    <w:p w14:paraId="129DF80D" w14:textId="49C4B714"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Pr="00E224E9">
        <w:rPr>
          <w:rFonts w:ascii="Book Antiqua" w:hAnsi="Book Antiqua"/>
          <w:color w:val="000000" w:themeColor="text1"/>
          <w:sz w:val="24"/>
        </w:rPr>
        <w:t>9</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7</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48</w:t>
      </w:r>
      <w:r w:rsidRPr="00E224E9">
        <w:rPr>
          <w:rFonts w:ascii="Book Antiqua" w:hAnsi="標楷體"/>
          <w:color w:val="000000" w:themeColor="text1"/>
          <w:sz w:val="24"/>
        </w:rPr>
        <w:t>列之金額相一致。</w:t>
      </w:r>
    </w:p>
    <w:p w14:paraId="5141B8CE" w14:textId="1AB06830"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9</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8</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Pr="00E224E9">
        <w:rPr>
          <w:rFonts w:ascii="Book Antiqua" w:hAnsi="Book Antiqua"/>
          <w:color w:val="000000" w:themeColor="text1"/>
          <w:sz w:val="24"/>
        </w:rPr>
        <w:t>48</w:t>
      </w:r>
      <w:r w:rsidRPr="00E224E9">
        <w:rPr>
          <w:rFonts w:ascii="Book Antiqua" w:hAnsi="標楷體"/>
          <w:color w:val="000000" w:themeColor="text1"/>
          <w:sz w:val="24"/>
        </w:rPr>
        <w:t>列之金額相一致。</w:t>
      </w:r>
    </w:p>
    <w:p w14:paraId="615B8582" w14:textId="24E471FA"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欄第</w:t>
      </w:r>
      <w:r w:rsidRPr="00E224E9">
        <w:rPr>
          <w:rFonts w:ascii="Book Antiqua" w:hAnsi="Book Antiqua"/>
          <w:color w:val="000000" w:themeColor="text1"/>
          <w:sz w:val="24"/>
        </w:rPr>
        <w:t>1</w:t>
      </w:r>
      <w:r w:rsidRPr="00E224E9">
        <w:rPr>
          <w:rFonts w:ascii="Book Antiqua" w:hAnsi="標楷體"/>
          <w:color w:val="000000" w:themeColor="text1"/>
          <w:sz w:val="24"/>
        </w:rPr>
        <w:t>、</w:t>
      </w:r>
      <w:r w:rsidRPr="00E224E9">
        <w:rPr>
          <w:rFonts w:ascii="Book Antiqua" w:hAnsi="Book Antiqua"/>
          <w:color w:val="000000" w:themeColor="text1"/>
          <w:sz w:val="24"/>
        </w:rPr>
        <w:t>3</w:t>
      </w:r>
      <w:r w:rsidRPr="00E224E9">
        <w:rPr>
          <w:rFonts w:ascii="Book Antiqua" w:hAnsi="標楷體"/>
          <w:color w:val="000000" w:themeColor="text1"/>
          <w:sz w:val="24"/>
        </w:rPr>
        <w:t>、</w:t>
      </w:r>
      <w:r w:rsidRPr="00E224E9">
        <w:rPr>
          <w:rFonts w:ascii="Book Antiqua" w:hAnsi="Book Antiqua"/>
          <w:color w:val="000000" w:themeColor="text1"/>
          <w:sz w:val="24"/>
        </w:rPr>
        <w:t>5</w:t>
      </w:r>
      <w:r w:rsidRPr="00E224E9">
        <w:rPr>
          <w:rFonts w:ascii="Book Antiqua" w:hAnsi="標楷體"/>
          <w:color w:val="000000" w:themeColor="text1"/>
          <w:sz w:val="24"/>
        </w:rPr>
        <w:t>、</w:t>
      </w:r>
      <w:r w:rsidRPr="00E224E9">
        <w:rPr>
          <w:rFonts w:ascii="Book Antiqua" w:hAnsi="Book Antiqua"/>
          <w:color w:val="000000" w:themeColor="text1"/>
          <w:sz w:val="24"/>
        </w:rPr>
        <w:t>7</w:t>
      </w:r>
      <w:r w:rsidRPr="00E224E9">
        <w:rPr>
          <w:rFonts w:ascii="Book Antiqua" w:hAnsi="標楷體"/>
          <w:color w:val="000000" w:themeColor="text1"/>
          <w:sz w:val="24"/>
        </w:rPr>
        <w:t>、</w:t>
      </w:r>
      <w:r w:rsidRPr="00E224E9">
        <w:rPr>
          <w:rFonts w:ascii="Book Antiqua" w:hAnsi="Book Antiqua"/>
          <w:color w:val="000000" w:themeColor="text1"/>
          <w:sz w:val="24"/>
        </w:rPr>
        <w:t>9</w:t>
      </w:r>
      <w:r w:rsidRPr="00E224E9">
        <w:rPr>
          <w:rFonts w:ascii="Book Antiqua" w:hAnsi="標楷體"/>
          <w:color w:val="000000" w:themeColor="text1"/>
          <w:sz w:val="24"/>
        </w:rPr>
        <w:t>、</w:t>
      </w:r>
      <w:r w:rsidRPr="00E224E9">
        <w:rPr>
          <w:rFonts w:ascii="Book Antiqua" w:hAnsi="Book Antiqua"/>
          <w:color w:val="000000" w:themeColor="text1"/>
          <w:sz w:val="24"/>
        </w:rPr>
        <w:t>11</w:t>
      </w:r>
      <w:r w:rsidRPr="00E224E9">
        <w:rPr>
          <w:rFonts w:ascii="Book Antiqua" w:hAnsi="標楷體"/>
          <w:color w:val="000000" w:themeColor="text1"/>
          <w:sz w:val="24"/>
        </w:rPr>
        <w:t>、</w:t>
      </w:r>
      <w:r w:rsidRPr="00E224E9">
        <w:rPr>
          <w:rFonts w:ascii="Book Antiqua" w:hAnsi="Book Antiqua"/>
          <w:color w:val="000000" w:themeColor="text1"/>
          <w:sz w:val="24"/>
        </w:rPr>
        <w:t>17</w:t>
      </w:r>
      <w:r w:rsidRPr="00E224E9">
        <w:rPr>
          <w:rFonts w:ascii="Book Antiqua" w:hAnsi="標楷體"/>
          <w:color w:val="000000" w:themeColor="text1"/>
          <w:sz w:val="24"/>
        </w:rPr>
        <w:t>、</w:t>
      </w:r>
      <w:r w:rsidRPr="00E224E9">
        <w:rPr>
          <w:rFonts w:ascii="Book Antiqua" w:hAnsi="Book Antiqua"/>
          <w:color w:val="000000" w:themeColor="text1"/>
          <w:sz w:val="24"/>
        </w:rPr>
        <w:t>19</w:t>
      </w:r>
      <w:r w:rsidRPr="00E224E9">
        <w:rPr>
          <w:rFonts w:ascii="Book Antiqua" w:hAnsi="標楷體"/>
          <w:color w:val="000000" w:themeColor="text1"/>
          <w:sz w:val="24"/>
        </w:rPr>
        <w:t>、</w:t>
      </w:r>
      <w:r w:rsidRPr="00E224E9">
        <w:rPr>
          <w:rFonts w:ascii="Book Antiqua" w:hAnsi="Book Antiqua"/>
          <w:color w:val="000000" w:themeColor="text1"/>
          <w:sz w:val="24"/>
        </w:rPr>
        <w:t>21</w:t>
      </w:r>
      <w:r w:rsidRPr="00E224E9">
        <w:rPr>
          <w:rFonts w:ascii="Book Antiqua" w:hAnsi="標楷體"/>
          <w:color w:val="000000" w:themeColor="text1"/>
          <w:sz w:val="24"/>
        </w:rPr>
        <w:t>、</w:t>
      </w:r>
      <w:r w:rsidRPr="00E224E9">
        <w:rPr>
          <w:rFonts w:ascii="Book Antiqua" w:hAnsi="Book Antiqua"/>
          <w:color w:val="000000" w:themeColor="text1"/>
          <w:sz w:val="24"/>
        </w:rPr>
        <w:t>23</w:t>
      </w:r>
      <w:r w:rsidRPr="00E224E9">
        <w:rPr>
          <w:rFonts w:ascii="Book Antiqua" w:hAnsi="標楷體"/>
          <w:color w:val="000000" w:themeColor="text1"/>
          <w:sz w:val="24"/>
        </w:rPr>
        <w:t>列</w:t>
      </w:r>
      <w:r w:rsidR="00751E82" w:rsidRPr="00E224E9">
        <w:rPr>
          <w:rFonts w:ascii="標楷體" w:hAnsi="標楷體" w:hint="eastAsia"/>
          <w:color w:val="000000" w:themeColor="text1"/>
          <w:sz w:val="24"/>
        </w:rPr>
        <w:t>減除第</w:t>
      </w:r>
      <w:r w:rsidR="00751E82" w:rsidRPr="00E224E9">
        <w:rPr>
          <w:rFonts w:ascii="標楷體" w:hAnsi="標楷體"/>
          <w:color w:val="000000" w:themeColor="text1"/>
          <w:sz w:val="24"/>
        </w:rPr>
        <w:t>25列SPV國外籌資事業資金運用所投資之各列項目資產後</w:t>
      </w:r>
      <w:r w:rsidRPr="00E224E9">
        <w:rPr>
          <w:rFonts w:ascii="Book Antiqua" w:hAnsi="標楷體"/>
          <w:color w:val="000000" w:themeColor="text1"/>
          <w:sz w:val="24"/>
        </w:rPr>
        <w:t>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1</w:t>
      </w:r>
      <w:r w:rsidR="00581164" w:rsidRPr="00E224E9">
        <w:rPr>
          <w:rFonts w:ascii="Book Antiqua" w:hAnsi="Book Antiqua" w:hint="eastAsia"/>
          <w:color w:val="000000" w:themeColor="text1"/>
          <w:sz w:val="24"/>
        </w:rPr>
        <w:t>8</w:t>
      </w:r>
      <w:r w:rsidRPr="00E224E9">
        <w:rPr>
          <w:rFonts w:ascii="Book Antiqua" w:hAnsi="標楷體"/>
          <w:color w:val="000000" w:themeColor="text1"/>
          <w:sz w:val="24"/>
        </w:rPr>
        <w:t>、</w:t>
      </w:r>
      <w:r w:rsidR="00581164" w:rsidRPr="00E224E9">
        <w:rPr>
          <w:rFonts w:ascii="Book Antiqua" w:hAnsi="Book Antiqua" w:hint="eastAsia"/>
          <w:color w:val="000000" w:themeColor="text1"/>
          <w:sz w:val="24"/>
        </w:rPr>
        <w:t>19</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0</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1</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2</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3</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4</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5</w:t>
      </w:r>
      <w:r w:rsidRPr="00E224E9">
        <w:rPr>
          <w:rFonts w:ascii="Book Antiqua" w:hAnsi="標楷體"/>
          <w:color w:val="000000" w:themeColor="text1"/>
          <w:sz w:val="24"/>
        </w:rPr>
        <w:t>、</w:t>
      </w:r>
      <w:r w:rsidR="00581164" w:rsidRPr="00E224E9">
        <w:rPr>
          <w:rFonts w:ascii="Book Antiqua" w:hAnsi="Book Antiqua" w:hint="eastAsia"/>
          <w:color w:val="000000" w:themeColor="text1"/>
          <w:sz w:val="24"/>
        </w:rPr>
        <w:t>27</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6</w:t>
      </w:r>
      <w:r w:rsidRPr="00E224E9">
        <w:rPr>
          <w:rFonts w:ascii="Book Antiqua" w:hAnsi="標楷體"/>
          <w:color w:val="000000" w:themeColor="text1"/>
          <w:sz w:val="24"/>
        </w:rPr>
        <w:t>列之金額相一致。</w:t>
      </w:r>
    </w:p>
    <w:p w14:paraId="0F1DC1CB" w14:textId="359A3067"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標楷體"/>
          <w:color w:val="000000" w:themeColor="text1"/>
          <w:sz w:val="24"/>
        </w:rPr>
        <w:t>、</w:t>
      </w:r>
      <w:r w:rsidRPr="00E224E9">
        <w:rPr>
          <w:rFonts w:ascii="Book Antiqua" w:hAnsi="Book Antiqua"/>
          <w:color w:val="000000" w:themeColor="text1"/>
          <w:sz w:val="24"/>
        </w:rPr>
        <w:t>4</w:t>
      </w:r>
      <w:r w:rsidRPr="00E224E9">
        <w:rPr>
          <w:rFonts w:ascii="Book Antiqua" w:hAnsi="標楷體"/>
          <w:color w:val="000000" w:themeColor="text1"/>
          <w:sz w:val="24"/>
        </w:rPr>
        <w:t>、</w:t>
      </w:r>
      <w:r w:rsidRPr="00E224E9">
        <w:rPr>
          <w:rFonts w:ascii="Book Antiqua" w:hAnsi="Book Antiqua"/>
          <w:color w:val="000000" w:themeColor="text1"/>
          <w:sz w:val="24"/>
        </w:rPr>
        <w:t>6</w:t>
      </w:r>
      <w:r w:rsidRPr="00E224E9">
        <w:rPr>
          <w:rFonts w:ascii="Book Antiqua" w:hAnsi="標楷體"/>
          <w:color w:val="000000" w:themeColor="text1"/>
          <w:sz w:val="24"/>
        </w:rPr>
        <w:t>、</w:t>
      </w:r>
      <w:r w:rsidRPr="00E224E9">
        <w:rPr>
          <w:rFonts w:ascii="Book Antiqua" w:hAnsi="Book Antiqua"/>
          <w:color w:val="000000" w:themeColor="text1"/>
          <w:sz w:val="24"/>
        </w:rPr>
        <w:t>8</w:t>
      </w:r>
      <w:r w:rsidRPr="00E224E9">
        <w:rPr>
          <w:rFonts w:ascii="Book Antiqua" w:hAnsi="標楷體"/>
          <w:color w:val="000000" w:themeColor="text1"/>
          <w:sz w:val="24"/>
        </w:rPr>
        <w:t>、</w:t>
      </w:r>
      <w:r w:rsidRPr="00E224E9">
        <w:rPr>
          <w:rFonts w:ascii="Book Antiqua" w:hAnsi="Book Antiqua"/>
          <w:color w:val="000000" w:themeColor="text1"/>
          <w:sz w:val="24"/>
        </w:rPr>
        <w:t>10</w:t>
      </w:r>
      <w:r w:rsidRPr="00E224E9">
        <w:rPr>
          <w:rFonts w:ascii="Book Antiqua" w:hAnsi="標楷體"/>
          <w:color w:val="000000" w:themeColor="text1"/>
          <w:sz w:val="24"/>
        </w:rPr>
        <w:t>、</w:t>
      </w:r>
      <w:r w:rsidRPr="00E224E9">
        <w:rPr>
          <w:rFonts w:ascii="Book Antiqua" w:hAnsi="Book Antiqua"/>
          <w:color w:val="000000" w:themeColor="text1"/>
          <w:sz w:val="24"/>
        </w:rPr>
        <w:t>12</w:t>
      </w:r>
      <w:r w:rsidRPr="00E224E9">
        <w:rPr>
          <w:rFonts w:ascii="Book Antiqua" w:hAnsi="標楷體"/>
          <w:color w:val="000000" w:themeColor="text1"/>
          <w:sz w:val="24"/>
        </w:rPr>
        <w:t>、</w:t>
      </w:r>
      <w:r w:rsidRPr="00E224E9">
        <w:rPr>
          <w:rFonts w:ascii="Book Antiqua" w:hAnsi="Book Antiqua"/>
          <w:color w:val="000000" w:themeColor="text1"/>
          <w:sz w:val="24"/>
        </w:rPr>
        <w:t>18</w:t>
      </w:r>
      <w:r w:rsidRPr="00E224E9">
        <w:rPr>
          <w:rFonts w:ascii="Book Antiqua" w:hAnsi="標楷體"/>
          <w:color w:val="000000" w:themeColor="text1"/>
          <w:sz w:val="24"/>
        </w:rPr>
        <w:t>、</w:t>
      </w:r>
      <w:r w:rsidRPr="00E224E9">
        <w:rPr>
          <w:rFonts w:ascii="Book Antiqua" w:hAnsi="Book Antiqua"/>
          <w:color w:val="000000" w:themeColor="text1"/>
          <w:sz w:val="24"/>
        </w:rPr>
        <w:t>20</w:t>
      </w:r>
      <w:r w:rsidRPr="00E224E9">
        <w:rPr>
          <w:rFonts w:ascii="Book Antiqua" w:hAnsi="標楷體"/>
          <w:color w:val="000000" w:themeColor="text1"/>
          <w:sz w:val="24"/>
        </w:rPr>
        <w:t>、</w:t>
      </w:r>
      <w:r w:rsidRPr="00E224E9">
        <w:rPr>
          <w:rFonts w:ascii="Book Antiqua" w:hAnsi="Book Antiqua"/>
          <w:color w:val="000000" w:themeColor="text1"/>
          <w:sz w:val="24"/>
        </w:rPr>
        <w:t>22</w:t>
      </w:r>
      <w:r w:rsidRPr="00E224E9">
        <w:rPr>
          <w:rFonts w:ascii="Book Antiqua" w:hAnsi="標楷體"/>
          <w:color w:val="000000" w:themeColor="text1"/>
          <w:sz w:val="24"/>
        </w:rPr>
        <w:t>、</w:t>
      </w:r>
      <w:r w:rsidRPr="00E224E9">
        <w:rPr>
          <w:rFonts w:ascii="Book Antiqua" w:hAnsi="Book Antiqua"/>
          <w:color w:val="000000" w:themeColor="text1"/>
          <w:sz w:val="24"/>
        </w:rPr>
        <w:t>24</w:t>
      </w:r>
      <w:r w:rsidRPr="00E224E9">
        <w:rPr>
          <w:rFonts w:ascii="Book Antiqua" w:hAnsi="標楷體"/>
          <w:color w:val="000000" w:themeColor="text1"/>
          <w:sz w:val="24"/>
        </w:rPr>
        <w:t>列</w:t>
      </w:r>
      <w:r w:rsidR="00751E82" w:rsidRPr="00E224E9">
        <w:rPr>
          <w:rFonts w:ascii="Book Antiqua" w:hAnsi="標楷體" w:hint="eastAsia"/>
          <w:color w:val="000000" w:themeColor="text1"/>
          <w:sz w:val="24"/>
        </w:rPr>
        <w:t>減除第</w:t>
      </w:r>
      <w:r w:rsidR="00751E82" w:rsidRPr="00E224E9">
        <w:rPr>
          <w:rFonts w:ascii="Book Antiqua" w:hAnsi="標楷體"/>
          <w:color w:val="000000" w:themeColor="text1"/>
          <w:sz w:val="24"/>
        </w:rPr>
        <w:t>26</w:t>
      </w:r>
      <w:r w:rsidR="00751E82" w:rsidRPr="00E224E9">
        <w:rPr>
          <w:rFonts w:ascii="Book Antiqua" w:hAnsi="標楷體" w:hint="eastAsia"/>
          <w:color w:val="000000" w:themeColor="text1"/>
          <w:sz w:val="24"/>
        </w:rPr>
        <w:t>列</w:t>
      </w:r>
      <w:r w:rsidR="00751E82" w:rsidRPr="00E224E9">
        <w:rPr>
          <w:rFonts w:ascii="Book Antiqua" w:hAnsi="標楷體"/>
          <w:color w:val="000000" w:themeColor="text1"/>
          <w:sz w:val="24"/>
        </w:rPr>
        <w:t>SPV</w:t>
      </w:r>
      <w:r w:rsidR="00751E82" w:rsidRPr="00E224E9">
        <w:rPr>
          <w:rFonts w:ascii="Book Antiqua" w:hAnsi="標楷體" w:hint="eastAsia"/>
          <w:color w:val="000000" w:themeColor="text1"/>
          <w:sz w:val="24"/>
        </w:rPr>
        <w:t>國外籌資事業資金運用所投資之各列項目資產後</w:t>
      </w:r>
      <w:r w:rsidRPr="00E224E9">
        <w:rPr>
          <w:rFonts w:ascii="Book Antiqua" w:hAnsi="標楷體"/>
          <w:color w:val="000000" w:themeColor="text1"/>
          <w:sz w:val="24"/>
        </w:rPr>
        <w:t>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581164" w:rsidRPr="00E224E9">
        <w:rPr>
          <w:rFonts w:ascii="Book Antiqua" w:hAnsi="Book Antiqua"/>
          <w:color w:val="000000" w:themeColor="text1"/>
          <w:sz w:val="24"/>
        </w:rPr>
        <w:t>1</w:t>
      </w:r>
      <w:r w:rsidR="00581164" w:rsidRPr="00E224E9">
        <w:rPr>
          <w:rFonts w:ascii="Book Antiqua" w:hAnsi="Book Antiqua" w:hint="eastAsia"/>
          <w:color w:val="000000" w:themeColor="text1"/>
          <w:sz w:val="24"/>
        </w:rPr>
        <w:t>8</w:t>
      </w:r>
      <w:r w:rsidR="00581164" w:rsidRPr="00E224E9">
        <w:rPr>
          <w:rFonts w:ascii="Book Antiqua" w:hAnsi="標楷體"/>
          <w:color w:val="000000" w:themeColor="text1"/>
          <w:sz w:val="24"/>
        </w:rPr>
        <w:t>、</w:t>
      </w:r>
      <w:r w:rsidR="00581164" w:rsidRPr="00E224E9">
        <w:rPr>
          <w:rFonts w:ascii="Book Antiqua" w:hAnsi="Book Antiqua" w:hint="eastAsia"/>
          <w:color w:val="000000" w:themeColor="text1"/>
          <w:sz w:val="24"/>
        </w:rPr>
        <w:t>19</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0</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1</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2</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3</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4</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5</w:t>
      </w:r>
      <w:r w:rsidR="00581164" w:rsidRPr="00E224E9">
        <w:rPr>
          <w:rFonts w:ascii="Book Antiqua" w:hAnsi="標楷體"/>
          <w:color w:val="000000" w:themeColor="text1"/>
          <w:sz w:val="24"/>
        </w:rPr>
        <w:t>、</w:t>
      </w:r>
      <w:r w:rsidR="00581164" w:rsidRPr="00E224E9">
        <w:rPr>
          <w:rFonts w:ascii="Book Antiqua" w:hAnsi="Book Antiqua" w:hint="eastAsia"/>
          <w:color w:val="000000" w:themeColor="text1"/>
          <w:sz w:val="24"/>
        </w:rPr>
        <w:t>27</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6</w:t>
      </w:r>
      <w:r w:rsidRPr="00E224E9">
        <w:rPr>
          <w:rFonts w:ascii="Book Antiqua" w:hAnsi="標楷體"/>
          <w:color w:val="000000" w:themeColor="text1"/>
          <w:sz w:val="24"/>
        </w:rPr>
        <w:t>列之金額相一致。</w:t>
      </w:r>
    </w:p>
    <w:p w14:paraId="03A03C00" w14:textId="07D3DC76"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1</w:t>
      </w:r>
      <w:r w:rsidRPr="00E224E9">
        <w:rPr>
          <w:rFonts w:ascii="Book Antiqua" w:hAnsi="標楷體"/>
          <w:color w:val="000000" w:themeColor="text1"/>
          <w:sz w:val="24"/>
        </w:rPr>
        <w:t>、</w:t>
      </w:r>
      <w:r w:rsidRPr="00E224E9">
        <w:rPr>
          <w:rFonts w:ascii="Book Antiqua" w:hAnsi="Book Antiqua"/>
          <w:color w:val="000000" w:themeColor="text1"/>
          <w:sz w:val="24"/>
        </w:rPr>
        <w:t>3</w:t>
      </w:r>
      <w:r w:rsidRPr="00E224E9">
        <w:rPr>
          <w:rFonts w:ascii="Book Antiqua" w:hAnsi="標楷體"/>
          <w:color w:val="000000" w:themeColor="text1"/>
          <w:sz w:val="24"/>
        </w:rPr>
        <w:t>、</w:t>
      </w:r>
      <w:r w:rsidRPr="00E224E9">
        <w:rPr>
          <w:rFonts w:ascii="Book Antiqua" w:hAnsi="Book Antiqua"/>
          <w:color w:val="000000" w:themeColor="text1"/>
          <w:sz w:val="24"/>
        </w:rPr>
        <w:t>5</w:t>
      </w:r>
      <w:r w:rsidRPr="00E224E9">
        <w:rPr>
          <w:rFonts w:ascii="Book Antiqua" w:hAnsi="標楷體"/>
          <w:color w:val="000000" w:themeColor="text1"/>
          <w:sz w:val="24"/>
        </w:rPr>
        <w:t>、</w:t>
      </w:r>
      <w:r w:rsidRPr="00E224E9">
        <w:rPr>
          <w:rFonts w:ascii="Book Antiqua" w:hAnsi="Book Antiqua"/>
          <w:color w:val="000000" w:themeColor="text1"/>
          <w:sz w:val="24"/>
        </w:rPr>
        <w:t>7</w:t>
      </w:r>
      <w:r w:rsidRPr="00E224E9">
        <w:rPr>
          <w:rFonts w:ascii="Book Antiqua" w:hAnsi="標楷體"/>
          <w:color w:val="000000" w:themeColor="text1"/>
          <w:sz w:val="24"/>
        </w:rPr>
        <w:t>、</w:t>
      </w:r>
      <w:r w:rsidRPr="00E224E9">
        <w:rPr>
          <w:rFonts w:ascii="Book Antiqua" w:hAnsi="Book Antiqua"/>
          <w:color w:val="000000" w:themeColor="text1"/>
          <w:sz w:val="24"/>
        </w:rPr>
        <w:t>9</w:t>
      </w:r>
      <w:r w:rsidRPr="00E224E9">
        <w:rPr>
          <w:rFonts w:ascii="Book Antiqua" w:hAnsi="標楷體"/>
          <w:color w:val="000000" w:themeColor="text1"/>
          <w:sz w:val="24"/>
        </w:rPr>
        <w:t>、</w:t>
      </w:r>
      <w:r w:rsidRPr="00E224E9">
        <w:rPr>
          <w:rFonts w:ascii="Book Antiqua" w:hAnsi="Book Antiqua"/>
          <w:color w:val="000000" w:themeColor="text1"/>
          <w:sz w:val="24"/>
        </w:rPr>
        <w:t>11</w:t>
      </w:r>
      <w:r w:rsidRPr="00E224E9">
        <w:rPr>
          <w:rFonts w:ascii="Book Antiqua" w:hAnsi="標楷體"/>
          <w:color w:val="000000" w:themeColor="text1"/>
          <w:sz w:val="24"/>
        </w:rPr>
        <w:t>、</w:t>
      </w:r>
      <w:r w:rsidRPr="00E224E9">
        <w:rPr>
          <w:rFonts w:ascii="Book Antiqua" w:hAnsi="Book Antiqua"/>
          <w:color w:val="000000" w:themeColor="text1"/>
          <w:sz w:val="24"/>
        </w:rPr>
        <w:t>17</w:t>
      </w:r>
      <w:r w:rsidRPr="00E224E9">
        <w:rPr>
          <w:rFonts w:ascii="Book Antiqua" w:hAnsi="標楷體"/>
          <w:color w:val="000000" w:themeColor="text1"/>
          <w:sz w:val="24"/>
        </w:rPr>
        <w:t>、</w:t>
      </w:r>
      <w:r w:rsidRPr="00E224E9">
        <w:rPr>
          <w:rFonts w:ascii="Book Antiqua" w:hAnsi="Book Antiqua"/>
          <w:color w:val="000000" w:themeColor="text1"/>
          <w:sz w:val="24"/>
        </w:rPr>
        <w:t>19</w:t>
      </w:r>
      <w:r w:rsidRPr="00E224E9">
        <w:rPr>
          <w:rFonts w:ascii="Book Antiqua" w:hAnsi="標楷體"/>
          <w:color w:val="000000" w:themeColor="text1"/>
          <w:sz w:val="24"/>
        </w:rPr>
        <w:t>、</w:t>
      </w:r>
      <w:r w:rsidRPr="00E224E9">
        <w:rPr>
          <w:rFonts w:ascii="Book Antiqua" w:hAnsi="Book Antiqua"/>
          <w:color w:val="000000" w:themeColor="text1"/>
          <w:sz w:val="24"/>
        </w:rPr>
        <w:t>21</w:t>
      </w:r>
      <w:r w:rsidRPr="00E224E9">
        <w:rPr>
          <w:rFonts w:ascii="Book Antiqua" w:hAnsi="標楷體"/>
          <w:color w:val="000000" w:themeColor="text1"/>
          <w:sz w:val="24"/>
        </w:rPr>
        <w:t>列</w:t>
      </w:r>
      <w:r w:rsidR="00751E82" w:rsidRPr="00E224E9">
        <w:rPr>
          <w:rFonts w:ascii="標楷體" w:hAnsi="標楷體" w:hint="eastAsia"/>
          <w:color w:val="000000" w:themeColor="text1"/>
          <w:sz w:val="24"/>
        </w:rPr>
        <w:t>減除第25列SPV國外籌資事業資金運用所投資之各列項目資產後</w:t>
      </w:r>
      <w:r w:rsidRPr="00E224E9">
        <w:rPr>
          <w:rFonts w:ascii="Book Antiqua" w:hAnsi="標楷體"/>
          <w:color w:val="000000" w:themeColor="text1"/>
          <w:sz w:val="24"/>
        </w:rPr>
        <w:t>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9</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0</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1</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2</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3</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4</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5</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6</w:t>
      </w:r>
      <w:r w:rsidRPr="00E224E9">
        <w:rPr>
          <w:rFonts w:ascii="Book Antiqua" w:hAnsi="標楷體"/>
          <w:color w:val="000000" w:themeColor="text1"/>
          <w:sz w:val="24"/>
        </w:rPr>
        <w:t>、</w:t>
      </w:r>
      <w:r w:rsidR="00581164" w:rsidRPr="00E224E9">
        <w:rPr>
          <w:rFonts w:ascii="Book Antiqua" w:hAnsi="Book Antiqua" w:hint="eastAsia"/>
          <w:color w:val="000000" w:themeColor="text1"/>
          <w:sz w:val="24"/>
        </w:rPr>
        <w:t>37</w:t>
      </w:r>
      <w:r w:rsidRPr="00E224E9">
        <w:rPr>
          <w:rFonts w:ascii="Book Antiqua" w:hAnsi="標楷體"/>
          <w:color w:val="000000" w:themeColor="text1"/>
          <w:sz w:val="24"/>
        </w:rPr>
        <w:t>列之金額相一致。</w:t>
      </w:r>
    </w:p>
    <w:p w14:paraId="352A88C5" w14:textId="0A602849"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標楷體"/>
          <w:color w:val="000000" w:themeColor="text1"/>
          <w:sz w:val="24"/>
        </w:rPr>
        <w:t>、</w:t>
      </w:r>
      <w:r w:rsidRPr="00E224E9">
        <w:rPr>
          <w:rFonts w:ascii="Book Antiqua" w:hAnsi="Book Antiqua"/>
          <w:color w:val="000000" w:themeColor="text1"/>
          <w:sz w:val="24"/>
        </w:rPr>
        <w:t>4</w:t>
      </w:r>
      <w:r w:rsidRPr="00E224E9">
        <w:rPr>
          <w:rFonts w:ascii="Book Antiqua" w:hAnsi="標楷體"/>
          <w:color w:val="000000" w:themeColor="text1"/>
          <w:sz w:val="24"/>
        </w:rPr>
        <w:t>、</w:t>
      </w:r>
      <w:r w:rsidRPr="00E224E9">
        <w:rPr>
          <w:rFonts w:ascii="Book Antiqua" w:hAnsi="Book Antiqua"/>
          <w:color w:val="000000" w:themeColor="text1"/>
          <w:sz w:val="24"/>
        </w:rPr>
        <w:t>6</w:t>
      </w:r>
      <w:r w:rsidRPr="00E224E9">
        <w:rPr>
          <w:rFonts w:ascii="Book Antiqua" w:hAnsi="標楷體"/>
          <w:color w:val="000000" w:themeColor="text1"/>
          <w:sz w:val="24"/>
        </w:rPr>
        <w:t>、</w:t>
      </w:r>
      <w:r w:rsidRPr="00E224E9">
        <w:rPr>
          <w:rFonts w:ascii="Book Antiqua" w:hAnsi="Book Antiqua"/>
          <w:color w:val="000000" w:themeColor="text1"/>
          <w:sz w:val="24"/>
        </w:rPr>
        <w:t>8</w:t>
      </w:r>
      <w:r w:rsidRPr="00E224E9">
        <w:rPr>
          <w:rFonts w:ascii="Book Antiqua" w:hAnsi="標楷體"/>
          <w:color w:val="000000" w:themeColor="text1"/>
          <w:sz w:val="24"/>
        </w:rPr>
        <w:t>、</w:t>
      </w:r>
      <w:r w:rsidRPr="00E224E9">
        <w:rPr>
          <w:rFonts w:ascii="Book Antiqua" w:hAnsi="Book Antiqua"/>
          <w:color w:val="000000" w:themeColor="text1"/>
          <w:sz w:val="24"/>
        </w:rPr>
        <w:t>10</w:t>
      </w:r>
      <w:r w:rsidRPr="00E224E9">
        <w:rPr>
          <w:rFonts w:ascii="Book Antiqua" w:hAnsi="標楷體"/>
          <w:color w:val="000000" w:themeColor="text1"/>
          <w:sz w:val="24"/>
        </w:rPr>
        <w:t>、</w:t>
      </w:r>
      <w:r w:rsidRPr="00E224E9">
        <w:rPr>
          <w:rFonts w:ascii="Book Antiqua" w:hAnsi="Book Antiqua"/>
          <w:color w:val="000000" w:themeColor="text1"/>
          <w:sz w:val="24"/>
        </w:rPr>
        <w:t>12</w:t>
      </w:r>
      <w:r w:rsidRPr="00E224E9">
        <w:rPr>
          <w:rFonts w:ascii="Book Antiqua" w:hAnsi="標楷體"/>
          <w:color w:val="000000" w:themeColor="text1"/>
          <w:sz w:val="24"/>
        </w:rPr>
        <w:t>、</w:t>
      </w:r>
      <w:r w:rsidRPr="00E224E9">
        <w:rPr>
          <w:rFonts w:ascii="Book Antiqua" w:hAnsi="Book Antiqua"/>
          <w:color w:val="000000" w:themeColor="text1"/>
          <w:sz w:val="24"/>
        </w:rPr>
        <w:t>18</w:t>
      </w:r>
      <w:r w:rsidRPr="00E224E9">
        <w:rPr>
          <w:rFonts w:ascii="Book Antiqua" w:hAnsi="標楷體"/>
          <w:color w:val="000000" w:themeColor="text1"/>
          <w:sz w:val="24"/>
        </w:rPr>
        <w:t>、</w:t>
      </w:r>
      <w:r w:rsidRPr="00E224E9">
        <w:rPr>
          <w:rFonts w:ascii="Book Antiqua" w:hAnsi="Book Antiqua"/>
          <w:color w:val="000000" w:themeColor="text1"/>
          <w:sz w:val="24"/>
        </w:rPr>
        <w:t>20</w:t>
      </w:r>
      <w:r w:rsidRPr="00E224E9">
        <w:rPr>
          <w:rFonts w:ascii="Book Antiqua" w:hAnsi="標楷體"/>
          <w:color w:val="000000" w:themeColor="text1"/>
          <w:sz w:val="24"/>
        </w:rPr>
        <w:t>、</w:t>
      </w:r>
      <w:r w:rsidRPr="00E224E9">
        <w:rPr>
          <w:rFonts w:ascii="Book Antiqua" w:hAnsi="Book Antiqua"/>
          <w:color w:val="000000" w:themeColor="text1"/>
          <w:sz w:val="24"/>
        </w:rPr>
        <w:t>22</w:t>
      </w:r>
      <w:r w:rsidRPr="00E224E9">
        <w:rPr>
          <w:rFonts w:ascii="Book Antiqua" w:hAnsi="標楷體"/>
          <w:color w:val="000000" w:themeColor="text1"/>
          <w:sz w:val="24"/>
        </w:rPr>
        <w:t>列</w:t>
      </w:r>
      <w:r w:rsidR="00751E82" w:rsidRPr="00E224E9">
        <w:rPr>
          <w:rFonts w:ascii="Book Antiqua" w:hAnsi="標楷體" w:hint="eastAsia"/>
          <w:color w:val="000000" w:themeColor="text1"/>
          <w:sz w:val="24"/>
        </w:rPr>
        <w:t>減除第</w:t>
      </w:r>
      <w:r w:rsidR="00751E82" w:rsidRPr="00E224E9">
        <w:rPr>
          <w:rFonts w:ascii="Book Antiqua" w:hAnsi="標楷體" w:hint="eastAsia"/>
          <w:color w:val="000000" w:themeColor="text1"/>
          <w:sz w:val="24"/>
        </w:rPr>
        <w:t>26</w:t>
      </w:r>
      <w:r w:rsidR="00751E82" w:rsidRPr="00E224E9">
        <w:rPr>
          <w:rFonts w:ascii="Book Antiqua" w:hAnsi="標楷體" w:hint="eastAsia"/>
          <w:color w:val="000000" w:themeColor="text1"/>
          <w:sz w:val="24"/>
        </w:rPr>
        <w:t>列</w:t>
      </w:r>
      <w:r w:rsidR="00751E82" w:rsidRPr="00E224E9">
        <w:rPr>
          <w:rFonts w:ascii="Book Antiqua" w:hAnsi="標楷體" w:hint="eastAsia"/>
          <w:color w:val="000000" w:themeColor="text1"/>
          <w:sz w:val="24"/>
        </w:rPr>
        <w:t>SPV</w:t>
      </w:r>
      <w:r w:rsidR="00751E82" w:rsidRPr="00E224E9">
        <w:rPr>
          <w:rFonts w:ascii="Book Antiqua" w:hAnsi="標楷體" w:hint="eastAsia"/>
          <w:color w:val="000000" w:themeColor="text1"/>
          <w:sz w:val="24"/>
        </w:rPr>
        <w:t>國外籌資事業資金運用所投資之各列項目資產後</w:t>
      </w:r>
      <w:r w:rsidRPr="00E224E9">
        <w:rPr>
          <w:rFonts w:ascii="Book Antiqua" w:hAnsi="標楷體"/>
          <w:color w:val="000000" w:themeColor="text1"/>
          <w:sz w:val="24"/>
        </w:rPr>
        <w:t>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9</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0</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1</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2</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3</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4</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5</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6</w:t>
      </w:r>
      <w:r w:rsidR="00581164" w:rsidRPr="00E224E9">
        <w:rPr>
          <w:rFonts w:ascii="Book Antiqua" w:hAnsi="標楷體"/>
          <w:color w:val="000000" w:themeColor="text1"/>
          <w:sz w:val="24"/>
        </w:rPr>
        <w:t>、</w:t>
      </w:r>
      <w:r w:rsidR="00581164" w:rsidRPr="00E224E9">
        <w:rPr>
          <w:rFonts w:ascii="Book Antiqua" w:hAnsi="Book Antiqua" w:hint="eastAsia"/>
          <w:color w:val="000000" w:themeColor="text1"/>
          <w:sz w:val="24"/>
        </w:rPr>
        <w:t>37</w:t>
      </w:r>
      <w:r w:rsidRPr="00E224E9">
        <w:rPr>
          <w:rFonts w:ascii="Book Antiqua" w:hAnsi="標楷體"/>
          <w:color w:val="000000" w:themeColor="text1"/>
          <w:sz w:val="24"/>
        </w:rPr>
        <w:t>列之金額相一致。</w:t>
      </w:r>
    </w:p>
    <w:p w14:paraId="3BCDACF5" w14:textId="64EEA6C7"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欄第</w:t>
      </w:r>
      <w:r w:rsidRPr="00E224E9">
        <w:rPr>
          <w:rFonts w:ascii="Book Antiqua" w:hAnsi="Book Antiqua"/>
          <w:color w:val="000000" w:themeColor="text1"/>
          <w:sz w:val="24"/>
        </w:rPr>
        <w:t>1</w:t>
      </w:r>
      <w:r w:rsidRPr="00E224E9">
        <w:rPr>
          <w:rFonts w:ascii="Book Antiqua" w:hAnsi="標楷體"/>
          <w:color w:val="000000" w:themeColor="text1"/>
          <w:sz w:val="24"/>
        </w:rPr>
        <w:t>、</w:t>
      </w:r>
      <w:r w:rsidRPr="00E224E9">
        <w:rPr>
          <w:rFonts w:ascii="Book Antiqua" w:hAnsi="Book Antiqua"/>
          <w:color w:val="000000" w:themeColor="text1"/>
          <w:sz w:val="24"/>
        </w:rPr>
        <w:t>3</w:t>
      </w:r>
      <w:r w:rsidRPr="00E224E9">
        <w:rPr>
          <w:rFonts w:ascii="Book Antiqua" w:hAnsi="標楷體"/>
          <w:color w:val="000000" w:themeColor="text1"/>
          <w:sz w:val="24"/>
        </w:rPr>
        <w:t>、</w:t>
      </w:r>
      <w:r w:rsidRPr="00E224E9">
        <w:rPr>
          <w:rFonts w:ascii="Book Antiqua" w:hAnsi="標楷體" w:hint="eastAsia"/>
          <w:color w:val="000000" w:themeColor="text1"/>
          <w:sz w:val="24"/>
        </w:rPr>
        <w:t>5</w:t>
      </w:r>
      <w:r w:rsidRPr="00E224E9">
        <w:rPr>
          <w:rFonts w:ascii="Book Antiqua" w:hAnsi="標楷體" w:hint="eastAsia"/>
          <w:color w:val="000000" w:themeColor="text1"/>
          <w:sz w:val="24"/>
        </w:rPr>
        <w:t>、</w:t>
      </w:r>
      <w:r w:rsidRPr="00E224E9">
        <w:rPr>
          <w:rFonts w:ascii="Book Antiqua" w:hAnsi="Book Antiqua"/>
          <w:color w:val="000000" w:themeColor="text1"/>
          <w:sz w:val="24"/>
        </w:rPr>
        <w:t>7</w:t>
      </w:r>
      <w:r w:rsidR="00581164" w:rsidRPr="00E224E9">
        <w:rPr>
          <w:rFonts w:ascii="Book Antiqua" w:hAnsi="Book Antiqua" w:hint="eastAsia"/>
          <w:color w:val="000000" w:themeColor="text1"/>
          <w:sz w:val="24"/>
        </w:rPr>
        <w:t>、</w:t>
      </w:r>
      <w:r w:rsidR="00581164" w:rsidRPr="00E224E9">
        <w:rPr>
          <w:rFonts w:ascii="Book Antiqua" w:hAnsi="Book Antiqua" w:hint="eastAsia"/>
          <w:color w:val="000000" w:themeColor="text1"/>
          <w:sz w:val="24"/>
        </w:rPr>
        <w:t>9</w:t>
      </w:r>
      <w:r w:rsidRPr="00E224E9">
        <w:rPr>
          <w:rFonts w:ascii="Book Antiqua" w:hAnsi="標楷體"/>
          <w:color w:val="000000" w:themeColor="text1"/>
          <w:sz w:val="24"/>
        </w:rPr>
        <w:t>、</w:t>
      </w:r>
      <w:r w:rsidRPr="00E224E9">
        <w:rPr>
          <w:rFonts w:ascii="Book Antiqua" w:hAnsi="Book Antiqua"/>
          <w:color w:val="000000" w:themeColor="text1"/>
          <w:sz w:val="24"/>
        </w:rPr>
        <w:t>11</w:t>
      </w:r>
      <w:r w:rsidRPr="00E224E9">
        <w:rPr>
          <w:rFonts w:ascii="Book Antiqua" w:hAnsi="標楷體"/>
          <w:color w:val="000000" w:themeColor="text1"/>
          <w:sz w:val="24"/>
        </w:rPr>
        <w:t>、</w:t>
      </w:r>
      <w:r w:rsidRPr="00E224E9">
        <w:rPr>
          <w:rFonts w:ascii="Book Antiqua" w:hAnsi="Book Antiqua"/>
          <w:color w:val="000000" w:themeColor="text1"/>
          <w:sz w:val="24"/>
        </w:rPr>
        <w:t>17</w:t>
      </w:r>
      <w:r w:rsidRPr="00E224E9">
        <w:rPr>
          <w:rFonts w:ascii="Book Antiqua" w:hAnsi="標楷體"/>
          <w:color w:val="000000" w:themeColor="text1"/>
          <w:sz w:val="24"/>
        </w:rPr>
        <w:t>、</w:t>
      </w:r>
      <w:r w:rsidRPr="00E224E9">
        <w:rPr>
          <w:rFonts w:ascii="Book Antiqua" w:hAnsi="Book Antiqua"/>
          <w:color w:val="000000" w:themeColor="text1"/>
          <w:sz w:val="24"/>
        </w:rPr>
        <w:t>19</w:t>
      </w:r>
      <w:r w:rsidRPr="00E224E9">
        <w:rPr>
          <w:rFonts w:ascii="Book Antiqua" w:hAnsi="標楷體"/>
          <w:color w:val="000000" w:themeColor="text1"/>
          <w:sz w:val="24"/>
        </w:rPr>
        <w:t>、</w:t>
      </w:r>
      <w:r w:rsidRPr="00E224E9">
        <w:rPr>
          <w:rFonts w:ascii="Book Antiqua" w:hAnsi="Book Antiqua"/>
          <w:color w:val="000000" w:themeColor="text1"/>
          <w:sz w:val="24"/>
        </w:rPr>
        <w:t>21</w:t>
      </w:r>
      <w:r w:rsidRPr="00E224E9">
        <w:rPr>
          <w:rFonts w:ascii="Book Antiqua" w:hAnsi="標楷體"/>
          <w:color w:val="000000" w:themeColor="text1"/>
          <w:sz w:val="24"/>
        </w:rPr>
        <w:t>列</w:t>
      </w:r>
      <w:r w:rsidR="00751E82" w:rsidRPr="00E224E9">
        <w:rPr>
          <w:rFonts w:ascii="標楷體" w:hAnsi="標楷體" w:hint="eastAsia"/>
          <w:color w:val="000000" w:themeColor="text1"/>
          <w:sz w:val="24"/>
        </w:rPr>
        <w:t>減除第25列SPV國外籌資事業資金運用所投資之各列項目資產後</w:t>
      </w:r>
      <w:r w:rsidRPr="00E224E9">
        <w:rPr>
          <w:rFonts w:ascii="Book Antiqua" w:hAnsi="標楷體"/>
          <w:color w:val="000000" w:themeColor="text1"/>
          <w:sz w:val="24"/>
        </w:rPr>
        <w:t>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581164" w:rsidRPr="00E224E9">
        <w:rPr>
          <w:rFonts w:ascii="Book Antiqua" w:hAnsi="Book Antiqua" w:hint="eastAsia"/>
          <w:color w:val="000000" w:themeColor="text1"/>
          <w:sz w:val="24"/>
        </w:rPr>
        <w:t>39</w:t>
      </w:r>
      <w:r w:rsidRPr="00E224E9">
        <w:rPr>
          <w:rFonts w:ascii="Book Antiqua" w:hAnsi="標楷體"/>
          <w:color w:val="000000" w:themeColor="text1"/>
          <w:sz w:val="24"/>
        </w:rPr>
        <w:t>、</w:t>
      </w:r>
      <w:r w:rsidR="00581164" w:rsidRPr="00E224E9">
        <w:rPr>
          <w:rFonts w:ascii="Book Antiqua" w:hAnsi="Book Antiqua" w:hint="eastAsia"/>
          <w:color w:val="000000" w:themeColor="text1"/>
          <w:sz w:val="24"/>
        </w:rPr>
        <w:t>40</w:t>
      </w:r>
      <w:r w:rsidRPr="00E224E9">
        <w:rPr>
          <w:rFonts w:ascii="Book Antiqua" w:hAnsi="標楷體"/>
          <w:color w:val="000000" w:themeColor="text1"/>
          <w:sz w:val="24"/>
        </w:rPr>
        <w:t>、</w:t>
      </w:r>
      <w:r w:rsidR="00581164" w:rsidRPr="00E224E9">
        <w:rPr>
          <w:rFonts w:ascii="Book Antiqua" w:hAnsi="Book Antiqua" w:hint="eastAsia"/>
          <w:color w:val="000000" w:themeColor="text1"/>
          <w:sz w:val="24"/>
        </w:rPr>
        <w:t>41</w:t>
      </w:r>
      <w:r w:rsidRPr="00E224E9">
        <w:rPr>
          <w:rFonts w:ascii="Book Antiqua" w:hAnsi="標楷體"/>
          <w:color w:val="000000" w:themeColor="text1"/>
          <w:sz w:val="24"/>
        </w:rPr>
        <w:t>、</w:t>
      </w:r>
      <w:r w:rsidR="00581164" w:rsidRPr="00E224E9">
        <w:rPr>
          <w:rFonts w:ascii="Book Antiqua" w:hAnsi="Book Antiqua" w:hint="eastAsia"/>
          <w:color w:val="000000" w:themeColor="text1"/>
          <w:sz w:val="24"/>
        </w:rPr>
        <w:t>42</w:t>
      </w:r>
      <w:r w:rsidR="003B555A" w:rsidRPr="00E224E9">
        <w:rPr>
          <w:rFonts w:ascii="Book Antiqua" w:hAnsi="Book Antiqua" w:hint="eastAsia"/>
          <w:color w:val="000000" w:themeColor="text1"/>
          <w:sz w:val="24"/>
        </w:rPr>
        <w:t>、</w:t>
      </w:r>
      <w:r w:rsidR="003B555A" w:rsidRPr="00E224E9">
        <w:rPr>
          <w:rFonts w:ascii="Book Antiqua" w:hAnsi="Book Antiqua" w:hint="eastAsia"/>
          <w:color w:val="000000" w:themeColor="text1"/>
          <w:sz w:val="24"/>
        </w:rPr>
        <w:t>43</w:t>
      </w:r>
      <w:r w:rsidRPr="00E224E9">
        <w:rPr>
          <w:rFonts w:ascii="Book Antiqua" w:hAnsi="標楷體"/>
          <w:color w:val="000000" w:themeColor="text1"/>
          <w:sz w:val="24"/>
        </w:rPr>
        <w:t>、</w:t>
      </w:r>
      <w:r w:rsidR="003B555A" w:rsidRPr="00E224E9">
        <w:rPr>
          <w:rFonts w:ascii="Book Antiqua" w:hAnsi="Book Antiqua" w:hint="eastAsia"/>
          <w:color w:val="000000" w:themeColor="text1"/>
          <w:sz w:val="24"/>
        </w:rPr>
        <w:t>44</w:t>
      </w:r>
      <w:r w:rsidRPr="00E224E9">
        <w:rPr>
          <w:rFonts w:ascii="Book Antiqua" w:hAnsi="標楷體"/>
          <w:color w:val="000000" w:themeColor="text1"/>
          <w:sz w:val="24"/>
        </w:rPr>
        <w:t>、</w:t>
      </w:r>
      <w:r w:rsidR="003B555A" w:rsidRPr="00E224E9">
        <w:rPr>
          <w:rFonts w:ascii="Book Antiqua" w:hAnsi="Book Antiqua" w:hint="eastAsia"/>
          <w:color w:val="000000" w:themeColor="text1"/>
          <w:sz w:val="24"/>
        </w:rPr>
        <w:t>45</w:t>
      </w:r>
      <w:r w:rsidRPr="00E224E9">
        <w:rPr>
          <w:rFonts w:ascii="Book Antiqua" w:hAnsi="標楷體"/>
          <w:color w:val="000000" w:themeColor="text1"/>
          <w:sz w:val="24"/>
        </w:rPr>
        <w:t>、</w:t>
      </w:r>
      <w:r w:rsidR="003B555A" w:rsidRPr="00E224E9">
        <w:rPr>
          <w:rFonts w:ascii="Book Antiqua" w:hAnsi="標楷體" w:hint="eastAsia"/>
          <w:color w:val="000000" w:themeColor="text1"/>
          <w:sz w:val="24"/>
        </w:rPr>
        <w:t>4</w:t>
      </w:r>
      <w:r w:rsidRPr="00E224E9">
        <w:rPr>
          <w:rFonts w:ascii="Book Antiqua" w:hAnsi="Book Antiqua"/>
          <w:color w:val="000000" w:themeColor="text1"/>
          <w:sz w:val="24"/>
        </w:rPr>
        <w:t>6</w:t>
      </w:r>
      <w:r w:rsidRPr="00E224E9">
        <w:rPr>
          <w:rFonts w:ascii="Book Antiqua" w:hAnsi="Book Antiqua" w:hint="eastAsia"/>
          <w:color w:val="000000" w:themeColor="text1"/>
          <w:sz w:val="24"/>
        </w:rPr>
        <w:t>、</w:t>
      </w:r>
      <w:r w:rsidR="003B555A" w:rsidRPr="00E224E9">
        <w:rPr>
          <w:rFonts w:ascii="Book Antiqua" w:hAnsi="Book Antiqua" w:hint="eastAsia"/>
          <w:color w:val="000000" w:themeColor="text1"/>
          <w:sz w:val="24"/>
        </w:rPr>
        <w:t>47</w:t>
      </w:r>
      <w:r w:rsidRPr="00E224E9">
        <w:rPr>
          <w:rFonts w:ascii="Book Antiqua" w:hAnsi="標楷體"/>
          <w:color w:val="000000" w:themeColor="text1"/>
          <w:sz w:val="24"/>
        </w:rPr>
        <w:t>列之金額相一致。</w:t>
      </w:r>
    </w:p>
    <w:p w14:paraId="5C71001B" w14:textId="2140CB60"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標楷體"/>
          <w:color w:val="000000" w:themeColor="text1"/>
          <w:sz w:val="24"/>
        </w:rPr>
        <w:t>、</w:t>
      </w:r>
      <w:r w:rsidRPr="00E224E9">
        <w:rPr>
          <w:rFonts w:ascii="Book Antiqua" w:hAnsi="Book Antiqua"/>
          <w:color w:val="000000" w:themeColor="text1"/>
          <w:sz w:val="24"/>
        </w:rPr>
        <w:t>4</w:t>
      </w:r>
      <w:r w:rsidRPr="00E224E9">
        <w:rPr>
          <w:rFonts w:ascii="Book Antiqua" w:hAnsi="標楷體"/>
          <w:color w:val="000000" w:themeColor="text1"/>
          <w:sz w:val="24"/>
        </w:rPr>
        <w:t>、</w:t>
      </w:r>
      <w:r w:rsidRPr="00E224E9">
        <w:rPr>
          <w:rFonts w:ascii="Book Antiqua" w:hAnsi="Book Antiqua"/>
          <w:color w:val="000000" w:themeColor="text1"/>
          <w:sz w:val="24"/>
        </w:rPr>
        <w:t>6</w:t>
      </w:r>
      <w:r w:rsidRPr="00E224E9">
        <w:rPr>
          <w:rFonts w:ascii="Book Antiqua" w:hAnsi="標楷體"/>
          <w:color w:val="000000" w:themeColor="text1"/>
          <w:sz w:val="24"/>
        </w:rPr>
        <w:t>、</w:t>
      </w:r>
      <w:r w:rsidRPr="00E224E9">
        <w:rPr>
          <w:rFonts w:ascii="Book Antiqua" w:hAnsi="Book Antiqua"/>
          <w:color w:val="000000" w:themeColor="text1"/>
          <w:sz w:val="24"/>
        </w:rPr>
        <w:t>8</w:t>
      </w:r>
      <w:r w:rsidR="00581164" w:rsidRPr="00E224E9">
        <w:rPr>
          <w:rFonts w:ascii="Book Antiqua" w:hAnsi="Book Antiqua" w:hint="eastAsia"/>
          <w:color w:val="000000" w:themeColor="text1"/>
          <w:sz w:val="24"/>
        </w:rPr>
        <w:t>、</w:t>
      </w:r>
      <w:r w:rsidR="00581164" w:rsidRPr="00E224E9">
        <w:rPr>
          <w:rFonts w:ascii="Book Antiqua" w:hAnsi="Book Antiqua" w:hint="eastAsia"/>
          <w:color w:val="000000" w:themeColor="text1"/>
          <w:sz w:val="24"/>
        </w:rPr>
        <w:t>10</w:t>
      </w:r>
      <w:r w:rsidRPr="00E224E9">
        <w:rPr>
          <w:rFonts w:ascii="Book Antiqua" w:hAnsi="標楷體"/>
          <w:color w:val="000000" w:themeColor="text1"/>
          <w:sz w:val="24"/>
        </w:rPr>
        <w:t>、</w:t>
      </w:r>
      <w:r w:rsidRPr="00E224E9">
        <w:rPr>
          <w:rFonts w:ascii="Book Antiqua" w:hAnsi="Book Antiqua"/>
          <w:color w:val="000000" w:themeColor="text1"/>
          <w:sz w:val="24"/>
        </w:rPr>
        <w:t>12</w:t>
      </w:r>
      <w:r w:rsidRPr="00E224E9">
        <w:rPr>
          <w:rFonts w:ascii="Book Antiqua" w:hAnsi="標楷體"/>
          <w:color w:val="000000" w:themeColor="text1"/>
          <w:sz w:val="24"/>
        </w:rPr>
        <w:t>、</w:t>
      </w:r>
      <w:r w:rsidRPr="00E224E9">
        <w:rPr>
          <w:rFonts w:ascii="Book Antiqua" w:hAnsi="Book Antiqua"/>
          <w:color w:val="000000" w:themeColor="text1"/>
          <w:sz w:val="24"/>
        </w:rPr>
        <w:t>18</w:t>
      </w:r>
      <w:r w:rsidRPr="00E224E9">
        <w:rPr>
          <w:rFonts w:ascii="Book Antiqua" w:hAnsi="標楷體"/>
          <w:color w:val="000000" w:themeColor="text1"/>
          <w:sz w:val="24"/>
        </w:rPr>
        <w:t>、</w:t>
      </w:r>
      <w:r w:rsidRPr="00E224E9">
        <w:rPr>
          <w:rFonts w:ascii="Book Antiqua" w:hAnsi="Book Antiqua"/>
          <w:color w:val="000000" w:themeColor="text1"/>
          <w:sz w:val="24"/>
        </w:rPr>
        <w:t>20</w:t>
      </w:r>
      <w:r w:rsidRPr="00E224E9">
        <w:rPr>
          <w:rFonts w:ascii="Book Antiqua" w:hAnsi="標楷體"/>
          <w:color w:val="000000" w:themeColor="text1"/>
          <w:sz w:val="24"/>
        </w:rPr>
        <w:t>、</w:t>
      </w:r>
      <w:r w:rsidRPr="00E224E9">
        <w:rPr>
          <w:rFonts w:ascii="Book Antiqua" w:hAnsi="Book Antiqua"/>
          <w:color w:val="000000" w:themeColor="text1"/>
          <w:sz w:val="24"/>
        </w:rPr>
        <w:t>22</w:t>
      </w:r>
      <w:r w:rsidRPr="00E224E9">
        <w:rPr>
          <w:rFonts w:ascii="Book Antiqua" w:hAnsi="標楷體"/>
          <w:color w:val="000000" w:themeColor="text1"/>
          <w:sz w:val="24"/>
        </w:rPr>
        <w:t>列</w:t>
      </w:r>
      <w:r w:rsidR="00751E82" w:rsidRPr="00E224E9">
        <w:rPr>
          <w:rFonts w:ascii="Book Antiqua" w:hAnsi="標楷體" w:hint="eastAsia"/>
          <w:color w:val="000000" w:themeColor="text1"/>
          <w:sz w:val="24"/>
        </w:rPr>
        <w:t>減除第</w:t>
      </w:r>
      <w:r w:rsidR="00751E82" w:rsidRPr="00E224E9">
        <w:rPr>
          <w:rFonts w:ascii="Book Antiqua" w:hAnsi="標楷體" w:hint="eastAsia"/>
          <w:color w:val="000000" w:themeColor="text1"/>
          <w:sz w:val="24"/>
        </w:rPr>
        <w:t>26</w:t>
      </w:r>
      <w:r w:rsidR="00751E82" w:rsidRPr="00E224E9">
        <w:rPr>
          <w:rFonts w:ascii="Book Antiqua" w:hAnsi="標楷體" w:hint="eastAsia"/>
          <w:color w:val="000000" w:themeColor="text1"/>
          <w:sz w:val="24"/>
        </w:rPr>
        <w:t>列</w:t>
      </w:r>
      <w:r w:rsidR="00751E82" w:rsidRPr="00E224E9">
        <w:rPr>
          <w:rFonts w:ascii="Book Antiqua" w:hAnsi="標楷體" w:hint="eastAsia"/>
          <w:color w:val="000000" w:themeColor="text1"/>
          <w:sz w:val="24"/>
        </w:rPr>
        <w:t>SPV</w:t>
      </w:r>
      <w:r w:rsidR="00751E82" w:rsidRPr="00E224E9">
        <w:rPr>
          <w:rFonts w:ascii="Book Antiqua" w:hAnsi="標楷體" w:hint="eastAsia"/>
          <w:color w:val="000000" w:themeColor="text1"/>
          <w:sz w:val="24"/>
        </w:rPr>
        <w:t>國外籌資事業資金運用所投資之各列項目資產後</w:t>
      </w:r>
      <w:r w:rsidRPr="00E224E9">
        <w:rPr>
          <w:rFonts w:ascii="Book Antiqua" w:hAnsi="標楷體"/>
          <w:color w:val="000000" w:themeColor="text1"/>
          <w:sz w:val="24"/>
        </w:rPr>
        <w:t>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3B555A" w:rsidRPr="00E224E9">
        <w:rPr>
          <w:rFonts w:ascii="Book Antiqua" w:hAnsi="Book Antiqua" w:hint="eastAsia"/>
          <w:color w:val="000000" w:themeColor="text1"/>
          <w:sz w:val="24"/>
        </w:rPr>
        <w:t>39</w:t>
      </w:r>
      <w:r w:rsidR="003B555A" w:rsidRPr="00E224E9">
        <w:rPr>
          <w:rFonts w:ascii="Book Antiqua" w:hAnsi="標楷體"/>
          <w:color w:val="000000" w:themeColor="text1"/>
          <w:sz w:val="24"/>
        </w:rPr>
        <w:t>、</w:t>
      </w:r>
      <w:r w:rsidR="003B555A" w:rsidRPr="00E224E9">
        <w:rPr>
          <w:rFonts w:ascii="Book Antiqua" w:hAnsi="Book Antiqua" w:hint="eastAsia"/>
          <w:color w:val="000000" w:themeColor="text1"/>
          <w:sz w:val="24"/>
        </w:rPr>
        <w:t>40</w:t>
      </w:r>
      <w:r w:rsidR="003B555A" w:rsidRPr="00E224E9">
        <w:rPr>
          <w:rFonts w:ascii="Book Antiqua" w:hAnsi="標楷體"/>
          <w:color w:val="000000" w:themeColor="text1"/>
          <w:sz w:val="24"/>
        </w:rPr>
        <w:t>、</w:t>
      </w:r>
      <w:r w:rsidR="003B555A" w:rsidRPr="00E224E9">
        <w:rPr>
          <w:rFonts w:ascii="Book Antiqua" w:hAnsi="Book Antiqua" w:hint="eastAsia"/>
          <w:color w:val="000000" w:themeColor="text1"/>
          <w:sz w:val="24"/>
        </w:rPr>
        <w:t>41</w:t>
      </w:r>
      <w:r w:rsidR="003B555A" w:rsidRPr="00E224E9">
        <w:rPr>
          <w:rFonts w:ascii="Book Antiqua" w:hAnsi="標楷體"/>
          <w:color w:val="000000" w:themeColor="text1"/>
          <w:sz w:val="24"/>
        </w:rPr>
        <w:t>、</w:t>
      </w:r>
      <w:r w:rsidR="003B555A" w:rsidRPr="00E224E9">
        <w:rPr>
          <w:rFonts w:ascii="Book Antiqua" w:hAnsi="Book Antiqua" w:hint="eastAsia"/>
          <w:color w:val="000000" w:themeColor="text1"/>
          <w:sz w:val="24"/>
        </w:rPr>
        <w:t>42</w:t>
      </w:r>
      <w:r w:rsidR="003B555A" w:rsidRPr="00E224E9">
        <w:rPr>
          <w:rFonts w:ascii="Book Antiqua" w:hAnsi="Book Antiqua" w:hint="eastAsia"/>
          <w:color w:val="000000" w:themeColor="text1"/>
          <w:sz w:val="24"/>
        </w:rPr>
        <w:t>、</w:t>
      </w:r>
      <w:r w:rsidR="003B555A" w:rsidRPr="00E224E9">
        <w:rPr>
          <w:rFonts w:ascii="Book Antiqua" w:hAnsi="Book Antiqua" w:hint="eastAsia"/>
          <w:color w:val="000000" w:themeColor="text1"/>
          <w:sz w:val="24"/>
        </w:rPr>
        <w:t>43</w:t>
      </w:r>
      <w:r w:rsidR="003B555A" w:rsidRPr="00E224E9">
        <w:rPr>
          <w:rFonts w:ascii="Book Antiqua" w:hAnsi="標楷體"/>
          <w:color w:val="000000" w:themeColor="text1"/>
          <w:sz w:val="24"/>
        </w:rPr>
        <w:t>、</w:t>
      </w:r>
      <w:r w:rsidR="003B555A" w:rsidRPr="00E224E9">
        <w:rPr>
          <w:rFonts w:ascii="Book Antiqua" w:hAnsi="Book Antiqua" w:hint="eastAsia"/>
          <w:color w:val="000000" w:themeColor="text1"/>
          <w:sz w:val="24"/>
        </w:rPr>
        <w:t>44</w:t>
      </w:r>
      <w:r w:rsidR="003B555A" w:rsidRPr="00E224E9">
        <w:rPr>
          <w:rFonts w:ascii="Book Antiqua" w:hAnsi="標楷體"/>
          <w:color w:val="000000" w:themeColor="text1"/>
          <w:sz w:val="24"/>
        </w:rPr>
        <w:t>、</w:t>
      </w:r>
      <w:r w:rsidR="003B555A" w:rsidRPr="00E224E9">
        <w:rPr>
          <w:rFonts w:ascii="Book Antiqua" w:hAnsi="Book Antiqua" w:hint="eastAsia"/>
          <w:color w:val="000000" w:themeColor="text1"/>
          <w:sz w:val="24"/>
        </w:rPr>
        <w:t>45</w:t>
      </w:r>
      <w:r w:rsidR="003B555A" w:rsidRPr="00E224E9">
        <w:rPr>
          <w:rFonts w:ascii="Book Antiqua" w:hAnsi="標楷體"/>
          <w:color w:val="000000" w:themeColor="text1"/>
          <w:sz w:val="24"/>
        </w:rPr>
        <w:t>、</w:t>
      </w:r>
      <w:r w:rsidR="003B555A" w:rsidRPr="00E224E9">
        <w:rPr>
          <w:rFonts w:ascii="Book Antiqua" w:hAnsi="標楷體" w:hint="eastAsia"/>
          <w:color w:val="000000" w:themeColor="text1"/>
          <w:sz w:val="24"/>
        </w:rPr>
        <w:t>4</w:t>
      </w:r>
      <w:r w:rsidR="003B555A" w:rsidRPr="00E224E9">
        <w:rPr>
          <w:rFonts w:ascii="Book Antiqua" w:hAnsi="Book Antiqua"/>
          <w:color w:val="000000" w:themeColor="text1"/>
          <w:sz w:val="24"/>
        </w:rPr>
        <w:t>6</w:t>
      </w:r>
      <w:r w:rsidR="003B555A" w:rsidRPr="00E224E9">
        <w:rPr>
          <w:rFonts w:ascii="Book Antiqua" w:hAnsi="Book Antiqua" w:hint="eastAsia"/>
          <w:color w:val="000000" w:themeColor="text1"/>
          <w:sz w:val="24"/>
        </w:rPr>
        <w:t>、</w:t>
      </w:r>
      <w:r w:rsidR="003B555A" w:rsidRPr="00E224E9">
        <w:rPr>
          <w:rFonts w:ascii="Book Antiqua" w:hAnsi="Book Antiqua" w:hint="eastAsia"/>
          <w:color w:val="000000" w:themeColor="text1"/>
          <w:sz w:val="24"/>
        </w:rPr>
        <w:t>47</w:t>
      </w:r>
      <w:r w:rsidRPr="00E224E9">
        <w:rPr>
          <w:rFonts w:ascii="Book Antiqua" w:hAnsi="標楷體"/>
          <w:color w:val="000000" w:themeColor="text1"/>
          <w:sz w:val="24"/>
        </w:rPr>
        <w:t>列之金額相一致。</w:t>
      </w:r>
    </w:p>
    <w:p w14:paraId="761DE21F" w14:textId="77777777" w:rsidR="00065C53" w:rsidRPr="00E224E9" w:rsidRDefault="00065C53">
      <w:pPr>
        <w:spacing w:line="440" w:lineRule="exact"/>
        <w:jc w:val="both"/>
        <w:rPr>
          <w:rFonts w:ascii="Book Antiqua" w:hAnsi="Book Antiqua"/>
          <w:color w:val="000000" w:themeColor="text1"/>
          <w:sz w:val="24"/>
        </w:rPr>
      </w:pPr>
    </w:p>
    <w:p w14:paraId="7378C90D" w14:textId="77777777" w:rsidR="00065C53" w:rsidRPr="00E224E9" w:rsidRDefault="00065C53">
      <w:pPr>
        <w:pStyle w:val="1"/>
        <w:spacing w:afterLines="0" w:line="440" w:lineRule="exact"/>
        <w:rPr>
          <w:color w:val="000000" w:themeColor="text1"/>
          <w:szCs w:val="40"/>
        </w:rPr>
      </w:pPr>
      <w:r w:rsidRPr="00E224E9">
        <w:rPr>
          <w:rFonts w:ascii="Book Antiqua" w:hAnsi="Book Antiqua"/>
          <w:b w:val="0"/>
          <w:bCs w:val="0"/>
          <w:color w:val="000000" w:themeColor="text1"/>
          <w:sz w:val="24"/>
        </w:rPr>
        <w:br w:type="page"/>
      </w:r>
      <w:bookmarkStart w:id="17" w:name="_Toc296928210"/>
      <w:bookmarkStart w:id="18" w:name="_Toc200468515"/>
      <w:r w:rsidRPr="00E224E9">
        <w:rPr>
          <w:color w:val="000000" w:themeColor="text1"/>
          <w:szCs w:val="40"/>
        </w:rPr>
        <w:lastRenderedPageBreak/>
        <w:t>表06：資金運用收益表</w:t>
      </w:r>
      <w:bookmarkEnd w:id="11"/>
      <w:bookmarkEnd w:id="17"/>
      <w:bookmarkEnd w:id="18"/>
    </w:p>
    <w:p w14:paraId="7BC5F96C"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資金運用收益表係表達保險業之資金運用收益。本說明的目的為配合相關法令規定及資本適足性制度填報需求，簡介該表之填列規則，以利保險公司之填報。</w:t>
      </w:r>
    </w:p>
    <w:p w14:paraId="74FE8E41"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各資金運用收益項目之金額茲以下列欄</w:t>
      </w:r>
      <w:r w:rsidR="00592FAC" w:rsidRPr="00E224E9">
        <w:rPr>
          <w:rFonts w:ascii="Book Antiqua" w:hAnsi="標楷體" w:hint="eastAsia"/>
          <w:color w:val="000000" w:themeColor="text1"/>
          <w:sz w:val="24"/>
        </w:rPr>
        <w:t>位</w:t>
      </w:r>
      <w:r w:rsidRPr="00E224E9">
        <w:rPr>
          <w:rFonts w:ascii="Book Antiqua" w:hAnsi="標楷體"/>
          <w:color w:val="000000" w:themeColor="text1"/>
          <w:sz w:val="24"/>
        </w:rPr>
        <w:t>表示</w:t>
      </w:r>
      <w:r w:rsidR="003D2217" w:rsidRPr="00E224E9">
        <w:rPr>
          <w:rFonts w:ascii="Book Antiqua" w:hAnsi="Book Antiqua" w:hint="eastAsia"/>
          <w:color w:val="000000" w:themeColor="text1"/>
          <w:sz w:val="24"/>
        </w:rPr>
        <w:t>：</w:t>
      </w:r>
    </w:p>
    <w:p w14:paraId="64A454B6"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592FAC" w:rsidRPr="00E224E9">
        <w:rPr>
          <w:rFonts w:ascii="Book Antiqua" w:hAnsi="Book Antiqua" w:hint="eastAsia"/>
          <w:color w:val="000000" w:themeColor="text1"/>
          <w:sz w:val="24"/>
        </w:rPr>
        <w:t>13</w:t>
      </w:r>
      <w:r w:rsidRPr="00E224E9">
        <w:rPr>
          <w:rFonts w:ascii="Book Antiqua" w:hAnsi="標楷體"/>
          <w:color w:val="000000" w:themeColor="text1"/>
          <w:sz w:val="24"/>
        </w:rPr>
        <w:t>欄－</w:t>
      </w:r>
      <w:r w:rsidR="00592FAC" w:rsidRPr="00E224E9">
        <w:rPr>
          <w:rFonts w:ascii="Book Antiqua" w:hAnsi="標楷體" w:hint="eastAsia"/>
          <w:color w:val="000000" w:themeColor="text1"/>
          <w:sz w:val="24"/>
        </w:rPr>
        <w:t>淨投資</w:t>
      </w:r>
      <w:r w:rsidRPr="00E224E9">
        <w:rPr>
          <w:rFonts w:ascii="Book Antiqua" w:hAnsi="標楷體"/>
          <w:color w:val="000000" w:themeColor="text1"/>
          <w:sz w:val="24"/>
        </w:rPr>
        <w:t>損益</w:t>
      </w:r>
    </w:p>
    <w:p w14:paraId="0F52C920" w14:textId="77777777" w:rsidR="00065C53" w:rsidRPr="00E224E9" w:rsidRDefault="00065C53" w:rsidP="009010E7">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係指保險業總帳及明細分類帳所紀錄之各資金運用項目</w:t>
      </w:r>
      <w:r w:rsidR="00904A8D" w:rsidRPr="00E224E9">
        <w:rPr>
          <w:rFonts w:ascii="Book Antiqua" w:hAnsi="標楷體" w:hint="eastAsia"/>
          <w:color w:val="000000" w:themeColor="text1"/>
          <w:sz w:val="24"/>
        </w:rPr>
        <w:t>投資活動</w:t>
      </w:r>
      <w:r w:rsidRPr="00E224E9">
        <w:rPr>
          <w:rFonts w:ascii="Book Antiqua" w:hAnsi="標楷體"/>
          <w:color w:val="000000" w:themeColor="text1"/>
          <w:sz w:val="24"/>
        </w:rPr>
        <w:t>所產生之各</w:t>
      </w:r>
      <w:r w:rsidR="00904A8D" w:rsidRPr="00E224E9">
        <w:rPr>
          <w:rFonts w:ascii="Book Antiqua" w:hAnsi="標楷體" w:hint="eastAsia"/>
          <w:color w:val="000000" w:themeColor="text1"/>
          <w:sz w:val="24"/>
        </w:rPr>
        <w:t>項</w:t>
      </w:r>
      <w:r w:rsidRPr="00E224E9">
        <w:rPr>
          <w:rFonts w:ascii="Book Antiqua" w:hAnsi="標楷體"/>
          <w:color w:val="000000" w:themeColor="text1"/>
          <w:sz w:val="24"/>
        </w:rPr>
        <w:t>收益</w:t>
      </w:r>
      <w:r w:rsidR="00904A8D" w:rsidRPr="00E224E9">
        <w:rPr>
          <w:rFonts w:ascii="Book Antiqua" w:hAnsi="標楷體" w:hint="eastAsia"/>
          <w:color w:val="000000" w:themeColor="text1"/>
          <w:sz w:val="24"/>
        </w:rPr>
        <w:t>或損失</w:t>
      </w:r>
      <w:r w:rsidRPr="00E224E9">
        <w:rPr>
          <w:rFonts w:ascii="Book Antiqua" w:hAnsi="標楷體"/>
          <w:color w:val="000000" w:themeColor="text1"/>
          <w:sz w:val="24"/>
        </w:rPr>
        <w:t>金額，包括</w:t>
      </w:r>
      <w:r w:rsidR="00904A8D" w:rsidRPr="00E224E9">
        <w:rPr>
          <w:rFonts w:ascii="Book Antiqua" w:hAnsi="標楷體" w:hint="eastAsia"/>
          <w:color w:val="000000" w:themeColor="text1"/>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w:t>
      </w:r>
      <w:r w:rsidR="004A0F2C" w:rsidRPr="00E224E9">
        <w:rPr>
          <w:rFonts w:ascii="Book Antiqua" w:hAnsi="標楷體" w:hint="eastAsia"/>
          <w:color w:val="000000" w:themeColor="text1"/>
          <w:sz w:val="24"/>
        </w:rPr>
        <w:t>、其他淨投資損益及採用覆蓋法之重分類損益</w:t>
      </w:r>
      <w:r w:rsidRPr="00E224E9">
        <w:rPr>
          <w:rFonts w:ascii="Book Antiqua" w:hAnsi="標楷體"/>
          <w:color w:val="000000" w:themeColor="text1"/>
          <w:sz w:val="24"/>
        </w:rPr>
        <w:t>。</w:t>
      </w:r>
    </w:p>
    <w:p w14:paraId="75FA7F87" w14:textId="77777777" w:rsidR="004A0F2C" w:rsidRPr="00E224E9" w:rsidRDefault="004A0F2C" w:rsidP="004A0F2C">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1</w:t>
      </w:r>
      <w:r w:rsidR="00A51B52" w:rsidRPr="00E224E9">
        <w:rPr>
          <w:rFonts w:ascii="Book Antiqua" w:hAnsi="Book Antiqua" w:hint="eastAsia"/>
          <w:color w:val="000000" w:themeColor="text1"/>
          <w:sz w:val="24"/>
        </w:rPr>
        <w:t>4</w:t>
      </w:r>
      <w:r w:rsidRPr="00E224E9">
        <w:rPr>
          <w:rFonts w:ascii="Book Antiqua" w:hAnsi="Book Antiqua" w:hint="eastAsia"/>
          <w:color w:val="000000" w:themeColor="text1"/>
          <w:sz w:val="24"/>
        </w:rPr>
        <w:t>-1</w:t>
      </w:r>
      <w:r w:rsidR="00A51B52" w:rsidRPr="00E224E9">
        <w:rPr>
          <w:rFonts w:ascii="Book Antiqua" w:hAnsi="Book Antiqua" w:hint="eastAsia"/>
          <w:color w:val="000000" w:themeColor="text1"/>
          <w:sz w:val="24"/>
        </w:rPr>
        <w:t>8</w:t>
      </w:r>
      <w:r w:rsidRPr="00E224E9">
        <w:rPr>
          <w:rFonts w:ascii="Book Antiqua" w:hAnsi="標楷體"/>
          <w:color w:val="000000" w:themeColor="text1"/>
          <w:sz w:val="24"/>
        </w:rPr>
        <w:t>欄－</w:t>
      </w:r>
      <w:r w:rsidRPr="00E224E9">
        <w:rPr>
          <w:rFonts w:ascii="Book Antiqua" w:hAnsi="標楷體" w:hint="eastAsia"/>
          <w:color w:val="000000" w:themeColor="text1"/>
          <w:sz w:val="24"/>
        </w:rPr>
        <w:t>其他綜合損益</w:t>
      </w:r>
    </w:p>
    <w:p w14:paraId="25FB5302" w14:textId="77777777" w:rsidR="004A0F2C" w:rsidRPr="00E224E9" w:rsidRDefault="004A0F2C" w:rsidP="004A0F2C">
      <w:pPr>
        <w:spacing w:line="440" w:lineRule="exact"/>
        <w:ind w:leftChars="300" w:left="780"/>
        <w:jc w:val="both"/>
        <w:rPr>
          <w:rFonts w:ascii="Book Antiqua" w:hAnsi="標楷體"/>
          <w:color w:val="000000" w:themeColor="text1"/>
          <w:sz w:val="24"/>
        </w:rPr>
      </w:pPr>
      <w:r w:rsidRPr="00E224E9">
        <w:rPr>
          <w:rFonts w:ascii="Book Antiqua" w:hAnsi="標楷體" w:hint="eastAsia"/>
          <w:color w:val="000000" w:themeColor="text1"/>
          <w:sz w:val="24"/>
        </w:rPr>
        <w:t>係指保險業</w:t>
      </w:r>
      <w:r w:rsidR="003D2217" w:rsidRPr="00E224E9">
        <w:rPr>
          <w:rFonts w:ascii="Book Antiqua" w:hAnsi="標楷體" w:hint="eastAsia"/>
          <w:color w:val="000000" w:themeColor="text1"/>
          <w:sz w:val="24"/>
        </w:rPr>
        <w:t>其他綜合損益中</w:t>
      </w:r>
      <w:r w:rsidRPr="00E224E9">
        <w:rPr>
          <w:rFonts w:ascii="Book Antiqua" w:hAnsi="標楷體" w:hint="eastAsia"/>
          <w:color w:val="000000" w:themeColor="text1"/>
          <w:sz w:val="24"/>
        </w:rPr>
        <w:t>各資金運用項目</w:t>
      </w:r>
      <w:r w:rsidR="003D2217" w:rsidRPr="00E224E9">
        <w:rPr>
          <w:rFonts w:ascii="Book Antiqua" w:hAnsi="標楷體" w:hint="eastAsia"/>
          <w:color w:val="000000" w:themeColor="text1"/>
          <w:sz w:val="24"/>
        </w:rPr>
        <w:t>產生</w:t>
      </w:r>
      <w:r w:rsidRPr="00E224E9">
        <w:rPr>
          <w:rFonts w:ascii="Book Antiqua" w:hAnsi="標楷體" w:hint="eastAsia"/>
          <w:color w:val="000000" w:themeColor="text1"/>
          <w:sz w:val="24"/>
        </w:rPr>
        <w:t>各項收益或損失金額，包括</w:t>
      </w:r>
      <w:r w:rsidR="003D2217" w:rsidRPr="00E224E9">
        <w:rPr>
          <w:rFonts w:ascii="Book Antiqua" w:hAnsi="標楷體" w:hint="eastAsia"/>
          <w:color w:val="000000" w:themeColor="text1"/>
          <w:sz w:val="24"/>
        </w:rPr>
        <w:t>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E224E9">
        <w:rPr>
          <w:rFonts w:ascii="Book Antiqua" w:hAnsi="標楷體"/>
          <w:color w:val="000000" w:themeColor="text1"/>
          <w:sz w:val="24"/>
        </w:rPr>
        <w:t>。</w:t>
      </w:r>
    </w:p>
    <w:p w14:paraId="35AC3C09" w14:textId="77777777" w:rsidR="003D2217" w:rsidRPr="00E224E9" w:rsidRDefault="003D2217" w:rsidP="003D2217">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51B52" w:rsidRPr="00E224E9">
        <w:rPr>
          <w:rFonts w:ascii="Book Antiqua" w:hAnsi="Book Antiqua" w:hint="eastAsia"/>
          <w:color w:val="000000" w:themeColor="text1"/>
          <w:sz w:val="24"/>
        </w:rPr>
        <w:t>19</w:t>
      </w:r>
      <w:r w:rsidRPr="00E224E9">
        <w:rPr>
          <w:rFonts w:ascii="Book Antiqua" w:hAnsi="標楷體"/>
          <w:color w:val="000000" w:themeColor="text1"/>
          <w:sz w:val="24"/>
        </w:rPr>
        <w:t>欄－</w:t>
      </w:r>
      <w:r w:rsidRPr="00E224E9">
        <w:rPr>
          <w:rFonts w:ascii="Book Antiqua" w:hAnsi="標楷體" w:hint="eastAsia"/>
          <w:color w:val="000000" w:themeColor="text1"/>
          <w:sz w:val="24"/>
        </w:rPr>
        <w:t>未分配盈餘</w:t>
      </w:r>
    </w:p>
    <w:p w14:paraId="2B87E39D" w14:textId="77777777" w:rsidR="004A0F2C" w:rsidRPr="00E224E9" w:rsidRDefault="003D2217" w:rsidP="009010E7">
      <w:pPr>
        <w:spacing w:line="440" w:lineRule="exact"/>
        <w:ind w:leftChars="300" w:left="780"/>
        <w:jc w:val="both"/>
        <w:rPr>
          <w:rFonts w:ascii="Book Antiqua" w:hAnsi="標楷體"/>
          <w:color w:val="000000" w:themeColor="text1"/>
          <w:sz w:val="24"/>
        </w:rPr>
      </w:pPr>
      <w:r w:rsidRPr="00E224E9">
        <w:rPr>
          <w:rFonts w:ascii="Book Antiqua" w:hAnsi="標楷體" w:hint="eastAsia"/>
          <w:color w:val="000000" w:themeColor="text1"/>
          <w:sz w:val="24"/>
        </w:rPr>
        <w:t>係指保險業未分配盈餘中透過其他綜合損益按公允價值衡量之權益工具處分損益金額</w:t>
      </w:r>
      <w:r w:rsidRPr="00E224E9">
        <w:rPr>
          <w:rFonts w:ascii="Book Antiqua" w:hAnsi="標楷體"/>
          <w:color w:val="000000" w:themeColor="text1"/>
          <w:sz w:val="24"/>
        </w:rPr>
        <w:t>。</w:t>
      </w:r>
    </w:p>
    <w:p w14:paraId="1733B64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A0F2C"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0</w:t>
      </w:r>
      <w:r w:rsidRPr="00E224E9">
        <w:rPr>
          <w:rFonts w:ascii="Book Antiqua" w:hAnsi="標楷體"/>
          <w:color w:val="000000" w:themeColor="text1"/>
          <w:sz w:val="24"/>
        </w:rPr>
        <w:t>欄－直接業管費用</w:t>
      </w:r>
    </w:p>
    <w:p w14:paraId="35E5B7FC" w14:textId="77777777" w:rsidR="00065C53" w:rsidRPr="00E224E9" w:rsidRDefault="00065C53">
      <w:pPr>
        <w:spacing w:line="440" w:lineRule="exact"/>
        <w:ind w:leftChars="300" w:left="780"/>
        <w:jc w:val="both"/>
        <w:rPr>
          <w:rFonts w:ascii="Book Antiqua" w:hAnsi="標楷體"/>
          <w:color w:val="000000" w:themeColor="text1"/>
          <w:sz w:val="24"/>
        </w:rPr>
      </w:pPr>
      <w:r w:rsidRPr="00E224E9">
        <w:rPr>
          <w:rFonts w:ascii="Book Antiqua" w:hAnsi="標楷體"/>
          <w:color w:val="000000" w:themeColor="text1"/>
          <w:sz w:val="24"/>
        </w:rPr>
        <w:t>係指各類投資</w:t>
      </w:r>
      <w:r w:rsidR="00C16DAB" w:rsidRPr="00E224E9">
        <w:rPr>
          <w:rFonts w:ascii="Book Antiqua" w:hAnsi="標楷體" w:hint="eastAsia"/>
          <w:color w:val="000000" w:themeColor="text1"/>
          <w:sz w:val="24"/>
        </w:rPr>
        <w:t>非金融資產減損</w:t>
      </w:r>
      <w:r w:rsidR="003D2217" w:rsidRPr="00E224E9">
        <w:rPr>
          <w:rFonts w:ascii="Book Antiqua" w:hAnsi="標楷體" w:hint="eastAsia"/>
          <w:color w:val="000000" w:themeColor="text1"/>
          <w:sz w:val="24"/>
        </w:rPr>
        <w:t>損失</w:t>
      </w:r>
      <w:r w:rsidR="00C16DAB" w:rsidRPr="00E224E9">
        <w:rPr>
          <w:rFonts w:ascii="Book Antiqua" w:hAnsi="標楷體" w:hint="eastAsia"/>
          <w:color w:val="000000" w:themeColor="text1"/>
          <w:sz w:val="24"/>
        </w:rPr>
        <w:t>及迴轉利益</w:t>
      </w:r>
      <w:r w:rsidRPr="00E224E9">
        <w:rPr>
          <w:rFonts w:ascii="Book Antiqua" w:hAnsi="標楷體"/>
          <w:color w:val="000000" w:themeColor="text1"/>
          <w:sz w:val="24"/>
        </w:rPr>
        <w:t>、折舊費用、稅負及其他因本交易所衍生直接成本</w:t>
      </w:r>
      <w:r w:rsidR="003D2217" w:rsidRPr="00E224E9">
        <w:rPr>
          <w:rFonts w:ascii="Book Antiqua" w:hAnsi="Book Antiqua" w:hint="eastAsia"/>
          <w:color w:val="000000" w:themeColor="text1"/>
          <w:sz w:val="24"/>
        </w:rPr>
        <w:t>，</w:t>
      </w:r>
      <w:r w:rsidRPr="00E224E9">
        <w:rPr>
          <w:rFonts w:ascii="Book Antiqua" w:hAnsi="標楷體"/>
          <w:color w:val="000000" w:themeColor="text1"/>
          <w:sz w:val="24"/>
        </w:rPr>
        <w:t>如委託投資機構操作費用或保管費用等</w:t>
      </w:r>
      <w:r w:rsidRPr="00E224E9">
        <w:rPr>
          <w:rFonts w:ascii="Book Antiqua" w:hAnsi="Book Antiqua"/>
          <w:color w:val="000000" w:themeColor="text1"/>
          <w:sz w:val="24"/>
        </w:rPr>
        <w:t>(</w:t>
      </w:r>
      <w:r w:rsidRPr="00E224E9">
        <w:rPr>
          <w:rFonts w:ascii="Book Antiqua" w:hAnsi="標楷體"/>
          <w:color w:val="000000" w:themeColor="text1"/>
          <w:sz w:val="24"/>
        </w:rPr>
        <w:t>成本分攤由公司採一致性原則核實攤列</w:t>
      </w:r>
      <w:r w:rsidRPr="00E224E9">
        <w:rPr>
          <w:rFonts w:ascii="Book Antiqua" w:hAnsi="Book Antiqua"/>
          <w:color w:val="000000" w:themeColor="text1"/>
          <w:sz w:val="24"/>
        </w:rPr>
        <w:t>)</w:t>
      </w:r>
      <w:r w:rsidRPr="00E224E9">
        <w:rPr>
          <w:rFonts w:ascii="Book Antiqua" w:hAnsi="標楷體"/>
          <w:color w:val="000000" w:themeColor="text1"/>
          <w:sz w:val="24"/>
        </w:rPr>
        <w:t>。</w:t>
      </w:r>
    </w:p>
    <w:p w14:paraId="48D01CBB" w14:textId="77777777" w:rsidR="003D2217" w:rsidRPr="00E224E9" w:rsidRDefault="003D2217" w:rsidP="003D2217">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1</w:t>
      </w:r>
      <w:r w:rsidRPr="00E224E9">
        <w:rPr>
          <w:rFonts w:ascii="Book Antiqua" w:hAnsi="標楷體"/>
          <w:color w:val="000000" w:themeColor="text1"/>
          <w:sz w:val="24"/>
        </w:rPr>
        <w:t>欄－</w:t>
      </w:r>
      <w:r w:rsidRPr="00E224E9">
        <w:rPr>
          <w:rFonts w:ascii="Book Antiqua" w:hAnsi="標楷體" w:hint="eastAsia"/>
          <w:color w:val="000000" w:themeColor="text1"/>
          <w:sz w:val="24"/>
        </w:rPr>
        <w:t>其他</w:t>
      </w:r>
    </w:p>
    <w:p w14:paraId="72EB1822" w14:textId="77777777" w:rsidR="003D2217" w:rsidRPr="00E224E9" w:rsidRDefault="003D2217" w:rsidP="003D2217">
      <w:pPr>
        <w:spacing w:line="440" w:lineRule="exact"/>
        <w:ind w:leftChars="300" w:left="780"/>
        <w:jc w:val="both"/>
        <w:rPr>
          <w:rFonts w:ascii="Book Antiqua" w:hAnsi="標楷體"/>
          <w:color w:val="000000" w:themeColor="text1"/>
          <w:sz w:val="24"/>
        </w:rPr>
      </w:pPr>
      <w:r w:rsidRPr="00E224E9">
        <w:rPr>
          <w:rFonts w:ascii="Book Antiqua" w:hAnsi="標楷體" w:hint="eastAsia"/>
          <w:color w:val="000000" w:themeColor="text1"/>
          <w:sz w:val="24"/>
        </w:rPr>
        <w:t>保險業總帳及明細分類帳所紀錄之各資金運用項目所產生之各項收益或損失，非屬第</w:t>
      </w:r>
      <w:r w:rsidR="00A51B52" w:rsidRPr="00E224E9">
        <w:rPr>
          <w:rFonts w:ascii="Book Antiqua" w:hAnsi="標楷體" w:hint="eastAsia"/>
          <w:color w:val="000000" w:themeColor="text1"/>
          <w:sz w:val="24"/>
        </w:rPr>
        <w:t>2~20</w:t>
      </w:r>
      <w:r w:rsidRPr="00E224E9">
        <w:rPr>
          <w:rFonts w:ascii="Book Antiqua" w:hAnsi="標楷體" w:hint="eastAsia"/>
          <w:color w:val="000000" w:themeColor="text1"/>
          <w:sz w:val="24"/>
        </w:rPr>
        <w:t>欄之金額。</w:t>
      </w:r>
    </w:p>
    <w:p w14:paraId="4009C74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2</w:t>
      </w:r>
      <w:r w:rsidRPr="00E224E9">
        <w:rPr>
          <w:rFonts w:ascii="Book Antiqua" w:hAnsi="標楷體"/>
          <w:color w:val="000000" w:themeColor="text1"/>
          <w:sz w:val="24"/>
        </w:rPr>
        <w:t>欄－本期</w:t>
      </w:r>
      <w:r w:rsidR="00B7525B" w:rsidRPr="00E224E9">
        <w:rPr>
          <w:rFonts w:ascii="Book Antiqua" w:hAnsi="標楷體" w:hint="eastAsia"/>
          <w:color w:val="000000" w:themeColor="text1"/>
          <w:sz w:val="24"/>
        </w:rPr>
        <w:t>投資</w:t>
      </w:r>
      <w:r w:rsidRPr="00E224E9">
        <w:rPr>
          <w:rFonts w:ascii="Book Antiqua" w:hAnsi="標楷體"/>
          <w:color w:val="000000" w:themeColor="text1"/>
          <w:sz w:val="24"/>
        </w:rPr>
        <w:t>損益金額</w:t>
      </w:r>
    </w:p>
    <w:p w14:paraId="522E395E"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為第</w:t>
      </w:r>
      <w:r w:rsidR="009010E7" w:rsidRPr="00E224E9">
        <w:rPr>
          <w:rFonts w:ascii="Book Antiqua" w:hAnsi="Book Antiqua" w:hint="eastAsia"/>
          <w:color w:val="000000" w:themeColor="text1"/>
          <w:sz w:val="24"/>
        </w:rPr>
        <w:t>2</w:t>
      </w:r>
      <w:r w:rsidRPr="00E224E9">
        <w:rPr>
          <w:rFonts w:ascii="Book Antiqua" w:hAnsi="標楷體"/>
          <w:color w:val="000000" w:themeColor="text1"/>
          <w:sz w:val="24"/>
        </w:rPr>
        <w:t>欄</w:t>
      </w:r>
      <w:r w:rsidR="009010E7" w:rsidRPr="00E224E9">
        <w:rPr>
          <w:rFonts w:ascii="Book Antiqua" w:hAnsi="標楷體" w:hint="eastAsia"/>
          <w:color w:val="000000" w:themeColor="text1"/>
          <w:sz w:val="24"/>
        </w:rPr>
        <w:t>至第</w:t>
      </w:r>
      <w:r w:rsidR="00A51B52" w:rsidRPr="00E224E9">
        <w:rPr>
          <w:rFonts w:ascii="Book Antiqua" w:hAnsi="標楷體" w:hint="eastAsia"/>
          <w:color w:val="000000" w:themeColor="text1"/>
          <w:sz w:val="24"/>
        </w:rPr>
        <w:t>21</w:t>
      </w:r>
      <w:r w:rsidR="009010E7" w:rsidRPr="00E224E9">
        <w:rPr>
          <w:rFonts w:ascii="Book Antiqua" w:hAnsi="標楷體" w:hint="eastAsia"/>
          <w:color w:val="000000" w:themeColor="text1"/>
          <w:sz w:val="24"/>
        </w:rPr>
        <w:t>欄加總之和</w:t>
      </w:r>
      <w:r w:rsidRPr="00E224E9">
        <w:rPr>
          <w:rFonts w:ascii="Book Antiqua" w:hAnsi="標楷體"/>
          <w:color w:val="000000" w:themeColor="text1"/>
          <w:sz w:val="24"/>
        </w:rPr>
        <w:t>。</w:t>
      </w:r>
      <w:r w:rsidRPr="00E224E9">
        <w:rPr>
          <w:rFonts w:ascii="Book Antiqua" w:hAnsi="Book Antiqua"/>
          <w:color w:val="000000" w:themeColor="text1"/>
          <w:sz w:val="24"/>
        </w:rPr>
        <w:br/>
      </w:r>
      <w:r w:rsidRPr="00E224E9">
        <w:rPr>
          <w:rFonts w:ascii="Book Antiqua" w:hAnsi="標楷體"/>
          <w:color w:val="000000" w:themeColor="text1"/>
          <w:sz w:val="24"/>
        </w:rPr>
        <w:t>於填報</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年報時係指本</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年度餘額</w:t>
      </w:r>
    </w:p>
    <w:p w14:paraId="525BB7C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3</w:t>
      </w:r>
      <w:r w:rsidRPr="00E224E9">
        <w:rPr>
          <w:rFonts w:ascii="Book Antiqua" w:hAnsi="標楷體"/>
          <w:color w:val="000000" w:themeColor="text1"/>
          <w:sz w:val="24"/>
        </w:rPr>
        <w:t>欄－佔本期</w:t>
      </w:r>
      <w:r w:rsidR="00B7525B" w:rsidRPr="00E224E9">
        <w:rPr>
          <w:rFonts w:ascii="Book Antiqua" w:hAnsi="標楷體" w:hint="eastAsia"/>
          <w:color w:val="000000" w:themeColor="text1"/>
          <w:sz w:val="24"/>
        </w:rPr>
        <w:t>投資</w:t>
      </w:r>
      <w:r w:rsidRPr="00E224E9">
        <w:rPr>
          <w:rFonts w:ascii="Book Antiqua" w:hAnsi="標楷體"/>
          <w:color w:val="000000" w:themeColor="text1"/>
          <w:sz w:val="24"/>
        </w:rPr>
        <w:t>損益比率</w:t>
      </w:r>
    </w:p>
    <w:p w14:paraId="23A6CF20"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本欄比率為第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2</w:t>
      </w:r>
      <w:r w:rsidRPr="00E224E9">
        <w:rPr>
          <w:rFonts w:ascii="Book Antiqua" w:hAnsi="標楷體"/>
          <w:color w:val="000000" w:themeColor="text1"/>
          <w:sz w:val="24"/>
        </w:rPr>
        <w:t>欄各列損益與第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2</w:t>
      </w:r>
      <w:r w:rsidRPr="00E224E9">
        <w:rPr>
          <w:rFonts w:ascii="Book Antiqua" w:hAnsi="標楷體"/>
          <w:color w:val="000000" w:themeColor="text1"/>
          <w:sz w:val="24"/>
        </w:rPr>
        <w:t>欄第</w:t>
      </w:r>
      <w:r w:rsidRPr="00E224E9">
        <w:rPr>
          <w:rFonts w:ascii="Book Antiqua" w:hAnsi="Book Antiqua"/>
          <w:color w:val="000000" w:themeColor="text1"/>
          <w:sz w:val="24"/>
        </w:rPr>
        <w:t>46</w:t>
      </w:r>
      <w:r w:rsidRPr="00E224E9">
        <w:rPr>
          <w:rFonts w:ascii="Book Antiqua" w:hAnsi="標楷體"/>
          <w:color w:val="000000" w:themeColor="text1"/>
          <w:sz w:val="24"/>
        </w:rPr>
        <w:t>列含自用不動產資金運用總計之比。</w:t>
      </w:r>
      <w:r w:rsidRPr="00E224E9">
        <w:rPr>
          <w:rFonts w:ascii="Book Antiqua" w:hAnsi="標楷體"/>
          <w:color w:val="000000" w:themeColor="text1"/>
          <w:sz w:val="24"/>
        </w:rPr>
        <w:lastRenderedPageBreak/>
        <w:t>空白欄位不須填列。</w:t>
      </w:r>
    </w:p>
    <w:p w14:paraId="5164B31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4</w:t>
      </w:r>
      <w:r w:rsidRPr="00E224E9">
        <w:rPr>
          <w:rFonts w:ascii="Book Antiqua" w:hAnsi="標楷體"/>
          <w:color w:val="000000" w:themeColor="text1"/>
          <w:sz w:val="24"/>
        </w:rPr>
        <w:t>欄－上期</w:t>
      </w:r>
      <w:r w:rsidR="00085C0F" w:rsidRPr="00E224E9">
        <w:rPr>
          <w:rFonts w:ascii="Book Antiqua" w:hAnsi="標楷體" w:hint="eastAsia"/>
          <w:color w:val="000000" w:themeColor="text1"/>
          <w:sz w:val="24"/>
        </w:rPr>
        <w:t>投資</w:t>
      </w:r>
      <w:r w:rsidRPr="00E224E9">
        <w:rPr>
          <w:rFonts w:ascii="Book Antiqua" w:hAnsi="標楷體"/>
          <w:color w:val="000000" w:themeColor="text1"/>
          <w:sz w:val="24"/>
        </w:rPr>
        <w:t>損益金額</w:t>
      </w:r>
    </w:p>
    <w:p w14:paraId="1F36BF70"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本欄須與上期各資金運用項目損益金額相一致。</w:t>
      </w:r>
      <w:r w:rsidRPr="00E224E9">
        <w:rPr>
          <w:rFonts w:ascii="Book Antiqua" w:hAnsi="Book Antiqua"/>
          <w:color w:val="000000" w:themeColor="text1"/>
          <w:sz w:val="24"/>
        </w:rPr>
        <w:br/>
      </w:r>
      <w:r w:rsidRPr="00E224E9">
        <w:rPr>
          <w:rFonts w:ascii="Book Antiqua" w:hAnsi="標楷體"/>
          <w:color w:val="000000" w:themeColor="text1"/>
          <w:sz w:val="24"/>
        </w:rPr>
        <w:t>上期於填報</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年報時係指上</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年度金額。</w:t>
      </w:r>
    </w:p>
    <w:p w14:paraId="125AF5D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5</w:t>
      </w:r>
      <w:r w:rsidRPr="00E224E9">
        <w:rPr>
          <w:rFonts w:ascii="Book Antiqua" w:hAnsi="標楷體"/>
          <w:color w:val="000000" w:themeColor="text1"/>
          <w:sz w:val="24"/>
        </w:rPr>
        <w:t>欄－佔上期</w:t>
      </w:r>
      <w:r w:rsidR="00085C0F" w:rsidRPr="00E224E9">
        <w:rPr>
          <w:rFonts w:ascii="Book Antiqua" w:hAnsi="標楷體" w:hint="eastAsia"/>
          <w:color w:val="000000" w:themeColor="text1"/>
          <w:sz w:val="24"/>
        </w:rPr>
        <w:t>投資</w:t>
      </w:r>
      <w:r w:rsidRPr="00E224E9">
        <w:rPr>
          <w:rFonts w:ascii="Book Antiqua" w:hAnsi="標楷體"/>
          <w:color w:val="000000" w:themeColor="text1"/>
          <w:sz w:val="24"/>
        </w:rPr>
        <w:t>損益比率</w:t>
      </w:r>
    </w:p>
    <w:p w14:paraId="469718BE" w14:textId="77777777" w:rsidR="00065C53" w:rsidRPr="00E224E9" w:rsidRDefault="00065C53">
      <w:pPr>
        <w:spacing w:line="440" w:lineRule="exact"/>
        <w:ind w:leftChars="276" w:left="718"/>
        <w:rPr>
          <w:rFonts w:ascii="Book Antiqua" w:hAnsi="Book Antiqua"/>
          <w:color w:val="000000" w:themeColor="text1"/>
          <w:sz w:val="24"/>
        </w:rPr>
      </w:pPr>
      <w:r w:rsidRPr="00E224E9">
        <w:rPr>
          <w:rFonts w:ascii="Book Antiqua" w:hAnsi="標楷體"/>
          <w:color w:val="000000" w:themeColor="text1"/>
          <w:sz w:val="24"/>
        </w:rPr>
        <w:t>本欄比率為第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4</w:t>
      </w:r>
      <w:r w:rsidRPr="00E224E9">
        <w:rPr>
          <w:rFonts w:ascii="Book Antiqua" w:hAnsi="標楷體"/>
          <w:color w:val="000000" w:themeColor="text1"/>
          <w:sz w:val="24"/>
        </w:rPr>
        <w:t>欄各列損益與第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46</w:t>
      </w:r>
      <w:r w:rsidRPr="00E224E9">
        <w:rPr>
          <w:rFonts w:ascii="Book Antiqua" w:hAnsi="標楷體"/>
          <w:color w:val="000000" w:themeColor="text1"/>
          <w:sz w:val="24"/>
        </w:rPr>
        <w:t>列含自用不動產資金運用總計之比。空白欄位不須填列。</w:t>
      </w:r>
    </w:p>
    <w:p w14:paraId="2D9D1BB9" w14:textId="77777777" w:rsidR="00065C53" w:rsidRPr="00E224E9" w:rsidRDefault="00065C53">
      <w:pPr>
        <w:spacing w:line="440" w:lineRule="exact"/>
        <w:rPr>
          <w:rFonts w:ascii="Book Antiqua" w:hAnsi="Book Antiqua"/>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6</w:t>
      </w:r>
      <w:r w:rsidRPr="00E224E9">
        <w:rPr>
          <w:rFonts w:ascii="Book Antiqua" w:hAnsi="標楷體"/>
          <w:color w:val="000000" w:themeColor="text1"/>
          <w:sz w:val="24"/>
        </w:rPr>
        <w:t>欄－比較增減金額</w:t>
      </w:r>
    </w:p>
    <w:p w14:paraId="7F3D54DB" w14:textId="77777777" w:rsidR="00065C53" w:rsidRPr="00E224E9" w:rsidRDefault="00065C53">
      <w:pPr>
        <w:spacing w:line="440" w:lineRule="exact"/>
        <w:ind w:firstLineChars="276" w:firstLine="662"/>
        <w:rPr>
          <w:rFonts w:ascii="Book Antiqua" w:hAnsi="Book Antiqua"/>
          <w:color w:val="000000" w:themeColor="text1"/>
          <w:sz w:val="24"/>
        </w:rPr>
      </w:pPr>
      <w:r w:rsidRPr="00E224E9">
        <w:rPr>
          <w:rFonts w:ascii="Book Antiqua" w:hAnsi="標楷體"/>
          <w:color w:val="000000" w:themeColor="text1"/>
          <w:sz w:val="24"/>
        </w:rPr>
        <w:t>係第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2</w:t>
      </w:r>
      <w:r w:rsidRPr="00E224E9">
        <w:rPr>
          <w:rFonts w:ascii="Book Antiqua" w:hAnsi="標楷體"/>
          <w:color w:val="000000" w:themeColor="text1"/>
          <w:sz w:val="24"/>
        </w:rPr>
        <w:t>欄減除第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4</w:t>
      </w:r>
      <w:r w:rsidRPr="00E224E9">
        <w:rPr>
          <w:rFonts w:ascii="Book Antiqua" w:hAnsi="標楷體"/>
          <w:color w:val="000000" w:themeColor="text1"/>
          <w:sz w:val="24"/>
        </w:rPr>
        <w:t>欄之金額。</w:t>
      </w:r>
    </w:p>
    <w:p w14:paraId="6EED4ECA" w14:textId="77777777" w:rsidR="00065C53" w:rsidRPr="00E224E9" w:rsidRDefault="00065C53">
      <w:pPr>
        <w:spacing w:line="440" w:lineRule="exact"/>
        <w:rPr>
          <w:rFonts w:ascii="Book Antiqua" w:hAnsi="Book Antiqua"/>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7</w:t>
      </w:r>
      <w:r w:rsidRPr="00E224E9">
        <w:rPr>
          <w:rFonts w:ascii="Book Antiqua" w:hAnsi="標楷體"/>
          <w:color w:val="000000" w:themeColor="text1"/>
          <w:sz w:val="24"/>
        </w:rPr>
        <w:t>欄－增減比率</w:t>
      </w:r>
    </w:p>
    <w:p w14:paraId="20F497B1" w14:textId="77777777" w:rsidR="00065C53" w:rsidRPr="00E224E9" w:rsidRDefault="00065C53">
      <w:pPr>
        <w:spacing w:line="440" w:lineRule="exact"/>
        <w:ind w:leftChars="276" w:left="720" w:hanging="2"/>
        <w:rPr>
          <w:rFonts w:ascii="Book Antiqua" w:hAnsi="Book Antiqua"/>
          <w:color w:val="000000" w:themeColor="text1"/>
          <w:sz w:val="24"/>
        </w:rPr>
      </w:pPr>
      <w:r w:rsidRPr="00E224E9">
        <w:rPr>
          <w:rFonts w:ascii="Book Antiqua" w:hAnsi="標楷體"/>
          <w:color w:val="000000" w:themeColor="text1"/>
          <w:sz w:val="24"/>
        </w:rPr>
        <w:t>係第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6</w:t>
      </w:r>
      <w:r w:rsidRPr="00E224E9">
        <w:rPr>
          <w:rFonts w:ascii="Book Antiqua" w:hAnsi="標楷體"/>
          <w:color w:val="000000" w:themeColor="text1"/>
          <w:sz w:val="24"/>
        </w:rPr>
        <w:t>欄與第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4</w:t>
      </w:r>
      <w:r w:rsidRPr="00E224E9">
        <w:rPr>
          <w:rFonts w:ascii="Book Antiqua" w:hAnsi="標楷體"/>
          <w:color w:val="000000" w:themeColor="text1"/>
          <w:sz w:val="24"/>
        </w:rPr>
        <w:t>欄之比。</w:t>
      </w:r>
    </w:p>
    <w:p w14:paraId="626C21F6" w14:textId="77777777" w:rsidR="00065C53" w:rsidRPr="00E224E9" w:rsidRDefault="00065C53">
      <w:pPr>
        <w:spacing w:line="440" w:lineRule="exact"/>
        <w:rPr>
          <w:rFonts w:ascii="Book Antiqua" w:hAnsi="Book Antiqua"/>
          <w:color w:val="000000" w:themeColor="text1"/>
          <w:sz w:val="24"/>
        </w:rPr>
      </w:pPr>
    </w:p>
    <w:p w14:paraId="695FD134" w14:textId="77777777" w:rsidR="00E12AA3" w:rsidRPr="00E224E9" w:rsidRDefault="00065C53">
      <w:pPr>
        <w:spacing w:line="440" w:lineRule="exact"/>
        <w:rPr>
          <w:rFonts w:ascii="Book Antiqua" w:hAnsi="標楷體"/>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8</w:t>
      </w:r>
      <w:r w:rsidRPr="00E224E9">
        <w:rPr>
          <w:rFonts w:ascii="Book Antiqua" w:hAnsi="Book Antiqua"/>
          <w:color w:val="000000" w:themeColor="text1"/>
          <w:sz w:val="24"/>
        </w:rPr>
        <w:t>-</w:t>
      </w:r>
      <w:r w:rsidR="009010E7" w:rsidRPr="00E224E9">
        <w:rPr>
          <w:rFonts w:ascii="Book Antiqua" w:hAnsi="Book Antiqua" w:hint="eastAsia"/>
          <w:color w:val="000000" w:themeColor="text1"/>
          <w:sz w:val="24"/>
        </w:rPr>
        <w:t>3</w:t>
      </w:r>
      <w:r w:rsidR="00A51B52" w:rsidRPr="00E224E9">
        <w:rPr>
          <w:rFonts w:ascii="Book Antiqua" w:hAnsi="Book Antiqua" w:hint="eastAsia"/>
          <w:color w:val="000000" w:themeColor="text1"/>
          <w:sz w:val="24"/>
        </w:rPr>
        <w:t>6</w:t>
      </w:r>
      <w:r w:rsidRPr="00E224E9">
        <w:rPr>
          <w:rFonts w:ascii="Book Antiqua" w:hAnsi="標楷體"/>
          <w:color w:val="000000" w:themeColor="text1"/>
          <w:sz w:val="24"/>
        </w:rPr>
        <w:t>欄－資金運用收益率</w:t>
      </w:r>
    </w:p>
    <w:p w14:paraId="1BE994E1" w14:textId="77777777" w:rsidR="00E12AA3" w:rsidRPr="00E224E9" w:rsidRDefault="00065C53">
      <w:pPr>
        <w:spacing w:line="440" w:lineRule="exact"/>
        <w:rPr>
          <w:rFonts w:ascii="Book Antiqua" w:hAnsi="標楷體"/>
          <w:color w:val="000000" w:themeColor="text1"/>
          <w:sz w:val="24"/>
        </w:rPr>
      </w:pPr>
      <w:r w:rsidRPr="00E224E9">
        <w:rPr>
          <w:rFonts w:ascii="Book Antiqua" w:hAnsi="標楷體"/>
          <w:b/>
          <w:color w:val="000000" w:themeColor="text1"/>
          <w:sz w:val="24"/>
        </w:rPr>
        <w:t>年報</w:t>
      </w:r>
      <w:r w:rsidRPr="00E224E9">
        <w:rPr>
          <w:rFonts w:ascii="Book Antiqua" w:hAnsi="標楷體"/>
          <w:color w:val="000000" w:themeColor="text1"/>
          <w:sz w:val="24"/>
        </w:rPr>
        <w:t>：最近五年度</w:t>
      </w:r>
    </w:p>
    <w:p w14:paraId="6B013F2C" w14:textId="77777777" w:rsidR="00065C53" w:rsidRPr="00E224E9" w:rsidRDefault="00065C53" w:rsidP="00825A92">
      <w:pPr>
        <w:spacing w:line="440" w:lineRule="exact"/>
        <w:rPr>
          <w:rFonts w:ascii="Book Antiqua" w:hAnsi="Book Antiqua"/>
          <w:color w:val="000000" w:themeColor="text1"/>
          <w:sz w:val="24"/>
        </w:rPr>
      </w:pPr>
      <w:r w:rsidRPr="00E224E9">
        <w:rPr>
          <w:rFonts w:ascii="Book Antiqua" w:hAnsi="標楷體"/>
          <w:b/>
          <w:color w:val="000000" w:themeColor="text1"/>
          <w:sz w:val="24"/>
        </w:rPr>
        <w:t>半年報</w:t>
      </w:r>
      <w:r w:rsidRPr="00E224E9">
        <w:rPr>
          <w:rFonts w:ascii="Book Antiqua" w:hAnsi="標楷體"/>
          <w:color w:val="000000" w:themeColor="text1"/>
          <w:sz w:val="24"/>
        </w:rPr>
        <w:t>：本半年度＋前四年度</w:t>
      </w:r>
      <w:r w:rsidR="00E12AA3" w:rsidRPr="00E224E9">
        <w:rPr>
          <w:rFonts w:ascii="Book Antiqua" w:hAnsi="標楷體" w:hint="eastAsia"/>
          <w:color w:val="000000" w:themeColor="text1"/>
          <w:sz w:val="24"/>
        </w:rPr>
        <w:t>＋前五年報年度，以</w:t>
      </w:r>
      <w:r w:rsidR="00E12AA3" w:rsidRPr="00E224E9">
        <w:rPr>
          <w:rFonts w:ascii="Book Antiqua" w:hAnsi="標楷體" w:hint="eastAsia"/>
          <w:color w:val="000000" w:themeColor="text1"/>
          <w:sz w:val="24"/>
        </w:rPr>
        <w:t>103</w:t>
      </w:r>
      <w:r w:rsidR="00E12AA3" w:rsidRPr="00E224E9">
        <w:rPr>
          <w:rFonts w:ascii="Book Antiqua" w:hAnsi="標楷體" w:hint="eastAsia"/>
          <w:color w:val="000000" w:themeColor="text1"/>
          <w:sz w:val="24"/>
        </w:rPr>
        <w:t>年上半年度為例，即</w:t>
      </w:r>
      <w:r w:rsidR="00E12AA3" w:rsidRPr="00E224E9">
        <w:rPr>
          <w:rFonts w:ascii="Book Antiqua" w:hAnsi="標楷體" w:hint="eastAsia"/>
          <w:color w:val="000000" w:themeColor="text1"/>
          <w:sz w:val="24"/>
        </w:rPr>
        <w:t>(98</w:t>
      </w:r>
      <w:r w:rsidR="00E12AA3" w:rsidRPr="00E224E9">
        <w:rPr>
          <w:rFonts w:ascii="Book Antiqua" w:hAnsi="標楷體" w:hint="eastAsia"/>
          <w:color w:val="000000" w:themeColor="text1"/>
          <w:sz w:val="24"/>
        </w:rPr>
        <w:t>年下半年</w:t>
      </w:r>
      <w:r w:rsidR="00E12AA3" w:rsidRPr="00E224E9">
        <w:rPr>
          <w:rFonts w:ascii="Book Antiqua" w:hAnsi="標楷體" w:hint="eastAsia"/>
          <w:color w:val="000000" w:themeColor="text1"/>
          <w:sz w:val="24"/>
        </w:rPr>
        <w:t>+99</w:t>
      </w:r>
      <w:r w:rsidR="00E12AA3" w:rsidRPr="00E224E9">
        <w:rPr>
          <w:rFonts w:ascii="Book Antiqua" w:hAnsi="標楷體" w:hint="eastAsia"/>
          <w:color w:val="000000" w:themeColor="text1"/>
          <w:sz w:val="24"/>
        </w:rPr>
        <w:t>全年</w:t>
      </w:r>
      <w:r w:rsidR="00E12AA3" w:rsidRPr="00E224E9">
        <w:rPr>
          <w:rFonts w:ascii="Book Antiqua" w:hAnsi="標楷體" w:hint="eastAsia"/>
          <w:color w:val="000000" w:themeColor="text1"/>
          <w:sz w:val="24"/>
        </w:rPr>
        <w:t>+100</w:t>
      </w:r>
      <w:r w:rsidR="00E12AA3" w:rsidRPr="00E224E9">
        <w:rPr>
          <w:rFonts w:ascii="Book Antiqua" w:hAnsi="標楷體" w:hint="eastAsia"/>
          <w:color w:val="000000" w:themeColor="text1"/>
          <w:sz w:val="24"/>
        </w:rPr>
        <w:t>全年</w:t>
      </w:r>
      <w:r w:rsidR="00E12AA3" w:rsidRPr="00E224E9">
        <w:rPr>
          <w:rFonts w:ascii="Book Antiqua" w:hAnsi="標楷體" w:hint="eastAsia"/>
          <w:color w:val="000000" w:themeColor="text1"/>
          <w:sz w:val="24"/>
        </w:rPr>
        <w:t>+101</w:t>
      </w:r>
      <w:r w:rsidR="00E12AA3" w:rsidRPr="00E224E9">
        <w:rPr>
          <w:rFonts w:ascii="Book Antiqua" w:hAnsi="標楷體" w:hint="eastAsia"/>
          <w:color w:val="000000" w:themeColor="text1"/>
          <w:sz w:val="24"/>
        </w:rPr>
        <w:t>全年</w:t>
      </w:r>
      <w:r w:rsidR="00E12AA3" w:rsidRPr="00E224E9">
        <w:rPr>
          <w:rFonts w:ascii="Book Antiqua" w:hAnsi="標楷體" w:hint="eastAsia"/>
          <w:color w:val="000000" w:themeColor="text1"/>
          <w:sz w:val="24"/>
        </w:rPr>
        <w:t>+102</w:t>
      </w:r>
      <w:r w:rsidR="00E12AA3" w:rsidRPr="00E224E9">
        <w:rPr>
          <w:rFonts w:ascii="Book Antiqua" w:hAnsi="標楷體" w:hint="eastAsia"/>
          <w:color w:val="000000" w:themeColor="text1"/>
          <w:sz w:val="24"/>
        </w:rPr>
        <w:t>全年</w:t>
      </w:r>
      <w:r w:rsidR="00E12AA3" w:rsidRPr="00E224E9">
        <w:rPr>
          <w:rFonts w:ascii="Book Antiqua" w:hAnsi="標楷體" w:hint="eastAsia"/>
          <w:color w:val="000000" w:themeColor="text1"/>
          <w:sz w:val="24"/>
        </w:rPr>
        <w:t>+103</w:t>
      </w:r>
      <w:r w:rsidR="00E12AA3" w:rsidRPr="00E224E9">
        <w:rPr>
          <w:rFonts w:ascii="Book Antiqua" w:hAnsi="標楷體" w:hint="eastAsia"/>
          <w:color w:val="000000" w:themeColor="text1"/>
          <w:sz w:val="24"/>
        </w:rPr>
        <w:t>上半年</w:t>
      </w:r>
      <w:r w:rsidR="00816588" w:rsidRPr="00E224E9">
        <w:rPr>
          <w:rFonts w:ascii="Book Antiqua" w:hAnsi="標楷體" w:hint="eastAsia"/>
          <w:color w:val="000000" w:themeColor="text1"/>
          <w:sz w:val="24"/>
        </w:rPr>
        <w:t>)</w:t>
      </w:r>
    </w:p>
    <w:p w14:paraId="29E1671C" w14:textId="77777777" w:rsidR="00065C53" w:rsidRPr="00E224E9" w:rsidRDefault="00065C53">
      <w:pPr>
        <w:spacing w:line="440" w:lineRule="exact"/>
        <w:ind w:leftChars="276" w:left="720" w:hanging="2"/>
        <w:jc w:val="both"/>
        <w:rPr>
          <w:rFonts w:ascii="Book Antiqua" w:hAnsi="Book Antiqua"/>
          <w:color w:val="000000" w:themeColor="text1"/>
          <w:sz w:val="24"/>
        </w:rPr>
      </w:pPr>
      <w:r w:rsidRPr="00E224E9">
        <w:rPr>
          <w:rFonts w:ascii="Book Antiqua" w:hAnsi="標楷體"/>
          <w:color w:val="000000" w:themeColor="text1"/>
          <w:sz w:val="24"/>
        </w:rPr>
        <w:t>資金運用收益率</w:t>
      </w:r>
      <w:r w:rsidRPr="00E224E9">
        <w:rPr>
          <w:rFonts w:ascii="Book Antiqua" w:hAnsi="Book Antiqua"/>
          <w:color w:val="000000" w:themeColor="text1"/>
          <w:sz w:val="24"/>
        </w:rPr>
        <w:t>=2×</w:t>
      </w:r>
      <w:r w:rsidRPr="00E224E9">
        <w:rPr>
          <w:rFonts w:ascii="Book Antiqua" w:hAnsi="標楷體"/>
          <w:color w:val="000000" w:themeColor="text1"/>
          <w:sz w:val="24"/>
        </w:rPr>
        <w:t>本期投資收益／</w:t>
      </w:r>
      <w:r w:rsidR="00816588" w:rsidRPr="00E224E9">
        <w:rPr>
          <w:rFonts w:ascii="Book Antiqua" w:hAnsi="標楷體" w:hint="eastAsia"/>
          <w:color w:val="000000" w:themeColor="text1"/>
          <w:sz w:val="24"/>
        </w:rPr>
        <w:t>(</w:t>
      </w:r>
      <w:r w:rsidRPr="00E224E9">
        <w:rPr>
          <w:rFonts w:ascii="Book Antiqua" w:hAnsi="標楷體"/>
          <w:color w:val="000000" w:themeColor="text1"/>
          <w:sz w:val="24"/>
        </w:rPr>
        <w:t>前期期末資金運用數</w:t>
      </w:r>
      <w:r w:rsidR="00E50862" w:rsidRPr="00E224E9">
        <w:rPr>
          <w:rFonts w:ascii="Book Antiqua" w:hAnsi="Book Antiqua" w:hint="eastAsia"/>
          <w:color w:val="000000" w:themeColor="text1"/>
          <w:sz w:val="24"/>
        </w:rPr>
        <w:t>＊</w:t>
      </w:r>
      <w:r w:rsidRPr="00E224E9">
        <w:rPr>
          <w:rFonts w:ascii="Book Antiqua" w:hAnsi="Book Antiqua"/>
          <w:color w:val="000000" w:themeColor="text1"/>
          <w:sz w:val="24"/>
        </w:rPr>
        <w:t>+</w:t>
      </w:r>
      <w:r w:rsidRPr="00E224E9">
        <w:rPr>
          <w:rFonts w:ascii="Book Antiqua" w:hAnsi="標楷體"/>
          <w:color w:val="000000" w:themeColor="text1"/>
          <w:sz w:val="24"/>
        </w:rPr>
        <w:t>本期期末資金運用數</w:t>
      </w:r>
      <w:r w:rsidR="00E50862" w:rsidRPr="00E224E9">
        <w:rPr>
          <w:rFonts w:ascii="Book Antiqua" w:hAnsi="Book Antiqua" w:hint="eastAsia"/>
          <w:color w:val="000000" w:themeColor="text1"/>
          <w:sz w:val="24"/>
        </w:rPr>
        <w:t>＊</w:t>
      </w:r>
      <w:r w:rsidRPr="00E224E9">
        <w:rPr>
          <w:rFonts w:ascii="Book Antiqua" w:hAnsi="標楷體"/>
          <w:color w:val="000000" w:themeColor="text1"/>
          <w:sz w:val="24"/>
        </w:rPr>
        <w:t>－本期投資收益</w:t>
      </w:r>
      <w:r w:rsidR="00816588" w:rsidRPr="00E224E9">
        <w:rPr>
          <w:rFonts w:ascii="Book Antiqua" w:hAnsi="標楷體" w:hint="eastAsia"/>
          <w:color w:val="000000" w:themeColor="text1"/>
          <w:sz w:val="24"/>
        </w:rPr>
        <w:t>)</w:t>
      </w:r>
      <w:r w:rsidR="009010E7" w:rsidRPr="00E224E9">
        <w:rPr>
          <w:rFonts w:ascii="Book Antiqua" w:hAnsi="Book Antiqua" w:hint="eastAsia"/>
          <w:color w:val="000000" w:themeColor="text1"/>
          <w:sz w:val="24"/>
        </w:rPr>
        <w:t>，</w:t>
      </w:r>
      <w:r w:rsidRPr="00E224E9">
        <w:rPr>
          <w:rFonts w:ascii="Book Antiqua" w:hAnsi="標楷體"/>
          <w:color w:val="000000" w:themeColor="text1"/>
          <w:sz w:val="24"/>
        </w:rPr>
        <w:t>並按其期間予以年度化收益率；本表與財務業務指標計算表所列資金運用</w:t>
      </w:r>
      <w:r w:rsidRPr="00E224E9">
        <w:rPr>
          <w:rFonts w:ascii="Book Antiqua" w:hAnsi="Book Antiqua"/>
          <w:color w:val="000000" w:themeColor="text1"/>
          <w:sz w:val="24"/>
        </w:rPr>
        <w:t>(</w:t>
      </w:r>
      <w:r w:rsidRPr="00E224E9">
        <w:rPr>
          <w:rFonts w:ascii="Book Antiqua" w:hAnsi="標楷體"/>
          <w:color w:val="000000" w:themeColor="text1"/>
          <w:sz w:val="24"/>
        </w:rPr>
        <w:t>淨</w:t>
      </w:r>
      <w:r w:rsidRPr="00E224E9">
        <w:rPr>
          <w:rFonts w:ascii="Book Antiqua" w:hAnsi="Book Antiqua"/>
          <w:color w:val="000000" w:themeColor="text1"/>
          <w:sz w:val="24"/>
        </w:rPr>
        <w:t>)</w:t>
      </w:r>
      <w:r w:rsidRPr="00E224E9">
        <w:rPr>
          <w:rFonts w:ascii="Book Antiqua" w:hAnsi="標楷體"/>
          <w:color w:val="000000" w:themeColor="text1"/>
          <w:sz w:val="24"/>
        </w:rPr>
        <w:t>收益率計算基礎不同。</w:t>
      </w:r>
    </w:p>
    <w:p w14:paraId="473D54D8" w14:textId="77777777" w:rsidR="00065C53" w:rsidRPr="00E224E9" w:rsidRDefault="00065C53">
      <w:pPr>
        <w:spacing w:line="440" w:lineRule="exact"/>
        <w:ind w:leftChars="276" w:left="720" w:hanging="2"/>
        <w:jc w:val="both"/>
        <w:rPr>
          <w:rFonts w:ascii="Book Antiqua" w:hAnsi="Book Antiqua"/>
          <w:color w:val="000000" w:themeColor="text1"/>
          <w:sz w:val="24"/>
        </w:rPr>
      </w:pPr>
    </w:p>
    <w:p w14:paraId="16ECBABD" w14:textId="77777777" w:rsidR="00065C53" w:rsidRPr="00E224E9" w:rsidRDefault="00065C53">
      <w:pPr>
        <w:spacing w:line="440" w:lineRule="exact"/>
        <w:ind w:leftChars="276" w:left="720" w:hanging="2"/>
        <w:jc w:val="both"/>
        <w:rPr>
          <w:rFonts w:ascii="Book Antiqua" w:hAnsi="Book Antiqua"/>
          <w:color w:val="000000" w:themeColor="text1"/>
          <w:sz w:val="24"/>
        </w:rPr>
      </w:pPr>
      <w:r w:rsidRPr="00E224E9">
        <w:rPr>
          <w:rFonts w:ascii="Book Antiqua" w:hAnsi="標楷體"/>
          <w:color w:val="000000" w:themeColor="text1"/>
          <w:sz w:val="24"/>
        </w:rPr>
        <w:t>各項標的資金運用收益率</w:t>
      </w:r>
      <w:r w:rsidRPr="00E224E9">
        <w:rPr>
          <w:rFonts w:ascii="Book Antiqua" w:hAnsi="Book Antiqua"/>
          <w:color w:val="000000" w:themeColor="text1"/>
          <w:sz w:val="24"/>
        </w:rPr>
        <w:t>=2×</w:t>
      </w:r>
      <w:r w:rsidRPr="00E224E9">
        <w:rPr>
          <w:rFonts w:ascii="Book Antiqua" w:hAnsi="標楷體"/>
          <w:color w:val="000000" w:themeColor="text1"/>
          <w:sz w:val="24"/>
        </w:rPr>
        <w:t>該項標的本期投資收益／</w:t>
      </w:r>
      <w:r w:rsidR="00816588" w:rsidRPr="00E224E9">
        <w:rPr>
          <w:rFonts w:ascii="Book Antiqua" w:hAnsi="標楷體" w:hint="eastAsia"/>
          <w:color w:val="000000" w:themeColor="text1"/>
          <w:sz w:val="24"/>
        </w:rPr>
        <w:t>(</w:t>
      </w:r>
      <w:r w:rsidRPr="00E224E9">
        <w:rPr>
          <w:rFonts w:ascii="Book Antiqua" w:hAnsi="標楷體"/>
          <w:color w:val="000000" w:themeColor="text1"/>
          <w:sz w:val="24"/>
        </w:rPr>
        <w:t>該項標的前期期末資金運用數</w:t>
      </w:r>
      <w:r w:rsidR="00E50862" w:rsidRPr="00E224E9">
        <w:rPr>
          <w:rFonts w:ascii="Book Antiqua" w:hAnsi="Book Antiqua" w:hint="eastAsia"/>
          <w:color w:val="000000" w:themeColor="text1"/>
          <w:sz w:val="24"/>
        </w:rPr>
        <w:t>＊</w:t>
      </w:r>
      <w:r w:rsidRPr="00E224E9">
        <w:rPr>
          <w:rFonts w:ascii="Book Antiqua" w:hAnsi="Book Antiqua"/>
          <w:color w:val="000000" w:themeColor="text1"/>
          <w:sz w:val="24"/>
        </w:rPr>
        <w:t>+</w:t>
      </w:r>
      <w:r w:rsidRPr="00E224E9">
        <w:rPr>
          <w:rFonts w:ascii="Book Antiqua" w:hAnsi="標楷體"/>
          <w:color w:val="000000" w:themeColor="text1"/>
          <w:sz w:val="24"/>
        </w:rPr>
        <w:t>該項標的本期期末資金運用數</w:t>
      </w:r>
      <w:r w:rsidR="00E50862" w:rsidRPr="00E224E9">
        <w:rPr>
          <w:rFonts w:ascii="Book Antiqua" w:hAnsi="Book Antiqua" w:hint="eastAsia"/>
          <w:color w:val="000000" w:themeColor="text1"/>
          <w:sz w:val="24"/>
        </w:rPr>
        <w:t>＊</w:t>
      </w:r>
      <w:r w:rsidRPr="00E224E9">
        <w:rPr>
          <w:rFonts w:ascii="Book Antiqua" w:hAnsi="標楷體"/>
          <w:color w:val="000000" w:themeColor="text1"/>
          <w:sz w:val="24"/>
        </w:rPr>
        <w:t>－該項標的本期投資收益</w:t>
      </w:r>
      <w:r w:rsidR="00816588" w:rsidRPr="00E224E9">
        <w:rPr>
          <w:rFonts w:ascii="Book Antiqua" w:hAnsi="標楷體" w:hint="eastAsia"/>
          <w:color w:val="000000" w:themeColor="text1"/>
          <w:sz w:val="24"/>
        </w:rPr>
        <w:t>)</w:t>
      </w:r>
      <w:r w:rsidR="009010E7" w:rsidRPr="00E224E9">
        <w:rPr>
          <w:rFonts w:ascii="Book Antiqua" w:hAnsi="Book Antiqua" w:hint="eastAsia"/>
          <w:color w:val="000000" w:themeColor="text1"/>
          <w:sz w:val="24"/>
        </w:rPr>
        <w:t>，</w:t>
      </w:r>
      <w:r w:rsidRPr="00E224E9">
        <w:rPr>
          <w:rFonts w:ascii="Book Antiqua" w:hAnsi="標楷體"/>
          <w:color w:val="000000" w:themeColor="text1"/>
          <w:sz w:val="24"/>
        </w:rPr>
        <w:t>並按其期間予以年度化收益率。</w:t>
      </w:r>
    </w:p>
    <w:p w14:paraId="12C49717" w14:textId="77777777" w:rsidR="00065C53" w:rsidRPr="00E224E9" w:rsidRDefault="00065C53">
      <w:pPr>
        <w:spacing w:line="440" w:lineRule="exact"/>
        <w:ind w:leftChars="276" w:left="720" w:hanging="2"/>
        <w:jc w:val="both"/>
        <w:rPr>
          <w:rFonts w:ascii="Book Antiqua" w:hAnsi="Book Antiqua"/>
          <w:color w:val="000000" w:themeColor="text1"/>
          <w:sz w:val="24"/>
        </w:rPr>
      </w:pPr>
    </w:p>
    <w:p w14:paraId="1AE50A33" w14:textId="77777777" w:rsidR="00065C53" w:rsidRPr="00E224E9" w:rsidRDefault="00065C53">
      <w:pPr>
        <w:spacing w:line="440" w:lineRule="exact"/>
        <w:ind w:leftChars="276" w:left="720" w:hanging="2"/>
        <w:jc w:val="both"/>
        <w:rPr>
          <w:rFonts w:ascii="Book Antiqua" w:hAnsi="Book Antiqua"/>
          <w:color w:val="000000" w:themeColor="text1"/>
          <w:sz w:val="24"/>
        </w:rPr>
      </w:pPr>
      <w:r w:rsidRPr="00E224E9">
        <w:rPr>
          <w:rFonts w:ascii="Book Antiqua" w:hAnsi="標楷體"/>
          <w:color w:val="000000" w:themeColor="text1"/>
          <w:sz w:val="24"/>
        </w:rPr>
        <w:t>以上所稱</w:t>
      </w:r>
      <w:r w:rsidR="00AC1A4F" w:rsidRPr="00E224E9">
        <w:rPr>
          <w:rFonts w:ascii="Book Antiqua" w:hAnsi="Book Antiqua" w:hint="eastAsia"/>
          <w:color w:val="000000" w:themeColor="text1"/>
          <w:sz w:val="24"/>
        </w:rPr>
        <w:t>「</w:t>
      </w:r>
      <w:r w:rsidRPr="00E224E9">
        <w:rPr>
          <w:rFonts w:ascii="Book Antiqua" w:hAnsi="標楷體"/>
          <w:color w:val="000000" w:themeColor="text1"/>
          <w:sz w:val="24"/>
        </w:rPr>
        <w:t>本期投資收益</w:t>
      </w:r>
      <w:r w:rsidR="00AC1A4F" w:rsidRPr="00E224E9">
        <w:rPr>
          <w:rFonts w:ascii="Book Antiqua" w:hAnsi="Book Antiqua" w:hint="eastAsia"/>
          <w:color w:val="000000" w:themeColor="text1"/>
          <w:sz w:val="24"/>
        </w:rPr>
        <w:t>」</w:t>
      </w:r>
      <w:r w:rsidRPr="00E224E9">
        <w:rPr>
          <w:rFonts w:ascii="Book Antiqua" w:hAnsi="標楷體"/>
          <w:color w:val="000000" w:themeColor="text1"/>
          <w:sz w:val="24"/>
        </w:rPr>
        <w:t>係指第</w:t>
      </w:r>
      <w:r w:rsidR="00AC1A4F"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2</w:t>
      </w:r>
      <w:r w:rsidRPr="00E224E9">
        <w:rPr>
          <w:rFonts w:ascii="Book Antiqua" w:hAnsi="標楷體"/>
          <w:color w:val="000000" w:themeColor="text1"/>
          <w:sz w:val="24"/>
        </w:rPr>
        <w:t>欄本期</w:t>
      </w:r>
      <w:r w:rsidR="00AC1A4F" w:rsidRPr="00E224E9">
        <w:rPr>
          <w:rFonts w:ascii="Book Antiqua" w:hAnsi="標楷體" w:hint="eastAsia"/>
          <w:color w:val="000000" w:themeColor="text1"/>
          <w:sz w:val="24"/>
        </w:rPr>
        <w:t>投資</w:t>
      </w:r>
      <w:r w:rsidRPr="00E224E9">
        <w:rPr>
          <w:rFonts w:ascii="Book Antiqua" w:hAnsi="標楷體"/>
          <w:color w:val="000000" w:themeColor="text1"/>
          <w:sz w:val="24"/>
        </w:rPr>
        <w:t>損益。</w:t>
      </w:r>
    </w:p>
    <w:p w14:paraId="5FC50CE2" w14:textId="77777777" w:rsidR="00065C53" w:rsidRPr="00E224E9" w:rsidRDefault="00065C53">
      <w:pPr>
        <w:spacing w:line="440" w:lineRule="exact"/>
        <w:ind w:leftChars="276" w:left="720" w:hanging="2"/>
        <w:rPr>
          <w:rFonts w:ascii="Book Antiqua" w:hAnsi="標楷體"/>
          <w:color w:val="000000" w:themeColor="text1"/>
          <w:sz w:val="24"/>
        </w:rPr>
      </w:pPr>
      <w:r w:rsidRPr="00E224E9">
        <w:rPr>
          <w:rFonts w:ascii="Book Antiqua" w:hAnsi="標楷體"/>
          <w:color w:val="000000" w:themeColor="text1"/>
          <w:sz w:val="24"/>
        </w:rPr>
        <w:t>以上所稱資金運用數係指表</w:t>
      </w:r>
      <w:r w:rsidRPr="00E224E9">
        <w:rPr>
          <w:rFonts w:ascii="Book Antiqua" w:hAnsi="Book Antiqua"/>
          <w:color w:val="000000" w:themeColor="text1"/>
          <w:sz w:val="24"/>
        </w:rPr>
        <w:t>05-1</w:t>
      </w: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欄第</w:t>
      </w:r>
      <w:r w:rsidR="00313FF9" w:rsidRPr="00E224E9">
        <w:rPr>
          <w:rFonts w:ascii="Book Antiqua" w:hAnsi="Book Antiqua" w:hint="eastAsia"/>
          <w:color w:val="000000" w:themeColor="text1"/>
          <w:sz w:val="24"/>
        </w:rPr>
        <w:t>239</w:t>
      </w:r>
      <w:r w:rsidRPr="00E224E9">
        <w:rPr>
          <w:rFonts w:ascii="Book Antiqua" w:hAnsi="標楷體"/>
          <w:color w:val="000000" w:themeColor="text1"/>
          <w:sz w:val="24"/>
        </w:rPr>
        <w:t>列「資金運用總計」帳載金額；在計算各項標的資金運用收益率時，</w:t>
      </w:r>
      <w:r w:rsidR="00AC1A4F" w:rsidRPr="00E224E9">
        <w:rPr>
          <w:rFonts w:ascii="Book Antiqua" w:hAnsi="Book Antiqua" w:hint="eastAsia"/>
          <w:color w:val="000000" w:themeColor="text1"/>
          <w:sz w:val="24"/>
        </w:rPr>
        <w:t>「</w:t>
      </w:r>
      <w:r w:rsidRPr="00E224E9">
        <w:rPr>
          <w:rFonts w:ascii="Book Antiqua" w:hAnsi="標楷體"/>
          <w:color w:val="000000" w:themeColor="text1"/>
          <w:sz w:val="24"/>
        </w:rPr>
        <w:t>資金運用數</w:t>
      </w:r>
      <w:r w:rsidR="00AC1A4F" w:rsidRPr="00E224E9">
        <w:rPr>
          <w:rFonts w:ascii="Book Antiqua" w:hAnsi="Book Antiqua" w:hint="eastAsia"/>
          <w:color w:val="000000" w:themeColor="text1"/>
          <w:sz w:val="24"/>
        </w:rPr>
        <w:t>」</w:t>
      </w:r>
      <w:r w:rsidRPr="00E224E9">
        <w:rPr>
          <w:rFonts w:ascii="Book Antiqua" w:hAnsi="標楷體"/>
          <w:color w:val="000000" w:themeColor="text1"/>
          <w:sz w:val="24"/>
        </w:rPr>
        <w:t>則係指表</w:t>
      </w:r>
      <w:r w:rsidRPr="00E224E9">
        <w:rPr>
          <w:rFonts w:ascii="Book Antiqua" w:hAnsi="Book Antiqua"/>
          <w:color w:val="000000" w:themeColor="text1"/>
          <w:sz w:val="24"/>
        </w:rPr>
        <w:t>05-1</w:t>
      </w: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欄相對應之各列有關投資標的。</w:t>
      </w:r>
    </w:p>
    <w:p w14:paraId="258C2972" w14:textId="77777777" w:rsidR="00E50862" w:rsidRPr="00E224E9" w:rsidRDefault="00E50862">
      <w:pPr>
        <w:spacing w:line="440" w:lineRule="exact"/>
        <w:ind w:leftChars="276" w:left="720" w:hanging="2"/>
        <w:rPr>
          <w:rFonts w:ascii="Book Antiqua" w:hAnsi="Book Antiqua"/>
          <w:color w:val="000000" w:themeColor="text1"/>
          <w:sz w:val="24"/>
        </w:rPr>
      </w:pPr>
      <w:r w:rsidRPr="00E224E9">
        <w:rPr>
          <w:rFonts w:ascii="Book Antiqua" w:hAnsi="Book Antiqua" w:hint="eastAsia"/>
          <w:color w:val="000000" w:themeColor="text1"/>
          <w:sz w:val="24"/>
        </w:rPr>
        <w:t>＊係指投資性不動產後續衡量未採用公允價值模式之資金運用數</w:t>
      </w:r>
    </w:p>
    <w:p w14:paraId="0D1ED11C" w14:textId="77777777" w:rsidR="00065C53" w:rsidRPr="00E224E9" w:rsidRDefault="00065C53">
      <w:pPr>
        <w:spacing w:line="440" w:lineRule="exact"/>
        <w:rPr>
          <w:rFonts w:ascii="Book Antiqua" w:hAnsi="Book Antiqua"/>
          <w:color w:val="000000" w:themeColor="text1"/>
          <w:sz w:val="24"/>
        </w:rPr>
      </w:pPr>
      <w:r w:rsidRPr="00E224E9">
        <w:rPr>
          <w:rFonts w:ascii="Book Antiqua" w:hAnsi="標楷體"/>
          <w:color w:val="000000" w:themeColor="text1"/>
          <w:sz w:val="24"/>
        </w:rPr>
        <w:t>第</w:t>
      </w:r>
      <w:r w:rsidR="00AC1A4F"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8</w:t>
      </w:r>
      <w:r w:rsidRPr="00E224E9">
        <w:rPr>
          <w:rFonts w:ascii="Book Antiqua" w:hAnsi="標楷體"/>
          <w:color w:val="000000" w:themeColor="text1"/>
          <w:sz w:val="24"/>
        </w:rPr>
        <w:t>欄－本</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年度累積</w:t>
      </w:r>
      <w:r w:rsidRPr="00E224E9">
        <w:rPr>
          <w:rFonts w:ascii="Book Antiqua" w:hAnsi="Book Antiqua"/>
          <w:color w:val="000000" w:themeColor="text1"/>
          <w:sz w:val="24"/>
        </w:rPr>
        <w:t>(</w:t>
      </w:r>
      <w:r w:rsidRPr="00E224E9">
        <w:rPr>
          <w:rFonts w:ascii="Book Antiqua" w:hAnsi="標楷體"/>
          <w:color w:val="000000" w:themeColor="text1"/>
          <w:sz w:val="24"/>
        </w:rPr>
        <w:t>年化</w:t>
      </w:r>
      <w:r w:rsidRPr="00E224E9">
        <w:rPr>
          <w:rFonts w:ascii="Book Antiqua" w:hAnsi="Book Antiqua"/>
          <w:color w:val="000000" w:themeColor="text1"/>
          <w:sz w:val="24"/>
        </w:rPr>
        <w:t>)</w:t>
      </w:r>
      <w:r w:rsidRPr="00E224E9">
        <w:rPr>
          <w:rFonts w:ascii="Book Antiqua" w:hAnsi="標楷體"/>
          <w:color w:val="000000" w:themeColor="text1"/>
          <w:sz w:val="24"/>
        </w:rPr>
        <w:t>資金運用收益率</w:t>
      </w:r>
    </w:p>
    <w:p w14:paraId="7248D8B7" w14:textId="77777777" w:rsidR="00065C53" w:rsidRPr="00E224E9" w:rsidRDefault="00065C53">
      <w:pPr>
        <w:spacing w:line="440" w:lineRule="exact"/>
        <w:ind w:leftChars="276" w:left="720" w:hanging="2"/>
        <w:rPr>
          <w:rFonts w:ascii="Book Antiqua" w:hAnsi="標楷體"/>
          <w:color w:val="000000" w:themeColor="text1"/>
          <w:sz w:val="24"/>
        </w:rPr>
      </w:pPr>
      <w:r w:rsidRPr="00E224E9">
        <w:rPr>
          <w:rFonts w:ascii="Book Antiqua" w:hAnsi="標楷體"/>
          <w:color w:val="000000" w:themeColor="text1"/>
          <w:sz w:val="24"/>
        </w:rPr>
        <w:t>依第</w:t>
      </w:r>
      <w:r w:rsidR="00AC1A4F"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8</w:t>
      </w:r>
      <w:r w:rsidRPr="00E224E9">
        <w:rPr>
          <w:rFonts w:ascii="Book Antiqua" w:hAnsi="標楷體"/>
          <w:color w:val="000000" w:themeColor="text1"/>
          <w:sz w:val="24"/>
        </w:rPr>
        <w:t>欄金額計算之資金運用收益率，並按其期間予以年度化收益率。</w:t>
      </w:r>
    </w:p>
    <w:p w14:paraId="6FAED180" w14:textId="77777777" w:rsidR="005C5801" w:rsidRPr="00E224E9" w:rsidRDefault="005C5801" w:rsidP="005C5801">
      <w:pPr>
        <w:spacing w:line="440" w:lineRule="exact"/>
        <w:rPr>
          <w:rFonts w:ascii="Book Antiqua" w:hAnsi="標楷體"/>
          <w:color w:val="000000" w:themeColor="text1"/>
          <w:sz w:val="24"/>
        </w:rPr>
      </w:pPr>
      <w:r w:rsidRPr="00E224E9">
        <w:rPr>
          <w:rFonts w:ascii="Book Antiqua" w:hAnsi="標楷體" w:hint="eastAsia"/>
          <w:color w:val="000000" w:themeColor="text1"/>
          <w:sz w:val="24"/>
        </w:rPr>
        <w:lastRenderedPageBreak/>
        <w:t>第</w:t>
      </w:r>
      <w:r w:rsidR="00AC1A4F" w:rsidRPr="00E224E9">
        <w:rPr>
          <w:rFonts w:ascii="Book Antiqua" w:hAnsi="標楷體" w:hint="eastAsia"/>
          <w:color w:val="000000" w:themeColor="text1"/>
          <w:sz w:val="24"/>
        </w:rPr>
        <w:t>3</w:t>
      </w:r>
      <w:r w:rsidR="00A51B52" w:rsidRPr="00E224E9">
        <w:rPr>
          <w:rFonts w:ascii="Book Antiqua" w:hAnsi="標楷體" w:hint="eastAsia"/>
          <w:color w:val="000000" w:themeColor="text1"/>
          <w:sz w:val="24"/>
        </w:rPr>
        <w:t>3</w:t>
      </w:r>
      <w:r w:rsidRPr="00E224E9">
        <w:rPr>
          <w:rFonts w:ascii="Book Antiqua" w:hAnsi="標楷體" w:hint="eastAsia"/>
          <w:color w:val="000000" w:themeColor="text1"/>
          <w:sz w:val="24"/>
        </w:rPr>
        <w:t>-</w:t>
      </w:r>
      <w:r w:rsidR="00085C0F" w:rsidRPr="00E224E9">
        <w:rPr>
          <w:rFonts w:ascii="Book Antiqua" w:hAnsi="標楷體" w:hint="eastAsia"/>
          <w:color w:val="000000" w:themeColor="text1"/>
          <w:sz w:val="24"/>
        </w:rPr>
        <w:t>3</w:t>
      </w:r>
      <w:r w:rsidR="00A51B52" w:rsidRPr="00E224E9">
        <w:rPr>
          <w:rFonts w:ascii="Book Antiqua" w:hAnsi="標楷體" w:hint="eastAsia"/>
          <w:color w:val="000000" w:themeColor="text1"/>
          <w:sz w:val="24"/>
        </w:rPr>
        <w:t>6</w:t>
      </w:r>
      <w:r w:rsidRPr="00E224E9">
        <w:rPr>
          <w:rFonts w:ascii="Book Antiqua" w:hAnsi="標楷體" w:hint="eastAsia"/>
          <w:color w:val="000000" w:themeColor="text1"/>
          <w:sz w:val="24"/>
        </w:rPr>
        <w:t>欄－下半年</w:t>
      </w:r>
      <w:r w:rsidR="00716EF1" w:rsidRPr="00E224E9">
        <w:rPr>
          <w:rFonts w:ascii="Book Antiqua" w:hAnsi="標楷體" w:hint="eastAsia"/>
          <w:color w:val="000000" w:themeColor="text1"/>
          <w:sz w:val="24"/>
        </w:rPr>
        <w:t>度資金運用</w:t>
      </w:r>
      <w:r w:rsidRPr="00E224E9">
        <w:rPr>
          <w:rFonts w:ascii="Book Antiqua" w:hAnsi="標楷體" w:hint="eastAsia"/>
          <w:color w:val="000000" w:themeColor="text1"/>
          <w:sz w:val="24"/>
        </w:rPr>
        <w:t>收益</w:t>
      </w:r>
    </w:p>
    <w:p w14:paraId="20A8006E" w14:textId="77777777" w:rsidR="00CA66EB" w:rsidRPr="00E224E9" w:rsidRDefault="00816588" w:rsidP="00816588">
      <w:pPr>
        <w:spacing w:line="440" w:lineRule="exact"/>
        <w:ind w:leftChars="276" w:left="720" w:hanging="2"/>
        <w:rPr>
          <w:rFonts w:ascii="Book Antiqua" w:hAnsi="標楷體"/>
          <w:color w:val="000000" w:themeColor="text1"/>
          <w:sz w:val="24"/>
        </w:rPr>
      </w:pPr>
      <w:r w:rsidRPr="00E224E9">
        <w:rPr>
          <w:rFonts w:ascii="Book Antiqua" w:hAnsi="標楷體"/>
          <w:color w:val="000000" w:themeColor="text1"/>
          <w:sz w:val="24"/>
        </w:rPr>
        <w:t>係本年度</w:t>
      </w:r>
      <w:r w:rsidRPr="00E224E9">
        <w:rPr>
          <w:rFonts w:ascii="Book Antiqua" w:hAnsi="標楷體" w:hint="eastAsia"/>
          <w:color w:val="000000" w:themeColor="text1"/>
          <w:sz w:val="24"/>
        </w:rPr>
        <w:t>往前第五年</w:t>
      </w:r>
      <w:r w:rsidR="00716EF1" w:rsidRPr="00E224E9">
        <w:rPr>
          <w:rFonts w:ascii="Book Antiqua" w:hAnsi="標楷體" w:hint="eastAsia"/>
          <w:color w:val="000000" w:themeColor="text1"/>
          <w:sz w:val="24"/>
        </w:rPr>
        <w:t>下半年度</w:t>
      </w:r>
      <w:r w:rsidRPr="00E224E9">
        <w:rPr>
          <w:rFonts w:ascii="Book Antiqua" w:hAnsi="標楷體"/>
          <w:color w:val="000000" w:themeColor="text1"/>
          <w:sz w:val="24"/>
        </w:rPr>
        <w:t>之金額</w:t>
      </w:r>
      <w:r w:rsidR="00AC1A4F" w:rsidRPr="00E224E9">
        <w:rPr>
          <w:rFonts w:ascii="Book Antiqua" w:hAnsi="標楷體" w:hint="eastAsia"/>
          <w:color w:val="000000" w:themeColor="text1"/>
          <w:sz w:val="24"/>
        </w:rPr>
        <w:t>。</w:t>
      </w:r>
    </w:p>
    <w:p w14:paraId="68254936" w14:textId="77777777" w:rsidR="00065C53" w:rsidRPr="00E224E9" w:rsidRDefault="00065C53">
      <w:pPr>
        <w:spacing w:line="440" w:lineRule="exact"/>
        <w:rPr>
          <w:rFonts w:ascii="Book Antiqua" w:hAnsi="Book Antiqua"/>
          <w:color w:val="000000" w:themeColor="text1"/>
          <w:sz w:val="24"/>
        </w:rPr>
      </w:pPr>
      <w:r w:rsidRPr="00E224E9">
        <w:rPr>
          <w:rFonts w:ascii="Book Antiqua" w:hAnsi="標楷體"/>
          <w:color w:val="000000" w:themeColor="text1"/>
          <w:sz w:val="24"/>
        </w:rPr>
        <w:t>各資金運用項目收益之分類及其帳項內涵，應依照保險法第</w:t>
      </w:r>
      <w:r w:rsidRPr="00E224E9">
        <w:rPr>
          <w:rFonts w:ascii="Book Antiqua" w:hAnsi="Book Antiqua"/>
          <w:color w:val="000000" w:themeColor="text1"/>
          <w:sz w:val="24"/>
        </w:rPr>
        <w:t>146</w:t>
      </w:r>
      <w:r w:rsidRPr="00E224E9">
        <w:rPr>
          <w:rFonts w:ascii="Book Antiqua" w:hAnsi="標楷體"/>
          <w:color w:val="000000" w:themeColor="text1"/>
          <w:sz w:val="24"/>
        </w:rPr>
        <w:t>條至第</w:t>
      </w:r>
      <w:r w:rsidRPr="00E224E9">
        <w:rPr>
          <w:rFonts w:ascii="Book Antiqua" w:hAnsi="Book Antiqua"/>
          <w:color w:val="000000" w:themeColor="text1"/>
          <w:sz w:val="24"/>
        </w:rPr>
        <w:t>146</w:t>
      </w:r>
      <w:r w:rsidRPr="00E224E9">
        <w:rPr>
          <w:rFonts w:ascii="Book Antiqua" w:hAnsi="標楷體"/>
          <w:color w:val="000000" w:themeColor="text1"/>
          <w:sz w:val="24"/>
        </w:rPr>
        <w:t>條之</w:t>
      </w:r>
      <w:r w:rsidRPr="00E224E9">
        <w:rPr>
          <w:rFonts w:ascii="Book Antiqua" w:hAnsi="Book Antiqua"/>
          <w:color w:val="000000" w:themeColor="text1"/>
          <w:sz w:val="24"/>
        </w:rPr>
        <w:t>8</w:t>
      </w:r>
      <w:r w:rsidRPr="00E224E9">
        <w:rPr>
          <w:rFonts w:ascii="Book Antiqua" w:hAnsi="標楷體"/>
          <w:color w:val="000000" w:themeColor="text1"/>
          <w:sz w:val="24"/>
        </w:rPr>
        <w:t>暨相關法令規定辦理</w:t>
      </w:r>
      <w:r w:rsidR="00AC1A4F" w:rsidRPr="00E224E9">
        <w:rPr>
          <w:rFonts w:ascii="Book Antiqua" w:hAnsi="標楷體" w:hint="eastAsia"/>
          <w:color w:val="000000" w:themeColor="text1"/>
          <w:sz w:val="24"/>
        </w:rPr>
        <w:t>。</w:t>
      </w:r>
    </w:p>
    <w:p w14:paraId="797680DE" w14:textId="77777777" w:rsidR="00065C53" w:rsidRPr="00E224E9" w:rsidRDefault="00065C53">
      <w:pPr>
        <w:spacing w:line="440" w:lineRule="exact"/>
        <w:rPr>
          <w:rFonts w:ascii="Book Antiqua" w:hAnsi="Book Antiqua"/>
          <w:color w:val="000000" w:themeColor="text1"/>
          <w:sz w:val="24"/>
        </w:rPr>
      </w:pPr>
      <w:r w:rsidRPr="00E224E9">
        <w:rPr>
          <w:rFonts w:ascii="Book Antiqua" w:hAnsi="標楷體"/>
          <w:color w:val="000000" w:themeColor="text1"/>
          <w:sz w:val="24"/>
        </w:rPr>
        <w:t>本表將收益項目分為三大類，分別為國內投資、國外投資及其他項目，並再區分為「存款」、「有價證券」、「不動產」、「放款」及「衍生性商品交易」。</w:t>
      </w:r>
    </w:p>
    <w:p w14:paraId="523AC633" w14:textId="77777777" w:rsidR="00065C53" w:rsidRPr="00E224E9" w:rsidRDefault="00065C53">
      <w:pPr>
        <w:numPr>
          <w:ilvl w:val="0"/>
          <w:numId w:val="1"/>
        </w:numPr>
        <w:tabs>
          <w:tab w:val="clear" w:pos="720"/>
          <w:tab w:val="num" w:pos="540"/>
        </w:tabs>
        <w:spacing w:line="440" w:lineRule="exact"/>
        <w:rPr>
          <w:rFonts w:ascii="Book Antiqua" w:hAnsi="Book Antiqua"/>
          <w:color w:val="000000" w:themeColor="text1"/>
          <w:sz w:val="24"/>
        </w:rPr>
      </w:pPr>
      <w:r w:rsidRPr="00E224E9">
        <w:rPr>
          <w:rFonts w:ascii="Book Antiqua" w:hAnsi="標楷體"/>
          <w:color w:val="000000" w:themeColor="text1"/>
          <w:sz w:val="24"/>
        </w:rPr>
        <w:t>國內投資</w:t>
      </w:r>
    </w:p>
    <w:p w14:paraId="33D26E9E"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列－存款</w:t>
      </w:r>
    </w:p>
    <w:p w14:paraId="2AEA5FF1" w14:textId="77777777" w:rsidR="00065C53" w:rsidRPr="00E224E9" w:rsidRDefault="00065C53">
      <w:pPr>
        <w:spacing w:line="440" w:lineRule="exact"/>
        <w:ind w:firstLineChars="346" w:firstLine="830"/>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1</w:t>
      </w:r>
      <w:r w:rsidRPr="00E224E9">
        <w:rPr>
          <w:rFonts w:ascii="Book Antiqua" w:hAnsi="標楷體"/>
          <w:color w:val="000000" w:themeColor="text1"/>
          <w:sz w:val="24"/>
        </w:rPr>
        <w:t>列至第</w:t>
      </w:r>
      <w:r w:rsidRPr="00E224E9">
        <w:rPr>
          <w:rFonts w:ascii="Book Antiqua" w:hAnsi="Book Antiqua"/>
          <w:color w:val="000000" w:themeColor="text1"/>
          <w:sz w:val="24"/>
        </w:rPr>
        <w:t>4</w:t>
      </w:r>
      <w:r w:rsidRPr="00E224E9">
        <w:rPr>
          <w:rFonts w:ascii="Book Antiqua" w:hAnsi="標楷體"/>
          <w:color w:val="000000" w:themeColor="text1"/>
          <w:sz w:val="24"/>
        </w:rPr>
        <w:t>列之加總。</w:t>
      </w:r>
    </w:p>
    <w:p w14:paraId="7C6F7165" w14:textId="77777777" w:rsidR="00065C53" w:rsidRPr="00E224E9" w:rsidRDefault="00065C53">
      <w:pPr>
        <w:spacing w:line="440" w:lineRule="exact"/>
        <w:ind w:leftChars="346" w:left="900"/>
        <w:rPr>
          <w:rFonts w:ascii="Book Antiqua" w:hAnsi="Book Antiqua"/>
          <w:color w:val="000000" w:themeColor="text1"/>
          <w:sz w:val="24"/>
        </w:rPr>
      </w:pPr>
      <w:r w:rsidRPr="00E224E9">
        <w:rPr>
          <w:rFonts w:ascii="Book Antiqua" w:hAnsi="標楷體"/>
          <w:color w:val="000000" w:themeColor="text1"/>
          <w:sz w:val="24"/>
        </w:rPr>
        <w:t>本項區分為「金額機構存款」、「存出保證金及再保責任保證金」、「存入保證金及再保責任保證金」及「其他」。</w:t>
      </w:r>
    </w:p>
    <w:p w14:paraId="5A5E2F85"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11</w:t>
      </w:r>
      <w:r w:rsidRPr="00E224E9">
        <w:rPr>
          <w:rFonts w:ascii="Book Antiqua" w:hAnsi="標楷體"/>
          <w:color w:val="000000" w:themeColor="text1"/>
          <w:sz w:val="24"/>
        </w:rPr>
        <w:t>列－有價證券</w:t>
      </w:r>
    </w:p>
    <w:p w14:paraId="6A51D6A8"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6</w:t>
      </w:r>
      <w:r w:rsidRPr="00E224E9">
        <w:rPr>
          <w:rFonts w:ascii="Book Antiqua" w:hAnsi="標楷體"/>
          <w:color w:val="000000" w:themeColor="text1"/>
          <w:sz w:val="24"/>
        </w:rPr>
        <w:t>列至第</w:t>
      </w:r>
      <w:r w:rsidRPr="00E224E9">
        <w:rPr>
          <w:rFonts w:ascii="Book Antiqua" w:hAnsi="Book Antiqua"/>
          <w:color w:val="000000" w:themeColor="text1"/>
          <w:sz w:val="24"/>
        </w:rPr>
        <w:t>10</w:t>
      </w:r>
      <w:r w:rsidRPr="00E224E9">
        <w:rPr>
          <w:rFonts w:ascii="Book Antiqua" w:hAnsi="標楷體"/>
          <w:color w:val="000000" w:themeColor="text1"/>
          <w:sz w:val="24"/>
        </w:rPr>
        <w:t>列之加總</w:t>
      </w:r>
    </w:p>
    <w:p w14:paraId="60A4E6F6" w14:textId="77777777" w:rsidR="00065C53" w:rsidRPr="00E224E9" w:rsidRDefault="00065C53">
      <w:pPr>
        <w:spacing w:line="440" w:lineRule="exact"/>
        <w:ind w:left="900" w:hanging="1"/>
        <w:rPr>
          <w:rFonts w:ascii="Book Antiqua" w:hAnsi="Book Antiqua"/>
          <w:color w:val="000000" w:themeColor="text1"/>
          <w:sz w:val="24"/>
        </w:rPr>
      </w:pPr>
      <w:r w:rsidRPr="00E224E9">
        <w:rPr>
          <w:rFonts w:ascii="Book Antiqua" w:hAnsi="標楷體"/>
          <w:color w:val="000000" w:themeColor="text1"/>
          <w:sz w:val="24"/>
        </w:rPr>
        <w:t>本項依保險法第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條之一區分為「公債國庫券」、「金融債券等」、「股票」、「公司債」及「受益憑證」。</w:t>
      </w:r>
    </w:p>
    <w:p w14:paraId="313D55D7"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15</w:t>
      </w:r>
      <w:r w:rsidRPr="00E224E9">
        <w:rPr>
          <w:rFonts w:ascii="Book Antiqua" w:hAnsi="標楷體"/>
          <w:color w:val="000000" w:themeColor="text1"/>
          <w:sz w:val="24"/>
        </w:rPr>
        <w:t>列－不動產</w:t>
      </w:r>
    </w:p>
    <w:p w14:paraId="1912F738"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12</w:t>
      </w:r>
      <w:r w:rsidRPr="00E224E9">
        <w:rPr>
          <w:rFonts w:ascii="Book Antiqua" w:hAnsi="標楷體"/>
          <w:color w:val="000000" w:themeColor="text1"/>
          <w:sz w:val="24"/>
        </w:rPr>
        <w:t>列至第</w:t>
      </w:r>
      <w:r w:rsidRPr="00E224E9">
        <w:rPr>
          <w:rFonts w:ascii="Book Antiqua" w:hAnsi="Book Antiqua"/>
          <w:color w:val="000000" w:themeColor="text1"/>
          <w:sz w:val="24"/>
        </w:rPr>
        <w:t>14</w:t>
      </w:r>
      <w:r w:rsidRPr="00E224E9">
        <w:rPr>
          <w:rFonts w:ascii="Book Antiqua" w:hAnsi="標楷體"/>
          <w:color w:val="000000" w:themeColor="text1"/>
          <w:sz w:val="24"/>
        </w:rPr>
        <w:t>列之加總。</w:t>
      </w:r>
    </w:p>
    <w:p w14:paraId="07A2D838"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本項區分為「非自用土地」、「非自用房屋及建築」及「其他」。</w:t>
      </w:r>
    </w:p>
    <w:p w14:paraId="0D4D8AA7"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18</w:t>
      </w:r>
      <w:r w:rsidRPr="00E224E9">
        <w:rPr>
          <w:rFonts w:ascii="Book Antiqua" w:hAnsi="標楷體"/>
          <w:color w:val="000000" w:themeColor="text1"/>
          <w:sz w:val="24"/>
        </w:rPr>
        <w:t>列－放款</w:t>
      </w:r>
    </w:p>
    <w:p w14:paraId="72CCE5E2"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16</w:t>
      </w:r>
      <w:r w:rsidRPr="00E224E9">
        <w:rPr>
          <w:rFonts w:ascii="Book Antiqua" w:hAnsi="標楷體"/>
          <w:color w:val="000000" w:themeColor="text1"/>
          <w:sz w:val="24"/>
        </w:rPr>
        <w:t>列至第</w:t>
      </w:r>
      <w:r w:rsidRPr="00E224E9">
        <w:rPr>
          <w:rFonts w:ascii="Book Antiqua" w:hAnsi="Book Antiqua"/>
          <w:color w:val="000000" w:themeColor="text1"/>
          <w:sz w:val="24"/>
        </w:rPr>
        <w:t>17</w:t>
      </w:r>
      <w:r w:rsidRPr="00E224E9">
        <w:rPr>
          <w:rFonts w:ascii="Book Antiqua" w:hAnsi="標楷體"/>
          <w:color w:val="000000" w:themeColor="text1"/>
          <w:sz w:val="24"/>
        </w:rPr>
        <w:t>列之加總。</w:t>
      </w:r>
    </w:p>
    <w:p w14:paraId="399BF84D"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本項區分為「抵（質）押放款」及「壽險貸款」。</w:t>
      </w:r>
    </w:p>
    <w:p w14:paraId="2F917CB6" w14:textId="77777777" w:rsidR="00065C53" w:rsidRPr="00E224E9" w:rsidRDefault="00065C53">
      <w:pPr>
        <w:spacing w:line="440" w:lineRule="exact"/>
        <w:ind w:firstLineChars="207" w:firstLine="497"/>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20</w:t>
      </w:r>
      <w:r w:rsidRPr="00E224E9">
        <w:rPr>
          <w:rFonts w:ascii="Book Antiqua" w:hAnsi="標楷體"/>
          <w:color w:val="000000" w:themeColor="text1"/>
          <w:sz w:val="24"/>
        </w:rPr>
        <w:t>列－國內投資合計</w:t>
      </w:r>
    </w:p>
    <w:p w14:paraId="7B6A2AAE" w14:textId="77777777" w:rsidR="00065C53" w:rsidRPr="00E224E9" w:rsidRDefault="00065C53">
      <w:pPr>
        <w:spacing w:line="440" w:lineRule="exact"/>
        <w:ind w:leftChars="345" w:left="897" w:firstLine="1"/>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5</w:t>
      </w:r>
      <w:r w:rsidRPr="00E224E9">
        <w:rPr>
          <w:rFonts w:ascii="Book Antiqua" w:hAnsi="標楷體"/>
          <w:color w:val="000000" w:themeColor="text1"/>
          <w:sz w:val="24"/>
        </w:rPr>
        <w:t>列存款、第</w:t>
      </w:r>
      <w:r w:rsidRPr="00E224E9">
        <w:rPr>
          <w:rFonts w:ascii="Book Antiqua" w:hAnsi="Book Antiqua"/>
          <w:color w:val="000000" w:themeColor="text1"/>
          <w:sz w:val="24"/>
        </w:rPr>
        <w:t>11</w:t>
      </w:r>
      <w:r w:rsidRPr="00E224E9">
        <w:rPr>
          <w:rFonts w:ascii="Book Antiqua" w:hAnsi="標楷體"/>
          <w:color w:val="000000" w:themeColor="text1"/>
          <w:sz w:val="24"/>
        </w:rPr>
        <w:t>列有價證券、第</w:t>
      </w:r>
      <w:r w:rsidRPr="00E224E9">
        <w:rPr>
          <w:rFonts w:ascii="Book Antiqua" w:hAnsi="Book Antiqua"/>
          <w:color w:val="000000" w:themeColor="text1"/>
          <w:sz w:val="24"/>
        </w:rPr>
        <w:t>15</w:t>
      </w:r>
      <w:r w:rsidRPr="00E224E9">
        <w:rPr>
          <w:rFonts w:ascii="Book Antiqua" w:hAnsi="標楷體"/>
          <w:color w:val="000000" w:themeColor="text1"/>
          <w:sz w:val="24"/>
        </w:rPr>
        <w:t>列不動產、第</w:t>
      </w:r>
      <w:r w:rsidRPr="00E224E9">
        <w:rPr>
          <w:rFonts w:ascii="Book Antiqua" w:hAnsi="Book Antiqua"/>
          <w:color w:val="000000" w:themeColor="text1"/>
          <w:sz w:val="24"/>
        </w:rPr>
        <w:t>18</w:t>
      </w:r>
      <w:r w:rsidRPr="00E224E9">
        <w:rPr>
          <w:rFonts w:ascii="Book Antiqua" w:hAnsi="標楷體"/>
          <w:color w:val="000000" w:themeColor="text1"/>
          <w:sz w:val="24"/>
        </w:rPr>
        <w:t>列放款及第</w:t>
      </w:r>
      <w:r w:rsidRPr="00E224E9">
        <w:rPr>
          <w:rFonts w:ascii="Book Antiqua" w:hAnsi="Book Antiqua"/>
          <w:color w:val="000000" w:themeColor="text1"/>
          <w:sz w:val="24"/>
        </w:rPr>
        <w:t>19</w:t>
      </w:r>
      <w:r w:rsidRPr="00E224E9">
        <w:rPr>
          <w:rFonts w:ascii="Book Antiqua" w:hAnsi="標楷體"/>
          <w:color w:val="000000" w:themeColor="text1"/>
          <w:sz w:val="24"/>
        </w:rPr>
        <w:t>列衍生性商品交易之加總。</w:t>
      </w:r>
    </w:p>
    <w:p w14:paraId="32F449E0" w14:textId="77777777" w:rsidR="00065C53" w:rsidRPr="00E224E9" w:rsidRDefault="00065C53">
      <w:pPr>
        <w:numPr>
          <w:ilvl w:val="0"/>
          <w:numId w:val="1"/>
        </w:numPr>
        <w:tabs>
          <w:tab w:val="clear" w:pos="720"/>
          <w:tab w:val="num" w:pos="540"/>
        </w:tabs>
        <w:spacing w:line="440" w:lineRule="exact"/>
        <w:rPr>
          <w:rFonts w:ascii="Book Antiqua" w:hAnsi="Book Antiqua"/>
          <w:color w:val="000000" w:themeColor="text1"/>
          <w:sz w:val="24"/>
        </w:rPr>
      </w:pPr>
      <w:r w:rsidRPr="00E224E9">
        <w:rPr>
          <w:rFonts w:ascii="Book Antiqua" w:hAnsi="標楷體"/>
          <w:color w:val="000000" w:themeColor="text1"/>
          <w:sz w:val="24"/>
        </w:rPr>
        <w:t>國外投資</w:t>
      </w:r>
    </w:p>
    <w:p w14:paraId="60C2E92B"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25</w:t>
      </w:r>
      <w:r w:rsidRPr="00E224E9">
        <w:rPr>
          <w:rFonts w:ascii="Book Antiqua" w:hAnsi="標楷體"/>
          <w:color w:val="000000" w:themeColor="text1"/>
          <w:sz w:val="24"/>
        </w:rPr>
        <w:t>列－存款</w:t>
      </w:r>
    </w:p>
    <w:p w14:paraId="30780BCF" w14:textId="77777777" w:rsidR="00065C53" w:rsidRPr="00E224E9" w:rsidRDefault="00065C53">
      <w:pPr>
        <w:spacing w:line="440" w:lineRule="exact"/>
        <w:ind w:firstLineChars="346" w:firstLine="830"/>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21</w:t>
      </w:r>
      <w:r w:rsidRPr="00E224E9">
        <w:rPr>
          <w:rFonts w:ascii="Book Antiqua" w:hAnsi="標楷體"/>
          <w:color w:val="000000" w:themeColor="text1"/>
          <w:sz w:val="24"/>
        </w:rPr>
        <w:t>列至第</w:t>
      </w:r>
      <w:r w:rsidRPr="00E224E9">
        <w:rPr>
          <w:rFonts w:ascii="Book Antiqua" w:hAnsi="Book Antiqua"/>
          <w:color w:val="000000" w:themeColor="text1"/>
          <w:sz w:val="24"/>
        </w:rPr>
        <w:t>24</w:t>
      </w:r>
      <w:r w:rsidRPr="00E224E9">
        <w:rPr>
          <w:rFonts w:ascii="Book Antiqua" w:hAnsi="標楷體"/>
          <w:color w:val="000000" w:themeColor="text1"/>
          <w:sz w:val="24"/>
        </w:rPr>
        <w:t>列之加總。</w:t>
      </w:r>
    </w:p>
    <w:p w14:paraId="0869E157" w14:textId="77777777" w:rsidR="00065C53" w:rsidRPr="00E224E9" w:rsidRDefault="00065C53">
      <w:pPr>
        <w:spacing w:line="440" w:lineRule="exact"/>
        <w:ind w:leftChars="346" w:left="900"/>
        <w:rPr>
          <w:rFonts w:ascii="Book Antiqua" w:hAnsi="Book Antiqua"/>
          <w:color w:val="000000" w:themeColor="text1"/>
          <w:sz w:val="24"/>
        </w:rPr>
      </w:pPr>
      <w:r w:rsidRPr="00E224E9">
        <w:rPr>
          <w:rFonts w:ascii="Book Antiqua" w:hAnsi="標楷體"/>
          <w:color w:val="000000" w:themeColor="text1"/>
          <w:sz w:val="24"/>
        </w:rPr>
        <w:t>本項區分為「金額機構存款」、「存出保證金及再保責任保證金」、「存入保證金及再保責任保證金」及「其他」。</w:t>
      </w:r>
    </w:p>
    <w:p w14:paraId="60F6719D"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31</w:t>
      </w:r>
      <w:r w:rsidRPr="00E224E9">
        <w:rPr>
          <w:rFonts w:ascii="Book Antiqua" w:hAnsi="標楷體"/>
          <w:color w:val="000000" w:themeColor="text1"/>
          <w:sz w:val="24"/>
        </w:rPr>
        <w:t>列－有價證券</w:t>
      </w:r>
    </w:p>
    <w:p w14:paraId="697177EA"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26</w:t>
      </w:r>
      <w:r w:rsidRPr="00E224E9">
        <w:rPr>
          <w:rFonts w:ascii="Book Antiqua" w:hAnsi="標楷體"/>
          <w:color w:val="000000" w:themeColor="text1"/>
          <w:sz w:val="24"/>
        </w:rPr>
        <w:t>列至第</w:t>
      </w:r>
      <w:r w:rsidRPr="00E224E9">
        <w:rPr>
          <w:rFonts w:ascii="Book Antiqua" w:hAnsi="Book Antiqua"/>
          <w:color w:val="000000" w:themeColor="text1"/>
          <w:sz w:val="24"/>
        </w:rPr>
        <w:t>30</w:t>
      </w:r>
      <w:r w:rsidRPr="00E224E9">
        <w:rPr>
          <w:rFonts w:ascii="Book Antiqua" w:hAnsi="標楷體"/>
          <w:color w:val="000000" w:themeColor="text1"/>
          <w:sz w:val="24"/>
        </w:rPr>
        <w:t>列之加總</w:t>
      </w:r>
    </w:p>
    <w:p w14:paraId="41122AB8" w14:textId="77777777" w:rsidR="00065C53" w:rsidRPr="00E224E9" w:rsidRDefault="00065C53">
      <w:pPr>
        <w:spacing w:line="440" w:lineRule="exact"/>
        <w:ind w:left="900" w:hanging="1"/>
        <w:rPr>
          <w:rFonts w:ascii="Book Antiqua" w:hAnsi="Book Antiqua"/>
          <w:color w:val="000000" w:themeColor="text1"/>
          <w:sz w:val="24"/>
        </w:rPr>
      </w:pPr>
      <w:r w:rsidRPr="00E224E9">
        <w:rPr>
          <w:rFonts w:ascii="Book Antiqua" w:hAnsi="標楷體"/>
          <w:color w:val="000000" w:themeColor="text1"/>
          <w:sz w:val="24"/>
        </w:rPr>
        <w:lastRenderedPageBreak/>
        <w:t>本項區分為「公債國庫券」、「金融債券等」、「股票」、「公司債」及「受益憑證」。</w:t>
      </w:r>
    </w:p>
    <w:p w14:paraId="70FD9F18"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35</w:t>
      </w:r>
      <w:r w:rsidRPr="00E224E9">
        <w:rPr>
          <w:rFonts w:ascii="Book Antiqua" w:hAnsi="標楷體"/>
          <w:color w:val="000000" w:themeColor="text1"/>
          <w:sz w:val="24"/>
        </w:rPr>
        <w:t>列－不動產</w:t>
      </w:r>
    </w:p>
    <w:p w14:paraId="4CCD5C25"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32</w:t>
      </w:r>
      <w:r w:rsidRPr="00E224E9">
        <w:rPr>
          <w:rFonts w:ascii="Book Antiqua" w:hAnsi="標楷體"/>
          <w:color w:val="000000" w:themeColor="text1"/>
          <w:sz w:val="24"/>
        </w:rPr>
        <w:t>列至第</w:t>
      </w:r>
      <w:r w:rsidRPr="00E224E9">
        <w:rPr>
          <w:rFonts w:ascii="Book Antiqua" w:hAnsi="Book Antiqua"/>
          <w:color w:val="000000" w:themeColor="text1"/>
          <w:sz w:val="24"/>
        </w:rPr>
        <w:t>34</w:t>
      </w:r>
      <w:r w:rsidRPr="00E224E9">
        <w:rPr>
          <w:rFonts w:ascii="Book Antiqua" w:hAnsi="標楷體"/>
          <w:color w:val="000000" w:themeColor="text1"/>
          <w:sz w:val="24"/>
        </w:rPr>
        <w:t>列之加總。</w:t>
      </w:r>
    </w:p>
    <w:p w14:paraId="7D54DE2A"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本項區分為「非自用土地」、「非自用房屋及建築」及「其他」。</w:t>
      </w:r>
    </w:p>
    <w:p w14:paraId="3BDBF296"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38</w:t>
      </w:r>
      <w:r w:rsidRPr="00E224E9">
        <w:rPr>
          <w:rFonts w:ascii="Book Antiqua" w:hAnsi="標楷體"/>
          <w:color w:val="000000" w:themeColor="text1"/>
          <w:sz w:val="24"/>
        </w:rPr>
        <w:t>列－放款</w:t>
      </w:r>
    </w:p>
    <w:p w14:paraId="7FF62BBF"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36</w:t>
      </w:r>
      <w:r w:rsidRPr="00E224E9">
        <w:rPr>
          <w:rFonts w:ascii="Book Antiqua" w:hAnsi="標楷體"/>
          <w:color w:val="000000" w:themeColor="text1"/>
          <w:sz w:val="24"/>
        </w:rPr>
        <w:t>列至第</w:t>
      </w:r>
      <w:r w:rsidRPr="00E224E9">
        <w:rPr>
          <w:rFonts w:ascii="Book Antiqua" w:hAnsi="Book Antiqua"/>
          <w:color w:val="000000" w:themeColor="text1"/>
          <w:sz w:val="24"/>
        </w:rPr>
        <w:t>37</w:t>
      </w:r>
      <w:r w:rsidRPr="00E224E9">
        <w:rPr>
          <w:rFonts w:ascii="Book Antiqua" w:hAnsi="標楷體"/>
          <w:color w:val="000000" w:themeColor="text1"/>
          <w:sz w:val="24"/>
        </w:rPr>
        <w:t>列之加總。</w:t>
      </w:r>
    </w:p>
    <w:p w14:paraId="21F934A0"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本項區分為「抵（質）押放款」及「壽險保單質押放款」。</w:t>
      </w:r>
    </w:p>
    <w:p w14:paraId="7064A9E0" w14:textId="77777777" w:rsidR="00065C53" w:rsidRPr="00E224E9" w:rsidRDefault="00065C53">
      <w:pPr>
        <w:spacing w:line="440" w:lineRule="exact"/>
        <w:ind w:firstLineChars="207" w:firstLine="497"/>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40</w:t>
      </w:r>
      <w:r w:rsidRPr="00E224E9">
        <w:rPr>
          <w:rFonts w:ascii="Book Antiqua" w:hAnsi="標楷體"/>
          <w:color w:val="000000" w:themeColor="text1"/>
          <w:sz w:val="24"/>
        </w:rPr>
        <w:t>列－國外投資合計</w:t>
      </w:r>
    </w:p>
    <w:p w14:paraId="60D5E8B7" w14:textId="77777777" w:rsidR="00065C53" w:rsidRPr="00E224E9" w:rsidRDefault="00065C53">
      <w:pPr>
        <w:spacing w:line="440" w:lineRule="exact"/>
        <w:ind w:leftChars="346" w:left="900"/>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25</w:t>
      </w:r>
      <w:r w:rsidRPr="00E224E9">
        <w:rPr>
          <w:rFonts w:ascii="Book Antiqua" w:hAnsi="標楷體"/>
          <w:color w:val="000000" w:themeColor="text1"/>
          <w:sz w:val="24"/>
        </w:rPr>
        <w:t>列存款、第</w:t>
      </w:r>
      <w:r w:rsidRPr="00E224E9">
        <w:rPr>
          <w:rFonts w:ascii="Book Antiqua" w:hAnsi="Book Antiqua"/>
          <w:color w:val="000000" w:themeColor="text1"/>
          <w:sz w:val="24"/>
        </w:rPr>
        <w:t>31</w:t>
      </w:r>
      <w:r w:rsidRPr="00E224E9">
        <w:rPr>
          <w:rFonts w:ascii="Book Antiqua" w:hAnsi="標楷體"/>
          <w:color w:val="000000" w:themeColor="text1"/>
          <w:sz w:val="24"/>
        </w:rPr>
        <w:t>列有價證券、第</w:t>
      </w:r>
      <w:r w:rsidRPr="00E224E9">
        <w:rPr>
          <w:rFonts w:ascii="Book Antiqua" w:hAnsi="Book Antiqua"/>
          <w:color w:val="000000" w:themeColor="text1"/>
          <w:sz w:val="24"/>
        </w:rPr>
        <w:t>35</w:t>
      </w:r>
      <w:r w:rsidRPr="00E224E9">
        <w:rPr>
          <w:rFonts w:ascii="Book Antiqua" w:hAnsi="標楷體"/>
          <w:color w:val="000000" w:themeColor="text1"/>
          <w:sz w:val="24"/>
        </w:rPr>
        <w:t>列不動產、第</w:t>
      </w:r>
      <w:r w:rsidRPr="00E224E9">
        <w:rPr>
          <w:rFonts w:ascii="Book Antiqua" w:hAnsi="Book Antiqua"/>
          <w:color w:val="000000" w:themeColor="text1"/>
          <w:sz w:val="24"/>
        </w:rPr>
        <w:t>38</w:t>
      </w:r>
      <w:r w:rsidRPr="00E224E9">
        <w:rPr>
          <w:rFonts w:ascii="Book Antiqua" w:hAnsi="標楷體"/>
          <w:color w:val="000000" w:themeColor="text1"/>
          <w:sz w:val="24"/>
        </w:rPr>
        <w:t>列放款及第</w:t>
      </w:r>
      <w:r w:rsidRPr="00E224E9">
        <w:rPr>
          <w:rFonts w:ascii="Book Antiqua" w:hAnsi="Book Antiqua"/>
          <w:color w:val="000000" w:themeColor="text1"/>
          <w:sz w:val="24"/>
        </w:rPr>
        <w:t>39</w:t>
      </w:r>
      <w:r w:rsidRPr="00E224E9">
        <w:rPr>
          <w:rFonts w:ascii="Book Antiqua" w:hAnsi="標楷體"/>
          <w:color w:val="000000" w:themeColor="text1"/>
          <w:sz w:val="24"/>
        </w:rPr>
        <w:t>列衍生性商品交易之加總。</w:t>
      </w:r>
    </w:p>
    <w:p w14:paraId="094D9584" w14:textId="77777777" w:rsidR="00065C53" w:rsidRPr="00E224E9" w:rsidRDefault="00065C53" w:rsidP="00366DFB">
      <w:pPr>
        <w:spacing w:line="440" w:lineRule="exact"/>
        <w:ind w:firstLineChars="207" w:firstLine="497"/>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標楷體"/>
          <w:color w:val="000000" w:themeColor="text1"/>
          <w:sz w:val="24"/>
        </w:rPr>
        <w:t>41</w:t>
      </w:r>
      <w:r w:rsidRPr="00E224E9">
        <w:rPr>
          <w:rFonts w:ascii="Book Antiqua" w:hAnsi="標楷體"/>
          <w:color w:val="000000" w:themeColor="text1"/>
          <w:sz w:val="24"/>
        </w:rPr>
        <w:t>列－不含自用不動產資金運用總計</w:t>
      </w:r>
    </w:p>
    <w:p w14:paraId="006DA50D" w14:textId="77777777" w:rsidR="00065C53" w:rsidRPr="00E224E9" w:rsidRDefault="00065C53" w:rsidP="00366DFB">
      <w:pPr>
        <w:spacing w:line="440" w:lineRule="exact"/>
        <w:ind w:leftChars="346" w:left="900"/>
        <w:rPr>
          <w:rFonts w:ascii="Book Antiqua" w:hAnsi="標楷體"/>
          <w:color w:val="000000" w:themeColor="text1"/>
          <w:sz w:val="24"/>
        </w:rPr>
      </w:pPr>
      <w:r w:rsidRPr="00E224E9">
        <w:rPr>
          <w:rFonts w:ascii="Book Antiqua" w:hAnsi="標楷體"/>
          <w:color w:val="000000" w:themeColor="text1"/>
          <w:sz w:val="24"/>
        </w:rPr>
        <w:t>本列為第</w:t>
      </w:r>
      <w:r w:rsidRPr="00E224E9">
        <w:rPr>
          <w:rFonts w:ascii="Book Antiqua" w:hAnsi="標楷體"/>
          <w:color w:val="000000" w:themeColor="text1"/>
          <w:sz w:val="24"/>
        </w:rPr>
        <w:t>20</w:t>
      </w:r>
      <w:r w:rsidRPr="00E224E9">
        <w:rPr>
          <w:rFonts w:ascii="Book Antiqua" w:hAnsi="標楷體"/>
          <w:color w:val="000000" w:themeColor="text1"/>
          <w:sz w:val="24"/>
        </w:rPr>
        <w:t>列國內投資總計與第</w:t>
      </w:r>
      <w:r w:rsidRPr="00E224E9">
        <w:rPr>
          <w:rFonts w:ascii="Book Antiqua" w:hAnsi="標楷體"/>
          <w:color w:val="000000" w:themeColor="text1"/>
          <w:sz w:val="24"/>
        </w:rPr>
        <w:t>40</w:t>
      </w:r>
      <w:r w:rsidRPr="00E224E9">
        <w:rPr>
          <w:rFonts w:ascii="Book Antiqua" w:hAnsi="標楷體"/>
          <w:color w:val="000000" w:themeColor="text1"/>
          <w:sz w:val="24"/>
        </w:rPr>
        <w:t>列國外投資總計之加總</w:t>
      </w:r>
    </w:p>
    <w:p w14:paraId="09618AC4" w14:textId="77777777" w:rsidR="00065C53" w:rsidRPr="00E224E9" w:rsidRDefault="00065C53">
      <w:pPr>
        <w:numPr>
          <w:ilvl w:val="0"/>
          <w:numId w:val="1"/>
        </w:numPr>
        <w:tabs>
          <w:tab w:val="clear" w:pos="720"/>
          <w:tab w:val="num" w:pos="540"/>
        </w:tabs>
        <w:spacing w:line="440" w:lineRule="exact"/>
        <w:ind w:left="540" w:hanging="540"/>
        <w:rPr>
          <w:rFonts w:ascii="Book Antiqua" w:hAnsi="Book Antiqua"/>
          <w:color w:val="000000" w:themeColor="text1"/>
          <w:sz w:val="24"/>
        </w:rPr>
      </w:pPr>
      <w:r w:rsidRPr="00E224E9">
        <w:rPr>
          <w:rFonts w:ascii="Book Antiqua" w:hAnsi="標楷體"/>
          <w:color w:val="000000" w:themeColor="text1"/>
          <w:sz w:val="24"/>
        </w:rPr>
        <w:t>其他</w:t>
      </w:r>
    </w:p>
    <w:p w14:paraId="7E1526AA" w14:textId="77777777" w:rsidR="00065C53" w:rsidRPr="00E224E9" w:rsidRDefault="00065C53">
      <w:pPr>
        <w:spacing w:line="440" w:lineRule="exact"/>
        <w:ind w:firstLineChars="207" w:firstLine="497"/>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45</w:t>
      </w:r>
      <w:r w:rsidRPr="00E224E9">
        <w:rPr>
          <w:rFonts w:ascii="Book Antiqua" w:hAnsi="標楷體"/>
          <w:color w:val="000000" w:themeColor="text1"/>
          <w:sz w:val="24"/>
        </w:rPr>
        <w:t>列－不動產（自用）</w:t>
      </w:r>
    </w:p>
    <w:p w14:paraId="0C794C92"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42</w:t>
      </w:r>
      <w:r w:rsidRPr="00E224E9">
        <w:rPr>
          <w:rFonts w:ascii="Book Antiqua" w:hAnsi="標楷體"/>
          <w:color w:val="000000" w:themeColor="text1"/>
          <w:sz w:val="24"/>
        </w:rPr>
        <w:t>列至第</w:t>
      </w:r>
      <w:r w:rsidRPr="00E224E9">
        <w:rPr>
          <w:rFonts w:ascii="Book Antiqua" w:hAnsi="Book Antiqua"/>
          <w:color w:val="000000" w:themeColor="text1"/>
          <w:sz w:val="24"/>
        </w:rPr>
        <w:t>44</w:t>
      </w:r>
      <w:r w:rsidRPr="00E224E9">
        <w:rPr>
          <w:rFonts w:ascii="Book Antiqua" w:hAnsi="標楷體"/>
          <w:color w:val="000000" w:themeColor="text1"/>
          <w:sz w:val="24"/>
        </w:rPr>
        <w:t>列之加總。</w:t>
      </w:r>
    </w:p>
    <w:p w14:paraId="247B4233" w14:textId="77777777" w:rsidR="00065C53" w:rsidRPr="00E224E9" w:rsidRDefault="00065C53">
      <w:pPr>
        <w:spacing w:line="440" w:lineRule="exact"/>
        <w:ind w:firstLineChars="346" w:firstLine="830"/>
        <w:rPr>
          <w:rFonts w:ascii="Book Antiqua" w:hAnsi="Book Antiqua"/>
          <w:color w:val="000000" w:themeColor="text1"/>
          <w:sz w:val="24"/>
        </w:rPr>
      </w:pPr>
      <w:r w:rsidRPr="00E224E9">
        <w:rPr>
          <w:rFonts w:ascii="Book Antiqua" w:hAnsi="標楷體"/>
          <w:color w:val="000000" w:themeColor="text1"/>
          <w:sz w:val="24"/>
        </w:rPr>
        <w:t>本項區分為「自用土地」、「自用房屋及建築」及「其他」。</w:t>
      </w:r>
    </w:p>
    <w:p w14:paraId="27A76B1B" w14:textId="77777777" w:rsidR="00065C53" w:rsidRPr="00E224E9" w:rsidRDefault="00065C53" w:rsidP="00366DFB">
      <w:pPr>
        <w:spacing w:line="440" w:lineRule="exact"/>
        <w:ind w:firstLineChars="207" w:firstLine="497"/>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標楷體"/>
          <w:color w:val="000000" w:themeColor="text1"/>
          <w:sz w:val="24"/>
        </w:rPr>
        <w:t>46</w:t>
      </w:r>
      <w:r w:rsidRPr="00E224E9">
        <w:rPr>
          <w:rFonts w:ascii="Book Antiqua" w:hAnsi="標楷體"/>
          <w:color w:val="000000" w:themeColor="text1"/>
          <w:sz w:val="24"/>
        </w:rPr>
        <w:t>列－含自用不動產資金運用總計</w:t>
      </w:r>
    </w:p>
    <w:p w14:paraId="5CC4B6B6" w14:textId="77777777" w:rsidR="00065C53" w:rsidRPr="00E224E9" w:rsidRDefault="00065C53" w:rsidP="00366DFB">
      <w:pPr>
        <w:spacing w:line="440" w:lineRule="exact"/>
        <w:ind w:left="480" w:firstLineChars="161" w:firstLine="386"/>
        <w:rPr>
          <w:rFonts w:ascii="Book Antiqua" w:hAnsi="標楷體"/>
          <w:color w:val="000000" w:themeColor="text1"/>
          <w:sz w:val="24"/>
        </w:rPr>
      </w:pPr>
      <w:r w:rsidRPr="00E224E9">
        <w:rPr>
          <w:rFonts w:ascii="Book Antiqua" w:hAnsi="標楷體"/>
          <w:color w:val="000000" w:themeColor="text1"/>
          <w:sz w:val="24"/>
        </w:rPr>
        <w:t>本列為第</w:t>
      </w:r>
      <w:r w:rsidRPr="00E224E9">
        <w:rPr>
          <w:rFonts w:ascii="Book Antiqua" w:hAnsi="標楷體"/>
          <w:color w:val="000000" w:themeColor="text1"/>
          <w:sz w:val="24"/>
        </w:rPr>
        <w:t>41</w:t>
      </w:r>
      <w:r w:rsidRPr="00E224E9">
        <w:rPr>
          <w:rFonts w:ascii="Book Antiqua" w:hAnsi="標楷體"/>
          <w:color w:val="000000" w:themeColor="text1"/>
          <w:sz w:val="24"/>
        </w:rPr>
        <w:t>列與第</w:t>
      </w:r>
      <w:r w:rsidRPr="00E224E9">
        <w:rPr>
          <w:rFonts w:ascii="Book Antiqua" w:hAnsi="標楷體"/>
          <w:color w:val="000000" w:themeColor="text1"/>
          <w:sz w:val="24"/>
        </w:rPr>
        <w:t>45</w:t>
      </w:r>
      <w:r w:rsidRPr="00E224E9">
        <w:rPr>
          <w:rFonts w:ascii="Book Antiqua" w:hAnsi="標楷體"/>
          <w:color w:val="000000" w:themeColor="text1"/>
          <w:sz w:val="24"/>
        </w:rPr>
        <w:t>列之加總。</w:t>
      </w:r>
    </w:p>
    <w:p w14:paraId="01A23E09" w14:textId="77777777" w:rsidR="00065C53" w:rsidRPr="00E224E9" w:rsidRDefault="00065C53">
      <w:pPr>
        <w:spacing w:line="440" w:lineRule="exact"/>
        <w:ind w:firstLineChars="346" w:firstLine="830"/>
        <w:rPr>
          <w:rFonts w:ascii="Book Antiqua" w:hAnsi="標楷體"/>
          <w:color w:val="000000" w:themeColor="text1"/>
          <w:sz w:val="24"/>
        </w:rPr>
      </w:pPr>
    </w:p>
    <w:p w14:paraId="4832918C" w14:textId="77777777" w:rsidR="00065C53" w:rsidRPr="00E224E9" w:rsidRDefault="00065C53">
      <w:pPr>
        <w:spacing w:line="440" w:lineRule="exact"/>
        <w:ind w:firstLineChars="346" w:firstLine="830"/>
        <w:rPr>
          <w:rFonts w:ascii="Book Antiqua" w:hAnsi="標楷體"/>
          <w:color w:val="000000" w:themeColor="text1"/>
          <w:sz w:val="24"/>
        </w:rPr>
      </w:pPr>
    </w:p>
    <w:p w14:paraId="57067D21" w14:textId="77777777" w:rsidR="00065C53" w:rsidRPr="00E224E9" w:rsidRDefault="00065C53">
      <w:pPr>
        <w:spacing w:line="440" w:lineRule="exact"/>
        <w:ind w:firstLineChars="346" w:firstLine="830"/>
        <w:rPr>
          <w:rFonts w:ascii="Book Antiqua" w:hAnsi="標楷體"/>
          <w:color w:val="000000" w:themeColor="text1"/>
          <w:sz w:val="24"/>
        </w:rPr>
      </w:pPr>
    </w:p>
    <w:p w14:paraId="2EFB350E" w14:textId="77777777" w:rsidR="00065C53" w:rsidRPr="00E224E9" w:rsidRDefault="00065C53">
      <w:pPr>
        <w:spacing w:line="440" w:lineRule="exact"/>
        <w:ind w:firstLineChars="346" w:firstLine="830"/>
        <w:rPr>
          <w:rFonts w:ascii="Book Antiqua" w:hAnsi="標楷體"/>
          <w:color w:val="000000" w:themeColor="text1"/>
          <w:sz w:val="24"/>
        </w:rPr>
      </w:pPr>
    </w:p>
    <w:p w14:paraId="762F1A4C" w14:textId="77777777" w:rsidR="00065C53" w:rsidRPr="00E224E9" w:rsidRDefault="00065C53">
      <w:pPr>
        <w:spacing w:line="440" w:lineRule="exact"/>
        <w:ind w:firstLineChars="346" w:firstLine="830"/>
        <w:rPr>
          <w:rFonts w:ascii="Book Antiqua" w:hAnsi="標楷體"/>
          <w:color w:val="000000" w:themeColor="text1"/>
          <w:sz w:val="24"/>
        </w:rPr>
      </w:pPr>
    </w:p>
    <w:p w14:paraId="0810C901" w14:textId="77777777" w:rsidR="00065C53" w:rsidRPr="00E224E9" w:rsidRDefault="00065C53">
      <w:pPr>
        <w:spacing w:line="440" w:lineRule="exact"/>
        <w:ind w:firstLineChars="346" w:firstLine="830"/>
        <w:rPr>
          <w:rFonts w:ascii="Book Antiqua" w:hAnsi="標楷體"/>
          <w:color w:val="000000" w:themeColor="text1"/>
          <w:sz w:val="24"/>
        </w:rPr>
      </w:pPr>
    </w:p>
    <w:p w14:paraId="06FBD45A" w14:textId="77777777" w:rsidR="00065C53" w:rsidRPr="00E224E9" w:rsidRDefault="00065C53">
      <w:pPr>
        <w:spacing w:line="440" w:lineRule="exact"/>
        <w:ind w:firstLineChars="346" w:firstLine="830"/>
        <w:rPr>
          <w:rFonts w:ascii="Book Antiqua" w:hAnsi="標楷體"/>
          <w:color w:val="000000" w:themeColor="text1"/>
          <w:sz w:val="24"/>
        </w:rPr>
      </w:pPr>
    </w:p>
    <w:p w14:paraId="060E41E3" w14:textId="77777777" w:rsidR="00065C53" w:rsidRPr="00E224E9" w:rsidRDefault="00065C53">
      <w:pPr>
        <w:spacing w:line="440" w:lineRule="exact"/>
        <w:ind w:firstLineChars="346" w:firstLine="830"/>
        <w:rPr>
          <w:rFonts w:ascii="Book Antiqua" w:hAnsi="標楷體"/>
          <w:color w:val="000000" w:themeColor="text1"/>
          <w:sz w:val="24"/>
        </w:rPr>
      </w:pPr>
    </w:p>
    <w:p w14:paraId="6C0255FD" w14:textId="77777777" w:rsidR="00065C53" w:rsidRPr="00E224E9" w:rsidRDefault="00065C53">
      <w:pPr>
        <w:spacing w:line="440" w:lineRule="exact"/>
        <w:ind w:firstLineChars="346" w:firstLine="830"/>
        <w:rPr>
          <w:rFonts w:ascii="Book Antiqua" w:hAnsi="標楷體"/>
          <w:color w:val="000000" w:themeColor="text1"/>
          <w:sz w:val="24"/>
        </w:rPr>
      </w:pPr>
    </w:p>
    <w:p w14:paraId="30A9B16A" w14:textId="77777777" w:rsidR="00065C53" w:rsidRPr="00E224E9" w:rsidRDefault="00065C53">
      <w:pPr>
        <w:spacing w:line="440" w:lineRule="exact"/>
        <w:ind w:firstLineChars="346" w:firstLine="830"/>
        <w:rPr>
          <w:rFonts w:ascii="Book Antiqua" w:hAnsi="Book Antiqua"/>
          <w:color w:val="000000" w:themeColor="text1"/>
          <w:sz w:val="24"/>
        </w:rPr>
      </w:pPr>
    </w:p>
    <w:p w14:paraId="7907F590" w14:textId="77777777" w:rsidR="009942EA" w:rsidRPr="00E224E9" w:rsidRDefault="00065C53" w:rsidP="009942EA">
      <w:pPr>
        <w:pStyle w:val="1"/>
        <w:spacing w:after="120" w:line="440" w:lineRule="exact"/>
        <w:rPr>
          <w:color w:val="000000" w:themeColor="text1"/>
        </w:rPr>
      </w:pPr>
      <w:r w:rsidRPr="00E224E9">
        <w:rPr>
          <w:b w:val="0"/>
          <w:bCs w:val="0"/>
          <w:color w:val="000000" w:themeColor="text1"/>
          <w:sz w:val="24"/>
          <w:szCs w:val="24"/>
        </w:rPr>
        <w:br w:type="page"/>
      </w:r>
      <w:bookmarkStart w:id="19" w:name="_Toc219109729"/>
      <w:bookmarkStart w:id="20" w:name="_Toc219109801"/>
      <w:bookmarkStart w:id="21" w:name="_Toc221524770"/>
      <w:bookmarkStart w:id="22" w:name="_Toc296928215"/>
      <w:bookmarkStart w:id="23" w:name="_Toc437450246"/>
      <w:bookmarkStart w:id="24" w:name="_Toc200468516"/>
      <w:bookmarkStart w:id="25" w:name="_Toc81303301"/>
      <w:bookmarkStart w:id="26" w:name="_Toc219262232"/>
      <w:bookmarkEnd w:id="4"/>
      <w:r w:rsidR="009942EA" w:rsidRPr="00E224E9">
        <w:rPr>
          <w:color w:val="000000" w:themeColor="text1"/>
        </w:rPr>
        <w:lastRenderedPageBreak/>
        <w:t>表09-1：金融債券及其他經主管機關核准購買之有價證券餘額明細表</w:t>
      </w:r>
      <w:bookmarkEnd w:id="19"/>
      <w:bookmarkEnd w:id="20"/>
      <w:bookmarkEnd w:id="21"/>
      <w:bookmarkEnd w:id="22"/>
      <w:bookmarkEnd w:id="23"/>
      <w:bookmarkEnd w:id="24"/>
    </w:p>
    <w:p w14:paraId="41648F25" w14:textId="77777777" w:rsidR="009942EA" w:rsidRPr="00E224E9" w:rsidRDefault="009942EA" w:rsidP="009942EA">
      <w:pPr>
        <w:spacing w:line="440" w:lineRule="exact"/>
        <w:ind w:firstLineChars="200" w:firstLine="520"/>
        <w:jc w:val="both"/>
        <w:rPr>
          <w:rFonts w:ascii="Book Antiqua" w:hAnsi="Book Antiqua"/>
          <w:color w:val="000000" w:themeColor="text1"/>
        </w:rPr>
      </w:pPr>
      <w:r w:rsidRPr="00E224E9">
        <w:rPr>
          <w:rFonts w:ascii="Book Antiqua" w:hAnsi="標楷體"/>
          <w:color w:val="000000" w:themeColor="text1"/>
        </w:rPr>
        <w:t>本報表的目的在於揭露保險業金融債券及其他經主管機關核准贖買之有價證券使用及配置情形。</w:t>
      </w:r>
    </w:p>
    <w:p w14:paraId="49D465C4" w14:textId="77777777" w:rsidR="009942EA" w:rsidRPr="00E224E9" w:rsidRDefault="009942EA" w:rsidP="009942EA">
      <w:pPr>
        <w:spacing w:line="440" w:lineRule="exact"/>
        <w:ind w:firstLineChars="207" w:firstLine="538"/>
        <w:jc w:val="both"/>
        <w:rPr>
          <w:rFonts w:ascii="Book Antiqua" w:hAnsi="Book Antiqua"/>
          <w:color w:val="000000" w:themeColor="text1"/>
        </w:rPr>
      </w:pPr>
      <w:r w:rsidRPr="00E224E9">
        <w:rPr>
          <w:rFonts w:ascii="Book Antiqua" w:hAnsi="標楷體"/>
          <w:color w:val="000000" w:themeColor="text1"/>
        </w:rPr>
        <w:t>各項資產之欄位說明如下：</w:t>
      </w:r>
    </w:p>
    <w:p w14:paraId="7450FC8C" w14:textId="69455171"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Pr="00E224E9">
        <w:rPr>
          <w:rFonts w:ascii="Book Antiqua" w:hAnsi="標楷體"/>
          <w:color w:val="000000" w:themeColor="text1"/>
        </w:rPr>
        <w:t>及第</w:t>
      </w:r>
      <w:r w:rsidR="005C634F" w:rsidRPr="00E224E9">
        <w:rPr>
          <w:rFonts w:ascii="Book Antiqua" w:hAnsi="標楷體" w:hint="eastAsia"/>
          <w:color w:val="000000" w:themeColor="text1"/>
        </w:rPr>
        <w:t>11</w:t>
      </w:r>
      <w:r w:rsidRPr="00E224E9">
        <w:rPr>
          <w:rFonts w:ascii="Book Antiqua" w:hAnsi="標楷體"/>
          <w:color w:val="000000" w:themeColor="text1"/>
        </w:rPr>
        <w:t>欄－證券代號及發行機構代號</w:t>
      </w:r>
      <w:r w:rsidRPr="00E224E9">
        <w:rPr>
          <w:rFonts w:ascii="Book Antiqua" w:hAnsi="Book Antiqua"/>
          <w:color w:val="000000" w:themeColor="text1"/>
        </w:rPr>
        <w:tab/>
      </w:r>
    </w:p>
    <w:p w14:paraId="61F579B9" w14:textId="77777777" w:rsidR="009942EA" w:rsidRPr="00E224E9" w:rsidRDefault="009942EA"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證券代號及發行機構代號請洽由財團法人保險事業發展中心統一配賦附條件交易時『發行機構』填報「交易對手資料」。</w:t>
      </w:r>
    </w:p>
    <w:p w14:paraId="214B9995" w14:textId="4263A9D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及第</w:t>
      </w:r>
      <w:r w:rsidR="005C634F" w:rsidRPr="00E224E9">
        <w:rPr>
          <w:rFonts w:ascii="Book Antiqua" w:hAnsi="標楷體" w:hint="eastAsia"/>
          <w:color w:val="000000" w:themeColor="text1"/>
        </w:rPr>
        <w:t>12</w:t>
      </w:r>
      <w:r w:rsidRPr="00E224E9">
        <w:rPr>
          <w:rFonts w:ascii="Book Antiqua" w:hAnsi="標楷體"/>
          <w:color w:val="000000" w:themeColor="text1"/>
        </w:rPr>
        <w:t>欄－證券名稱及發行機構名稱</w:t>
      </w:r>
      <w:r w:rsidRPr="00E224E9">
        <w:rPr>
          <w:rFonts w:ascii="Book Antiqua" w:hAnsi="Book Antiqua"/>
          <w:color w:val="000000" w:themeColor="text1"/>
        </w:rPr>
        <w:tab/>
      </w:r>
    </w:p>
    <w:p w14:paraId="6C4FA7C4" w14:textId="77777777" w:rsidR="009942EA" w:rsidRPr="00E224E9" w:rsidRDefault="009942EA"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為購買標的及發行機構之名稱。附條件交易時『發行機構』填報「交易對手資料」，並請於備註註明發行機構為交易對手之資料。</w:t>
      </w:r>
    </w:p>
    <w:p w14:paraId="46E404B6"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欄－證券種類</w:t>
      </w:r>
      <w:r w:rsidRPr="00E224E9">
        <w:rPr>
          <w:rFonts w:ascii="Book Antiqua" w:hAnsi="Book Antiqua"/>
          <w:color w:val="000000" w:themeColor="text1"/>
        </w:rPr>
        <w:tab/>
      </w:r>
    </w:p>
    <w:p w14:paraId="3495935C" w14:textId="0E70A739" w:rsidR="009942EA" w:rsidRPr="00E224E9" w:rsidRDefault="009942EA"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證券種類請填列</w:t>
      </w:r>
      <w:r w:rsidRPr="00E224E9">
        <w:rPr>
          <w:rFonts w:ascii="Book Antiqua" w:hAnsi="Book Antiqua"/>
          <w:color w:val="000000" w:themeColor="text1"/>
        </w:rPr>
        <w:t>A.</w:t>
      </w:r>
      <w:r w:rsidRPr="00E224E9">
        <w:rPr>
          <w:rFonts w:ascii="Book Antiqua" w:hAnsi="標楷體"/>
          <w:color w:val="000000" w:themeColor="text1"/>
        </w:rPr>
        <w:t>金融債券</w:t>
      </w:r>
      <w:r w:rsidRPr="00E224E9">
        <w:rPr>
          <w:rFonts w:ascii="Book Antiqua" w:hAnsi="Book Antiqua"/>
          <w:color w:val="000000" w:themeColor="text1"/>
        </w:rPr>
        <w:t>,B.</w:t>
      </w:r>
      <w:r w:rsidRPr="00E224E9">
        <w:rPr>
          <w:rFonts w:ascii="Book Antiqua" w:hAnsi="標楷體"/>
          <w:color w:val="000000" w:themeColor="text1"/>
        </w:rPr>
        <w:t>可轉讓定期存單</w:t>
      </w:r>
      <w:r w:rsidRPr="00E224E9">
        <w:rPr>
          <w:rFonts w:ascii="Book Antiqua" w:hAnsi="Book Antiqua"/>
          <w:color w:val="000000" w:themeColor="text1"/>
        </w:rPr>
        <w:t>,C.</w:t>
      </w:r>
      <w:r w:rsidRPr="00E224E9">
        <w:rPr>
          <w:rFonts w:ascii="Book Antiqua" w:hAnsi="標楷體"/>
          <w:color w:val="000000" w:themeColor="text1"/>
        </w:rPr>
        <w:t>銀行承兌匯票</w:t>
      </w:r>
      <w:r w:rsidRPr="00E224E9">
        <w:rPr>
          <w:rFonts w:ascii="Book Antiqua" w:hAnsi="Book Antiqua"/>
          <w:color w:val="000000" w:themeColor="text1"/>
        </w:rPr>
        <w:t>,D.</w:t>
      </w:r>
      <w:r w:rsidRPr="00E224E9">
        <w:rPr>
          <w:rFonts w:ascii="Book Antiqua" w:hAnsi="標楷體"/>
          <w:color w:val="000000" w:themeColor="text1"/>
        </w:rPr>
        <w:t>金融機構保證商業本票</w:t>
      </w:r>
      <w:r w:rsidRPr="00E224E9">
        <w:rPr>
          <w:rFonts w:ascii="Book Antiqua" w:hAnsi="Book Antiqua"/>
          <w:color w:val="000000" w:themeColor="text1"/>
        </w:rPr>
        <w:t>,E.</w:t>
      </w:r>
      <w:r w:rsidRPr="00E224E9">
        <w:rPr>
          <w:rFonts w:ascii="Book Antiqua" w:hAnsi="標楷體"/>
          <w:color w:val="000000" w:themeColor="text1"/>
        </w:rPr>
        <w:t>附買回條件債券投資</w:t>
      </w:r>
      <w:r w:rsidRPr="00E224E9">
        <w:rPr>
          <w:rFonts w:ascii="Book Antiqua" w:hAnsi="Book Antiqua"/>
          <w:color w:val="000000" w:themeColor="text1"/>
        </w:rPr>
        <w:t>,F.</w:t>
      </w:r>
      <w:r w:rsidRPr="00E224E9">
        <w:rPr>
          <w:rFonts w:ascii="Book Antiqua" w:hAnsi="標楷體"/>
          <w:color w:val="000000" w:themeColor="text1"/>
        </w:rPr>
        <w:t>結構型債券</w:t>
      </w:r>
      <w:r w:rsidRPr="00E224E9">
        <w:rPr>
          <w:rFonts w:ascii="Book Antiqua" w:hAnsi="Book Antiqua"/>
          <w:color w:val="000000" w:themeColor="text1"/>
        </w:rPr>
        <w:t>,G.</w:t>
      </w:r>
      <w:r w:rsidRPr="00E224E9">
        <w:rPr>
          <w:rFonts w:ascii="Book Antiqua" w:hAnsi="標楷體"/>
          <w:color w:val="000000" w:themeColor="text1"/>
        </w:rPr>
        <w:t>金融資產受益證券及資產基礎證券</w:t>
      </w:r>
      <w:r w:rsidRPr="00E224E9">
        <w:rPr>
          <w:rFonts w:ascii="Book Antiqua" w:hAnsi="Book Antiqua"/>
          <w:color w:val="000000" w:themeColor="text1"/>
        </w:rPr>
        <w:t>,H1.</w:t>
      </w:r>
      <w:r w:rsidRPr="00E224E9">
        <w:rPr>
          <w:rFonts w:ascii="Book Antiqua" w:hAnsi="標楷體"/>
          <w:color w:val="000000" w:themeColor="text1"/>
        </w:rPr>
        <w:t>國內不動產資產信託受益證券</w:t>
      </w:r>
      <w:r w:rsidRPr="00E224E9">
        <w:rPr>
          <w:rFonts w:ascii="Book Antiqua" w:hAnsi="Book Antiqua"/>
          <w:color w:val="000000" w:themeColor="text1"/>
        </w:rPr>
        <w:t>(REAT),H2.</w:t>
      </w:r>
      <w:r w:rsidRPr="00E224E9">
        <w:rPr>
          <w:rFonts w:ascii="Book Antiqua" w:hAnsi="標楷體"/>
          <w:color w:val="000000" w:themeColor="text1"/>
        </w:rPr>
        <w:t>國內不動產投資信託受益證券</w:t>
      </w:r>
      <w:r w:rsidRPr="00E224E9">
        <w:rPr>
          <w:rFonts w:ascii="Book Antiqua" w:hAnsi="Book Antiqua"/>
          <w:color w:val="000000" w:themeColor="text1"/>
        </w:rPr>
        <w:t>(REIT)</w:t>
      </w:r>
      <w:r w:rsidR="00CB3693" w:rsidRPr="0036348E">
        <w:rPr>
          <w:rFonts w:ascii="Book Antiqua" w:hAnsi="Book Antiqua" w:hint="eastAsia"/>
          <w:color w:val="EE0000"/>
        </w:rPr>
        <w:t>_</w:t>
      </w:r>
      <w:r w:rsidR="00CB3693" w:rsidRPr="0036348E">
        <w:rPr>
          <w:rFonts w:ascii="Book Antiqua" w:hAnsi="Book Antiqua" w:hint="eastAsia"/>
          <w:color w:val="EE0000"/>
        </w:rPr>
        <w:t>公共建設</w:t>
      </w:r>
      <w:r w:rsidR="00CB3693" w:rsidRPr="0036348E">
        <w:rPr>
          <w:rFonts w:ascii="Book Antiqua" w:hAnsi="Book Antiqua" w:hint="eastAsia"/>
          <w:color w:val="EE0000"/>
        </w:rPr>
        <w:t>(100%)</w:t>
      </w:r>
      <w:r w:rsidR="00CB3693" w:rsidRPr="0036348E">
        <w:rPr>
          <w:rFonts w:ascii="Book Antiqua" w:hAnsi="Book Antiqua" w:hint="eastAsia"/>
          <w:color w:val="EE0000"/>
        </w:rPr>
        <w:t>以外</w:t>
      </w:r>
      <w:r w:rsidR="00CB3693" w:rsidRPr="0036348E">
        <w:rPr>
          <w:rFonts w:ascii="Book Antiqua" w:hAnsi="Book Antiqua" w:hint="eastAsia"/>
          <w:color w:val="EE0000"/>
        </w:rPr>
        <w:t>,H3.</w:t>
      </w:r>
      <w:r w:rsidR="00CB3693" w:rsidRPr="0036348E">
        <w:rPr>
          <w:rFonts w:ascii="Book Antiqua" w:hAnsi="Book Antiqua" w:hint="eastAsia"/>
          <w:color w:val="EE0000"/>
        </w:rPr>
        <w:t>國內不動產投資信託受益證券</w:t>
      </w:r>
      <w:r w:rsidR="00CB3693" w:rsidRPr="0036348E">
        <w:rPr>
          <w:rFonts w:ascii="Book Antiqua" w:hAnsi="Book Antiqua" w:hint="eastAsia"/>
          <w:color w:val="EE0000"/>
        </w:rPr>
        <w:t>(REIT)_</w:t>
      </w:r>
      <w:r w:rsidR="00CB3693" w:rsidRPr="0036348E">
        <w:rPr>
          <w:rFonts w:ascii="Book Antiqua" w:hAnsi="Book Antiqua" w:hint="eastAsia"/>
          <w:color w:val="EE0000"/>
        </w:rPr>
        <w:t>公共建設</w:t>
      </w:r>
      <w:r w:rsidR="00CB3693" w:rsidRPr="0036348E">
        <w:rPr>
          <w:rFonts w:ascii="Book Antiqua" w:hAnsi="Book Antiqua" w:hint="eastAsia"/>
          <w:color w:val="EE0000"/>
        </w:rPr>
        <w:t>(100%)</w:t>
      </w:r>
      <w:r w:rsidRPr="00E224E9">
        <w:rPr>
          <w:rFonts w:ascii="Book Antiqua" w:hAnsi="Book Antiqua"/>
          <w:color w:val="000000" w:themeColor="text1"/>
        </w:rPr>
        <w:t>,I.</w:t>
      </w:r>
      <w:r w:rsidRPr="00E224E9">
        <w:rPr>
          <w:rFonts w:ascii="Book Antiqua" w:hAnsi="標楷體"/>
          <w:color w:val="000000" w:themeColor="text1"/>
        </w:rPr>
        <w:t>信託受益權</w:t>
      </w:r>
      <w:r w:rsidRPr="00E224E9">
        <w:rPr>
          <w:rFonts w:ascii="Book Antiqua" w:hAnsi="Book Antiqua"/>
          <w:color w:val="000000" w:themeColor="text1"/>
        </w:rPr>
        <w:t>(</w:t>
      </w:r>
      <w:r w:rsidRPr="00E224E9">
        <w:rPr>
          <w:rFonts w:ascii="Book Antiqua" w:hAnsi="標楷體"/>
          <w:color w:val="000000" w:themeColor="text1"/>
        </w:rPr>
        <w:t>指主管機關依保險法第一百四十六條第一項第八款核准之資金運用</w:t>
      </w:r>
      <w:r w:rsidRPr="00E224E9">
        <w:rPr>
          <w:rFonts w:ascii="Book Antiqua" w:hAnsi="Book Antiqua"/>
          <w:color w:val="000000" w:themeColor="text1"/>
        </w:rPr>
        <w:t>),J.ETF-</w:t>
      </w:r>
      <w:r w:rsidRPr="00E224E9">
        <w:rPr>
          <w:rFonts w:ascii="Book Antiqua" w:hAnsi="標楷體"/>
          <w:color w:val="000000" w:themeColor="text1"/>
        </w:rPr>
        <w:t>股票型</w:t>
      </w:r>
      <w:r w:rsidRPr="00E224E9">
        <w:rPr>
          <w:rFonts w:ascii="Book Antiqua" w:hAnsi="Book Antiqua"/>
          <w:color w:val="000000" w:themeColor="text1"/>
        </w:rPr>
        <w:t>,K.ETF-</w:t>
      </w:r>
      <w:r w:rsidRPr="00E224E9">
        <w:rPr>
          <w:rFonts w:ascii="Book Antiqua" w:hAnsi="標楷體"/>
          <w:color w:val="000000" w:themeColor="text1"/>
        </w:rPr>
        <w:t>債券型</w:t>
      </w:r>
      <w:r w:rsidRPr="00E224E9">
        <w:rPr>
          <w:rFonts w:ascii="Book Antiqua" w:hAnsi="Book Antiqua"/>
          <w:color w:val="000000" w:themeColor="text1"/>
        </w:rPr>
        <w:t>,L.</w:t>
      </w:r>
      <w:r w:rsidRPr="00E224E9">
        <w:rPr>
          <w:rFonts w:ascii="Book Antiqua" w:hAnsi="標楷體"/>
          <w:color w:val="000000" w:themeColor="text1"/>
        </w:rPr>
        <w:t>他型</w:t>
      </w:r>
      <w:r w:rsidRPr="00E224E9">
        <w:rPr>
          <w:rFonts w:ascii="Book Antiqua" w:hAnsi="Book Antiqua"/>
          <w:color w:val="000000" w:themeColor="text1"/>
        </w:rPr>
        <w:t>,M.</w:t>
      </w:r>
      <w:r w:rsidR="00A1005F" w:rsidRPr="00E224E9">
        <w:rPr>
          <w:rFonts w:ascii="Book Antiqua" w:hAnsi="Book Antiqua"/>
          <w:color w:val="000000" w:themeColor="text1"/>
        </w:rPr>
        <w:t>ETN,N.</w:t>
      </w:r>
      <w:r w:rsidRPr="00E224E9">
        <w:rPr>
          <w:rFonts w:ascii="Book Antiqua" w:hAnsi="標楷體"/>
          <w:color w:val="000000" w:themeColor="text1"/>
        </w:rPr>
        <w:t>其他。</w:t>
      </w:r>
      <w:r w:rsidR="00A1005F" w:rsidRPr="00E224E9">
        <w:rPr>
          <w:rFonts w:ascii="Book Antiqua" w:hAnsi="標楷體"/>
          <w:color w:val="000000" w:themeColor="text1"/>
        </w:rPr>
        <w:br/>
      </w:r>
      <w:r w:rsidR="00A1005F" w:rsidRPr="00E224E9">
        <w:rPr>
          <w:rFonts w:ascii="Book Antiqua" w:hAnsi="Book Antiqua" w:hint="eastAsia"/>
          <w:color w:val="000000" w:themeColor="text1"/>
        </w:rPr>
        <w:t>另依台財保字第</w:t>
      </w:r>
      <w:r w:rsidR="00A1005F" w:rsidRPr="00E224E9">
        <w:rPr>
          <w:rFonts w:ascii="Book Antiqua" w:hAnsi="Book Antiqua" w:hint="eastAsia"/>
          <w:color w:val="000000" w:themeColor="text1"/>
        </w:rPr>
        <w:t xml:space="preserve"> 0900700387 </w:t>
      </w:r>
      <w:r w:rsidR="00A1005F" w:rsidRPr="00E224E9">
        <w:rPr>
          <w:rFonts w:ascii="Book Antiqua" w:hAnsi="Book Antiqua" w:hint="eastAsia"/>
          <w:color w:val="000000" w:themeColor="text1"/>
        </w:rPr>
        <w:t>號函投資之台灣存託憑證請填列於「表</w:t>
      </w:r>
      <w:r w:rsidR="00A1005F" w:rsidRPr="00E224E9">
        <w:rPr>
          <w:rFonts w:ascii="Book Antiqua" w:hAnsi="Book Antiqua" w:hint="eastAsia"/>
          <w:color w:val="000000" w:themeColor="text1"/>
        </w:rPr>
        <w:t>10-1</w:t>
      </w:r>
      <w:r w:rsidR="00A1005F" w:rsidRPr="00E224E9">
        <w:rPr>
          <w:rFonts w:ascii="Book Antiqua" w:hAnsi="Book Antiqua" w:hint="eastAsia"/>
          <w:color w:val="000000" w:themeColor="text1"/>
        </w:rPr>
        <w:t>：股票餘額明細表」。</w:t>
      </w:r>
    </w:p>
    <w:p w14:paraId="6942F0B5"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欄－證券順位</w:t>
      </w:r>
      <w:r w:rsidRPr="00E224E9">
        <w:rPr>
          <w:rFonts w:ascii="Book Antiqua" w:hAnsi="Book Antiqua"/>
          <w:color w:val="000000" w:themeColor="text1"/>
        </w:rPr>
        <w:tab/>
      </w:r>
    </w:p>
    <w:p w14:paraId="48194A1D" w14:textId="77777777" w:rsidR="009942EA" w:rsidRPr="00E224E9" w:rsidRDefault="009942EA"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債券順位若屬第一順位請填</w:t>
      </w:r>
      <w:r w:rsidRPr="00E224E9">
        <w:rPr>
          <w:rFonts w:ascii="Book Antiqua" w:hAnsi="Book Antiqua"/>
          <w:color w:val="000000" w:themeColor="text1"/>
        </w:rPr>
        <w:t>1,</w:t>
      </w:r>
      <w:r w:rsidRPr="00E224E9">
        <w:rPr>
          <w:rFonts w:ascii="Book Antiqua" w:hAnsi="標楷體"/>
          <w:color w:val="000000" w:themeColor="text1"/>
        </w:rPr>
        <w:t>若屬第二順位請填</w:t>
      </w:r>
      <w:r w:rsidRPr="00E224E9">
        <w:rPr>
          <w:rFonts w:ascii="Book Antiqua" w:hAnsi="Book Antiqua"/>
          <w:color w:val="000000" w:themeColor="text1"/>
        </w:rPr>
        <w:t>2,</w:t>
      </w:r>
      <w:r w:rsidRPr="00E224E9">
        <w:rPr>
          <w:rFonts w:ascii="Book Antiqua" w:hAnsi="標楷體"/>
          <w:color w:val="000000" w:themeColor="text1"/>
        </w:rPr>
        <w:t>以下類推</w:t>
      </w:r>
      <w:r w:rsidRPr="00E224E9">
        <w:rPr>
          <w:rFonts w:ascii="Book Antiqua" w:hAnsi="Book Antiqua"/>
          <w:color w:val="000000" w:themeColor="text1"/>
        </w:rPr>
        <w:t>,</w:t>
      </w:r>
      <w:r w:rsidRPr="00E224E9">
        <w:rPr>
          <w:rFonts w:ascii="Book Antiqua" w:hAnsi="標楷體"/>
          <w:color w:val="000000" w:themeColor="text1"/>
        </w:rPr>
        <w:t>無順位者請填無。</w:t>
      </w:r>
    </w:p>
    <w:p w14:paraId="0D3D05C4"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5</w:t>
      </w:r>
      <w:r w:rsidRPr="00E224E9">
        <w:rPr>
          <w:rFonts w:ascii="Book Antiqua" w:hAnsi="標楷體"/>
          <w:color w:val="000000" w:themeColor="text1"/>
        </w:rPr>
        <w:t>欄－募集方式</w:t>
      </w:r>
      <w:r w:rsidRPr="00E224E9">
        <w:rPr>
          <w:rFonts w:ascii="Book Antiqua" w:hAnsi="Book Antiqua"/>
          <w:color w:val="000000" w:themeColor="text1"/>
        </w:rPr>
        <w:tab/>
      </w:r>
    </w:p>
    <w:p w14:paraId="7912F1C3" w14:textId="77777777" w:rsidR="009942EA" w:rsidRPr="00E224E9" w:rsidRDefault="009942EA"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募集方式請依序填</w:t>
      </w:r>
      <w:r w:rsidRPr="00E224E9">
        <w:rPr>
          <w:rFonts w:ascii="Book Antiqua" w:hAnsi="Book Antiqua"/>
          <w:color w:val="000000" w:themeColor="text1"/>
        </w:rPr>
        <w:t>A.</w:t>
      </w:r>
      <w:r w:rsidRPr="00E224E9">
        <w:rPr>
          <w:rFonts w:ascii="Book Antiqua" w:hAnsi="標楷體"/>
          <w:color w:val="000000" w:themeColor="text1"/>
        </w:rPr>
        <w:t>公開募集</w:t>
      </w:r>
      <w:r w:rsidRPr="00E224E9">
        <w:rPr>
          <w:rFonts w:ascii="Book Antiqua" w:hAnsi="Book Antiqua"/>
          <w:color w:val="000000" w:themeColor="text1"/>
        </w:rPr>
        <w:t>,B.</w:t>
      </w:r>
      <w:r w:rsidRPr="00E224E9">
        <w:rPr>
          <w:rFonts w:ascii="Book Antiqua" w:hAnsi="標楷體"/>
          <w:color w:val="000000" w:themeColor="text1"/>
        </w:rPr>
        <w:t>私募。</w:t>
      </w:r>
    </w:p>
    <w:p w14:paraId="66D1C391"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6</w:t>
      </w:r>
      <w:r w:rsidRPr="00E224E9">
        <w:rPr>
          <w:rFonts w:ascii="Book Antiqua" w:hAnsi="標楷體"/>
          <w:color w:val="000000" w:themeColor="text1"/>
        </w:rPr>
        <w:t>欄－交易種類</w:t>
      </w:r>
      <w:r w:rsidRPr="00E224E9">
        <w:rPr>
          <w:rFonts w:ascii="Book Antiqua" w:hAnsi="Book Antiqua"/>
          <w:color w:val="000000" w:themeColor="text1"/>
        </w:rPr>
        <w:tab/>
      </w:r>
    </w:p>
    <w:p w14:paraId="18488A17" w14:textId="77777777" w:rsidR="009942EA" w:rsidRPr="00E224E9" w:rsidRDefault="009942EA"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交易種類請依序填</w:t>
      </w:r>
      <w:r w:rsidRPr="00E224E9">
        <w:rPr>
          <w:rFonts w:ascii="Book Antiqua" w:hAnsi="Book Antiqua"/>
          <w:color w:val="000000" w:themeColor="text1"/>
        </w:rPr>
        <w:t>A.</w:t>
      </w:r>
      <w:r w:rsidRPr="00E224E9">
        <w:rPr>
          <w:rFonts w:ascii="Book Antiqua" w:hAnsi="標楷體"/>
          <w:color w:val="000000" w:themeColor="text1"/>
        </w:rPr>
        <w:t>上市</w:t>
      </w:r>
      <w:r w:rsidRPr="00E224E9">
        <w:rPr>
          <w:rFonts w:ascii="Book Antiqua" w:hAnsi="Book Antiqua"/>
          <w:color w:val="000000" w:themeColor="text1"/>
        </w:rPr>
        <w:t>,B.</w:t>
      </w:r>
      <w:r w:rsidRPr="00E224E9">
        <w:rPr>
          <w:rFonts w:ascii="Book Antiqua" w:hAnsi="標楷體"/>
          <w:color w:val="000000" w:themeColor="text1"/>
        </w:rPr>
        <w:t>上櫃</w:t>
      </w:r>
      <w:r w:rsidRPr="00E224E9">
        <w:rPr>
          <w:rFonts w:ascii="Book Antiqua" w:hAnsi="Book Antiqua"/>
          <w:color w:val="000000" w:themeColor="text1"/>
        </w:rPr>
        <w:t>,C.</w:t>
      </w:r>
      <w:r w:rsidRPr="00E224E9">
        <w:rPr>
          <w:rFonts w:ascii="Book Antiqua" w:hAnsi="標楷體"/>
          <w:color w:val="000000" w:themeColor="text1"/>
        </w:rPr>
        <w:t>興櫃</w:t>
      </w:r>
      <w:r w:rsidRPr="00E224E9">
        <w:rPr>
          <w:rFonts w:ascii="Book Antiqua" w:hAnsi="Book Antiqua"/>
          <w:color w:val="000000" w:themeColor="text1"/>
        </w:rPr>
        <w:t>,D.</w:t>
      </w:r>
      <w:r w:rsidRPr="00E224E9">
        <w:rPr>
          <w:rFonts w:ascii="Book Antiqua" w:hAnsi="標楷體"/>
          <w:color w:val="000000" w:themeColor="text1"/>
        </w:rPr>
        <w:t>其他。</w:t>
      </w:r>
    </w:p>
    <w:p w14:paraId="31E643DC"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7</w:t>
      </w:r>
      <w:r w:rsidRPr="00E224E9">
        <w:rPr>
          <w:rFonts w:ascii="Book Antiqua" w:hAnsi="標楷體"/>
          <w:color w:val="000000" w:themeColor="text1"/>
        </w:rPr>
        <w:t>欄－投資型態</w:t>
      </w:r>
      <w:r w:rsidRPr="00E224E9">
        <w:rPr>
          <w:rFonts w:ascii="Book Antiqua" w:hAnsi="Book Antiqua"/>
          <w:color w:val="000000" w:themeColor="text1"/>
        </w:rPr>
        <w:tab/>
      </w:r>
    </w:p>
    <w:p w14:paraId="69C62EE7" w14:textId="77777777" w:rsidR="009942EA" w:rsidRPr="00E224E9" w:rsidRDefault="009942EA" w:rsidP="009942EA">
      <w:pPr>
        <w:spacing w:line="440" w:lineRule="exact"/>
        <w:ind w:leftChars="207" w:left="538"/>
        <w:jc w:val="both"/>
        <w:rPr>
          <w:rFonts w:ascii="Book Antiqua" w:hAnsi="標楷體"/>
          <w:color w:val="000000" w:themeColor="text1"/>
        </w:rPr>
      </w:pPr>
      <w:r w:rsidRPr="00E224E9">
        <w:rPr>
          <w:rFonts w:ascii="Book Antiqua" w:hAnsi="標楷體"/>
          <w:color w:val="000000" w:themeColor="text1"/>
        </w:rPr>
        <w:t>投資型態請填</w:t>
      </w:r>
      <w:r w:rsidR="00315F4A" w:rsidRPr="00E224E9">
        <w:rPr>
          <w:rFonts w:ascii="Book Antiqua" w:hAnsi="標楷體" w:hint="eastAsia"/>
          <w:color w:val="000000" w:themeColor="text1"/>
        </w:rPr>
        <w:t>A1.</w:t>
      </w:r>
      <w:r w:rsidR="00315F4A" w:rsidRPr="00E224E9">
        <w:rPr>
          <w:rFonts w:ascii="Book Antiqua" w:hAnsi="標楷體" w:hint="eastAsia"/>
          <w:color w:val="000000" w:themeColor="text1"/>
        </w:rPr>
        <w:t>透過損益按公允價值衡量之金融資產</w:t>
      </w:r>
      <w:r w:rsidR="00315F4A" w:rsidRPr="00E224E9">
        <w:rPr>
          <w:rFonts w:ascii="Book Antiqua" w:hAnsi="標楷體" w:hint="eastAsia"/>
          <w:color w:val="000000" w:themeColor="text1"/>
        </w:rPr>
        <w:t>-</w:t>
      </w:r>
      <w:r w:rsidR="00315F4A" w:rsidRPr="00E224E9">
        <w:rPr>
          <w:rFonts w:ascii="Book Antiqua" w:hAnsi="標楷體" w:hint="eastAsia"/>
          <w:color w:val="000000" w:themeColor="text1"/>
        </w:rPr>
        <w:t>採用覆蓋法</w:t>
      </w:r>
      <w:r w:rsidR="00315F4A" w:rsidRPr="00E224E9">
        <w:rPr>
          <w:rFonts w:ascii="Book Antiqua" w:hAnsi="標楷體" w:hint="eastAsia"/>
          <w:color w:val="000000" w:themeColor="text1"/>
        </w:rPr>
        <w:t>,A2.</w:t>
      </w:r>
      <w:r w:rsidR="00315F4A" w:rsidRPr="00E224E9">
        <w:rPr>
          <w:rFonts w:ascii="Book Antiqua" w:hAnsi="標楷體" w:hint="eastAsia"/>
          <w:color w:val="000000" w:themeColor="text1"/>
        </w:rPr>
        <w:t>透過損益按公允價值衡量之金融資產</w:t>
      </w:r>
      <w:r w:rsidR="00315F4A" w:rsidRPr="00E224E9">
        <w:rPr>
          <w:rFonts w:ascii="Book Antiqua" w:hAnsi="標楷體" w:hint="eastAsia"/>
          <w:color w:val="000000" w:themeColor="text1"/>
        </w:rPr>
        <w:t>-</w:t>
      </w:r>
      <w:r w:rsidR="00315F4A" w:rsidRPr="00E224E9">
        <w:rPr>
          <w:rFonts w:ascii="Book Antiqua" w:hAnsi="標楷體" w:hint="eastAsia"/>
          <w:color w:val="000000" w:themeColor="text1"/>
        </w:rPr>
        <w:t>未採用覆蓋法</w:t>
      </w:r>
      <w:r w:rsidR="00315F4A" w:rsidRPr="00E224E9">
        <w:rPr>
          <w:rFonts w:ascii="Book Antiqua" w:hAnsi="標楷體" w:hint="eastAsia"/>
          <w:color w:val="000000" w:themeColor="text1"/>
        </w:rPr>
        <w:t>,B.</w:t>
      </w:r>
      <w:r w:rsidR="00315F4A" w:rsidRPr="00E224E9">
        <w:rPr>
          <w:rFonts w:ascii="Book Antiqua" w:hAnsi="標楷體" w:hint="eastAsia"/>
          <w:color w:val="000000" w:themeColor="text1"/>
        </w:rPr>
        <w:t>透過其他綜合損益按公允價值衡量之金融資產</w:t>
      </w:r>
      <w:r w:rsidR="00315F4A" w:rsidRPr="00E224E9">
        <w:rPr>
          <w:rFonts w:ascii="Book Antiqua" w:hAnsi="標楷體" w:hint="eastAsia"/>
          <w:color w:val="000000" w:themeColor="text1"/>
        </w:rPr>
        <w:t>,C.</w:t>
      </w:r>
      <w:r w:rsidR="00315F4A" w:rsidRPr="00E224E9">
        <w:rPr>
          <w:rFonts w:ascii="Book Antiqua" w:hAnsi="標楷體" w:hint="eastAsia"/>
          <w:color w:val="000000" w:themeColor="text1"/>
        </w:rPr>
        <w:t>按攤銷後成本衡量之金融資產</w:t>
      </w:r>
      <w:r w:rsidR="00315F4A" w:rsidRPr="00E224E9">
        <w:rPr>
          <w:rFonts w:ascii="Book Antiqua" w:hAnsi="標楷體" w:hint="eastAsia"/>
          <w:color w:val="000000" w:themeColor="text1"/>
        </w:rPr>
        <w:t>,D.</w:t>
      </w:r>
      <w:r w:rsidR="00315F4A" w:rsidRPr="00E224E9">
        <w:rPr>
          <w:rFonts w:ascii="Book Antiqua" w:hAnsi="標楷體" w:hint="eastAsia"/>
          <w:color w:val="000000" w:themeColor="text1"/>
        </w:rPr>
        <w:t>約當現金</w:t>
      </w:r>
      <w:r w:rsidR="00315F4A" w:rsidRPr="00E224E9">
        <w:rPr>
          <w:rFonts w:ascii="Book Antiqua" w:hAnsi="標楷體" w:hint="eastAsia"/>
          <w:color w:val="000000" w:themeColor="text1"/>
        </w:rPr>
        <w:t>,E.</w:t>
      </w:r>
      <w:r w:rsidR="00315F4A" w:rsidRPr="00E224E9">
        <w:rPr>
          <w:rFonts w:ascii="Book Antiqua" w:hAnsi="標楷體" w:hint="eastAsia"/>
          <w:color w:val="000000" w:themeColor="text1"/>
        </w:rPr>
        <w:t>其他金</w:t>
      </w:r>
      <w:r w:rsidR="00315F4A" w:rsidRPr="00E224E9">
        <w:rPr>
          <w:rFonts w:ascii="Book Antiqua" w:hAnsi="標楷體" w:hint="eastAsia"/>
          <w:color w:val="000000" w:themeColor="text1"/>
        </w:rPr>
        <w:lastRenderedPageBreak/>
        <w:t>融資產</w:t>
      </w:r>
      <w:r w:rsidRPr="00E224E9">
        <w:rPr>
          <w:rFonts w:ascii="Book Antiqua" w:hAnsi="標楷體"/>
          <w:color w:val="000000" w:themeColor="text1"/>
        </w:rPr>
        <w:t>。</w:t>
      </w:r>
    </w:p>
    <w:p w14:paraId="730247E7" w14:textId="77777777" w:rsidR="00627051" w:rsidRPr="00E224E9" w:rsidRDefault="00627051" w:rsidP="00627051">
      <w:pPr>
        <w:tabs>
          <w:tab w:val="left" w:pos="7093"/>
        </w:tabs>
        <w:spacing w:line="440" w:lineRule="exact"/>
        <w:ind w:left="975" w:hangingChars="375" w:hanging="975"/>
        <w:jc w:val="both"/>
        <w:rPr>
          <w:rFonts w:ascii="Book Antiqua" w:hAnsi="標楷體"/>
          <w:color w:val="000000" w:themeColor="text1"/>
        </w:rPr>
      </w:pPr>
      <w:r w:rsidRPr="00E224E9">
        <w:rPr>
          <w:rFonts w:ascii="Book Antiqua" w:hAnsi="標楷體"/>
          <w:color w:val="000000" w:themeColor="text1"/>
        </w:rPr>
        <w:t>第</w:t>
      </w:r>
      <w:r w:rsidRPr="00E224E9">
        <w:rPr>
          <w:rFonts w:ascii="Book Antiqua" w:hAnsi="標楷體" w:hint="eastAsia"/>
          <w:color w:val="000000" w:themeColor="text1"/>
        </w:rPr>
        <w:t>8</w:t>
      </w:r>
      <w:r w:rsidRPr="00E224E9">
        <w:rPr>
          <w:rFonts w:ascii="Book Antiqua" w:hAnsi="標楷體"/>
          <w:color w:val="000000" w:themeColor="text1"/>
        </w:rPr>
        <w:t>欄－是否為具資本性質債券</w:t>
      </w:r>
    </w:p>
    <w:p w14:paraId="398D7004" w14:textId="77777777" w:rsidR="00627051" w:rsidRPr="00E224E9" w:rsidRDefault="00627051"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請填列</w:t>
      </w:r>
      <w:r w:rsidRPr="00E224E9">
        <w:rPr>
          <w:rFonts w:ascii="Book Antiqua" w:hAnsi="標楷體"/>
          <w:color w:val="000000" w:themeColor="text1"/>
        </w:rPr>
        <w:t>Y.</w:t>
      </w:r>
      <w:r w:rsidRPr="00E224E9">
        <w:rPr>
          <w:rFonts w:ascii="Book Antiqua" w:hAnsi="標楷體"/>
          <w:color w:val="000000" w:themeColor="text1"/>
        </w:rPr>
        <w:t>具資本性質債券</w:t>
      </w:r>
      <w:r w:rsidRPr="00E224E9">
        <w:rPr>
          <w:rFonts w:ascii="Book Antiqua" w:hAnsi="標楷體"/>
          <w:color w:val="000000" w:themeColor="text1"/>
        </w:rPr>
        <w:t>,N.</w:t>
      </w:r>
      <w:r w:rsidRPr="00E224E9">
        <w:rPr>
          <w:rFonts w:ascii="Book Antiqua" w:hAnsi="標楷體"/>
          <w:color w:val="000000" w:themeColor="text1"/>
        </w:rPr>
        <w:t>非具資本性質債券。</w:t>
      </w:r>
    </w:p>
    <w:p w14:paraId="020F101D"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00E1748B" w:rsidRPr="00E224E9">
        <w:rPr>
          <w:rFonts w:ascii="Book Antiqua" w:hAnsi="Book Antiqua" w:hint="eastAsia"/>
          <w:color w:val="000000" w:themeColor="text1"/>
        </w:rPr>
        <w:t>9</w:t>
      </w:r>
      <w:r w:rsidRPr="00E224E9">
        <w:rPr>
          <w:rFonts w:ascii="Book Antiqua" w:hAnsi="標楷體"/>
          <w:color w:val="000000" w:themeColor="text1"/>
        </w:rPr>
        <w:t>及第</w:t>
      </w:r>
      <w:r w:rsidRPr="00E224E9">
        <w:rPr>
          <w:rFonts w:ascii="Book Antiqua" w:hAnsi="Book Antiqua"/>
          <w:color w:val="000000" w:themeColor="text1"/>
        </w:rPr>
        <w:t>1</w:t>
      </w:r>
      <w:r w:rsidR="00E1748B" w:rsidRPr="00E224E9">
        <w:rPr>
          <w:rFonts w:ascii="Book Antiqua" w:hAnsi="Book Antiqua" w:hint="eastAsia"/>
          <w:color w:val="000000" w:themeColor="text1"/>
        </w:rPr>
        <w:t>3</w:t>
      </w:r>
      <w:r w:rsidRPr="00E224E9">
        <w:rPr>
          <w:rFonts w:ascii="Book Antiqua" w:hAnsi="標楷體"/>
          <w:color w:val="000000" w:themeColor="text1"/>
        </w:rPr>
        <w:t>欄－信用評等機構</w:t>
      </w:r>
      <w:r w:rsidRPr="00E224E9">
        <w:rPr>
          <w:rFonts w:ascii="Book Antiqua" w:hAnsi="Book Antiqua"/>
          <w:color w:val="000000" w:themeColor="text1"/>
        </w:rPr>
        <w:tab/>
      </w:r>
    </w:p>
    <w:p w14:paraId="16E9E707" w14:textId="15BC52F1"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信用評等機構填列如</w:t>
      </w:r>
      <w:r w:rsidRPr="00E224E9">
        <w:rPr>
          <w:rFonts w:ascii="Book Antiqua" w:hAnsi="Book Antiqua"/>
          <w:color w:val="000000" w:themeColor="text1"/>
        </w:rPr>
        <w:t>A.S&amp;P,B.AM Best,C.Moody's,D.Fitch,E.tw,F.</w:t>
      </w:r>
      <w:r w:rsidR="00DC75B1" w:rsidRPr="00E224E9">
        <w:rPr>
          <w:rFonts w:ascii="Book Antiqua" w:hAnsi="Book Antiqua"/>
          <w:color w:val="000000" w:themeColor="text1"/>
        </w:rPr>
        <w:t>KBRA,G.</w:t>
      </w:r>
      <w:r w:rsidRPr="00E224E9">
        <w:rPr>
          <w:rFonts w:ascii="Book Antiqua" w:hAnsi="標楷體"/>
          <w:color w:val="000000" w:themeColor="text1"/>
        </w:rPr>
        <w:t>其他</w:t>
      </w:r>
      <w:r w:rsidRPr="00E224E9">
        <w:rPr>
          <w:rFonts w:ascii="Book Antiqua" w:hAnsi="Book Antiqua"/>
          <w:color w:val="000000" w:themeColor="text1"/>
        </w:rPr>
        <w:t>,</w:t>
      </w:r>
      <w:r w:rsidRPr="00E224E9">
        <w:rPr>
          <w:rFonts w:ascii="Book Antiqua" w:hAnsi="標楷體"/>
          <w:color w:val="000000" w:themeColor="text1"/>
        </w:rPr>
        <w:t>若無信用評等者請填無。</w:t>
      </w:r>
    </w:p>
    <w:p w14:paraId="2650BDC1"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00E1748B" w:rsidRPr="00E224E9">
        <w:rPr>
          <w:rFonts w:ascii="Book Antiqua" w:hAnsi="Book Antiqua" w:hint="eastAsia"/>
          <w:color w:val="000000" w:themeColor="text1"/>
        </w:rPr>
        <w:t>10</w:t>
      </w:r>
      <w:r w:rsidRPr="00E224E9">
        <w:rPr>
          <w:rFonts w:ascii="Book Antiqua" w:hAnsi="標楷體"/>
          <w:color w:val="000000" w:themeColor="text1"/>
        </w:rPr>
        <w:t>及第</w:t>
      </w:r>
      <w:r w:rsidRPr="00E224E9">
        <w:rPr>
          <w:rFonts w:ascii="Book Antiqua" w:hAnsi="Book Antiqua"/>
          <w:color w:val="000000" w:themeColor="text1"/>
        </w:rPr>
        <w:t>1</w:t>
      </w:r>
      <w:r w:rsidR="00E1748B" w:rsidRPr="00E224E9">
        <w:rPr>
          <w:rFonts w:ascii="Book Antiqua" w:hAnsi="Book Antiqua" w:hint="eastAsia"/>
          <w:color w:val="000000" w:themeColor="text1"/>
        </w:rPr>
        <w:t>4</w:t>
      </w:r>
      <w:r w:rsidRPr="00E224E9">
        <w:rPr>
          <w:rFonts w:ascii="Book Antiqua" w:hAnsi="標楷體"/>
          <w:color w:val="000000" w:themeColor="text1"/>
        </w:rPr>
        <w:t>欄－評等等級</w:t>
      </w:r>
      <w:r w:rsidRPr="00E224E9">
        <w:rPr>
          <w:rFonts w:ascii="Book Antiqua" w:hAnsi="Book Antiqua"/>
          <w:color w:val="000000" w:themeColor="text1"/>
        </w:rPr>
        <w:tab/>
      </w:r>
    </w:p>
    <w:p w14:paraId="028C672A"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評等等級請依信用評等機構所列填寫</w:t>
      </w:r>
      <w:r w:rsidRPr="00E224E9">
        <w:rPr>
          <w:rFonts w:ascii="Book Antiqua" w:hAnsi="Book Antiqua"/>
          <w:color w:val="000000" w:themeColor="text1"/>
        </w:rPr>
        <w:t>,</w:t>
      </w:r>
      <w:r w:rsidRPr="00E224E9">
        <w:rPr>
          <w:rFonts w:ascii="Book Antiqua" w:hAnsi="標楷體"/>
          <w:color w:val="000000" w:themeColor="text1"/>
        </w:rPr>
        <w:t>並以最近一年之評等資料填寫</w:t>
      </w:r>
      <w:r w:rsidRPr="00E224E9">
        <w:rPr>
          <w:rFonts w:ascii="Book Antiqua" w:hAnsi="Book Antiqua"/>
          <w:color w:val="000000" w:themeColor="text1"/>
        </w:rPr>
        <w:t>,</w:t>
      </w:r>
      <w:r w:rsidRPr="00E224E9">
        <w:rPr>
          <w:rFonts w:ascii="Book Antiqua" w:hAnsi="標楷體"/>
          <w:color w:val="000000" w:themeColor="text1"/>
        </w:rPr>
        <w:t>若無信用評等者請填無。</w:t>
      </w:r>
    </w:p>
    <w:p w14:paraId="5F5E65C3"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00E1748B" w:rsidRPr="00E224E9">
        <w:rPr>
          <w:rFonts w:ascii="Book Antiqua" w:hAnsi="Book Antiqua" w:hint="eastAsia"/>
          <w:color w:val="000000" w:themeColor="text1"/>
        </w:rPr>
        <w:t>5</w:t>
      </w:r>
      <w:r w:rsidRPr="00E224E9">
        <w:rPr>
          <w:rFonts w:ascii="Book Antiqua" w:hAnsi="標楷體"/>
          <w:color w:val="000000" w:themeColor="text1"/>
        </w:rPr>
        <w:t>欄－是否為關係人</w:t>
      </w:r>
      <w:r w:rsidRPr="00E224E9">
        <w:rPr>
          <w:rFonts w:ascii="Book Antiqua" w:hAnsi="Book Antiqua"/>
          <w:color w:val="000000" w:themeColor="text1"/>
        </w:rPr>
        <w:tab/>
      </w:r>
    </w:p>
    <w:p w14:paraId="4372C9D3"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是否為關係人請依序填列</w:t>
      </w:r>
      <w:r w:rsidRPr="00E224E9">
        <w:rPr>
          <w:rFonts w:ascii="Book Antiqua" w:hAnsi="Book Antiqua"/>
          <w:color w:val="000000" w:themeColor="text1"/>
        </w:rPr>
        <w:t>A.</w:t>
      </w:r>
      <w:r w:rsidRPr="00E224E9">
        <w:rPr>
          <w:rFonts w:ascii="Book Antiqua" w:hAnsi="標楷體"/>
          <w:color w:val="000000" w:themeColor="text1"/>
        </w:rPr>
        <w:t>否</w:t>
      </w:r>
      <w:r w:rsidRPr="00E224E9">
        <w:rPr>
          <w:rFonts w:ascii="Book Antiqua" w:hAnsi="Book Antiqua"/>
          <w:color w:val="000000" w:themeColor="text1"/>
        </w:rPr>
        <w:t>,B.</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非控制與從屬關係</w:t>
      </w:r>
      <w:r w:rsidRPr="00E224E9">
        <w:rPr>
          <w:rFonts w:ascii="Book Antiqua" w:hAnsi="Book Antiqua"/>
          <w:color w:val="000000" w:themeColor="text1"/>
        </w:rPr>
        <w:t>,C.</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具控制與從屬關係</w:t>
      </w:r>
      <w:r w:rsidRPr="00E224E9">
        <w:rPr>
          <w:rFonts w:ascii="Book Antiqua" w:hAnsi="Book Antiqua"/>
          <w:color w:val="000000" w:themeColor="text1"/>
        </w:rPr>
        <w:t>;</w:t>
      </w:r>
      <w:r w:rsidRPr="00E224E9">
        <w:rPr>
          <w:rFonts w:ascii="Book Antiqua" w:hAnsi="標楷體"/>
          <w:color w:val="000000" w:themeColor="text1"/>
        </w:rPr>
        <w:t>所稱關係人係依國際會計準則第</w:t>
      </w:r>
      <w:r w:rsidRPr="00E224E9">
        <w:rPr>
          <w:rFonts w:ascii="Book Antiqua" w:hAnsi="標楷體"/>
          <w:color w:val="000000" w:themeColor="text1"/>
        </w:rPr>
        <w:t>24</w:t>
      </w:r>
      <w:r w:rsidRPr="00E224E9">
        <w:rPr>
          <w:rFonts w:ascii="Book Antiqua" w:hAnsi="標楷體"/>
          <w:color w:val="000000" w:themeColor="text1"/>
        </w:rPr>
        <w:t>號公報及公司法第</w:t>
      </w:r>
      <w:r w:rsidRPr="00E224E9">
        <w:rPr>
          <w:rFonts w:ascii="Book Antiqua" w:hAnsi="Book Antiqua"/>
          <w:color w:val="000000" w:themeColor="text1"/>
        </w:rPr>
        <w:t>369-1~369-3</w:t>
      </w:r>
      <w:r w:rsidRPr="00E224E9">
        <w:rPr>
          <w:rFonts w:ascii="Book Antiqua" w:hAnsi="標楷體"/>
          <w:color w:val="000000" w:themeColor="text1"/>
        </w:rPr>
        <w:t>條、第</w:t>
      </w:r>
      <w:r w:rsidRPr="00E224E9">
        <w:rPr>
          <w:rFonts w:ascii="Book Antiqua" w:hAnsi="Book Antiqua"/>
          <w:color w:val="000000" w:themeColor="text1"/>
        </w:rPr>
        <w:t>369-9</w:t>
      </w:r>
      <w:r w:rsidRPr="00E224E9">
        <w:rPr>
          <w:rFonts w:ascii="Book Antiqua" w:hAnsi="標楷體"/>
          <w:color w:val="000000" w:themeColor="text1"/>
        </w:rPr>
        <w:t>條、及第</w:t>
      </w:r>
      <w:r w:rsidRPr="00E224E9">
        <w:rPr>
          <w:rFonts w:ascii="Book Antiqua" w:hAnsi="Book Antiqua"/>
          <w:color w:val="000000" w:themeColor="text1"/>
        </w:rPr>
        <w:t>369-11</w:t>
      </w:r>
      <w:r w:rsidRPr="00E224E9">
        <w:rPr>
          <w:rFonts w:ascii="Book Antiqua" w:hAnsi="標楷體"/>
          <w:color w:val="000000" w:themeColor="text1"/>
        </w:rPr>
        <w:t>條及關係企業合併營業報告書關係企業合併財務報表及關係報告書編製準則第六條之規定。</w:t>
      </w:r>
    </w:p>
    <w:p w14:paraId="25B58848"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00E1748B" w:rsidRPr="00E224E9">
        <w:rPr>
          <w:rFonts w:ascii="Book Antiqua" w:hAnsi="Book Antiqua" w:hint="eastAsia"/>
          <w:color w:val="000000" w:themeColor="text1"/>
        </w:rPr>
        <w:t>6</w:t>
      </w:r>
      <w:r w:rsidRPr="00E224E9">
        <w:rPr>
          <w:rFonts w:ascii="Book Antiqua" w:hAnsi="標楷體"/>
          <w:color w:val="000000" w:themeColor="text1"/>
        </w:rPr>
        <w:t>欄－保證機構代號</w:t>
      </w:r>
      <w:r w:rsidRPr="00E224E9">
        <w:rPr>
          <w:rFonts w:ascii="Book Antiqua" w:hAnsi="Book Antiqua"/>
          <w:color w:val="000000" w:themeColor="text1"/>
        </w:rPr>
        <w:tab/>
      </w:r>
    </w:p>
    <w:p w14:paraId="403A09D3"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保證機構代號請洽由財團法人保險事業發展中心統一配賦，若無保證機構請填無。</w:t>
      </w:r>
    </w:p>
    <w:p w14:paraId="0D97AB10"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00E1748B" w:rsidRPr="00E224E9">
        <w:rPr>
          <w:rFonts w:ascii="Book Antiqua" w:hAnsi="Book Antiqua" w:hint="eastAsia"/>
          <w:color w:val="000000" w:themeColor="text1"/>
        </w:rPr>
        <w:t>7</w:t>
      </w:r>
      <w:r w:rsidRPr="00E224E9">
        <w:rPr>
          <w:rFonts w:ascii="Book Antiqua" w:hAnsi="標楷體"/>
          <w:color w:val="000000" w:themeColor="text1"/>
        </w:rPr>
        <w:t>欄－保證機構名稱</w:t>
      </w:r>
      <w:r w:rsidRPr="00E224E9">
        <w:rPr>
          <w:rFonts w:ascii="Book Antiqua" w:hAnsi="Book Antiqua"/>
          <w:color w:val="000000" w:themeColor="text1"/>
        </w:rPr>
        <w:tab/>
      </w:r>
    </w:p>
    <w:p w14:paraId="0E8A3C43"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為保證機構之名稱，若無保證機構請填無。</w:t>
      </w:r>
    </w:p>
    <w:p w14:paraId="683699B3"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00E1748B" w:rsidRPr="00E224E9">
        <w:rPr>
          <w:rFonts w:ascii="Book Antiqua" w:hAnsi="Book Antiqua" w:hint="eastAsia"/>
          <w:color w:val="000000" w:themeColor="text1"/>
        </w:rPr>
        <w:t>8</w:t>
      </w:r>
      <w:r w:rsidRPr="00E224E9">
        <w:rPr>
          <w:rFonts w:ascii="Book Antiqua" w:hAnsi="標楷體"/>
          <w:color w:val="000000" w:themeColor="text1"/>
        </w:rPr>
        <w:t>欄－持有資產幣別</w:t>
      </w:r>
      <w:r w:rsidRPr="00E224E9">
        <w:rPr>
          <w:rFonts w:ascii="Book Antiqua" w:hAnsi="Book Antiqua"/>
          <w:color w:val="000000" w:themeColor="text1"/>
        </w:rPr>
        <w:tab/>
      </w:r>
    </w:p>
    <w:p w14:paraId="11B34D2F"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本表均含國內外投資</w:t>
      </w:r>
      <w:r w:rsidRPr="00E224E9">
        <w:rPr>
          <w:rFonts w:ascii="Book Antiqua" w:hAnsi="Book Antiqua"/>
          <w:color w:val="000000" w:themeColor="text1"/>
        </w:rPr>
        <w:t>,</w:t>
      </w:r>
      <w:r w:rsidRPr="00E224E9">
        <w:rPr>
          <w:rFonts w:ascii="Book Antiqua" w:hAnsi="標楷體"/>
          <w:color w:val="000000" w:themeColor="text1"/>
        </w:rPr>
        <w:t>若屬國外投資者於持有資產幣別請填該幣別代號如</w:t>
      </w:r>
      <w:r w:rsidRPr="00E224E9">
        <w:rPr>
          <w:rFonts w:ascii="Book Antiqua" w:hAnsi="Book Antiqua"/>
          <w:color w:val="000000" w:themeColor="text1"/>
        </w:rPr>
        <w:t>USD</w:t>
      </w:r>
      <w:r w:rsidRPr="00E224E9">
        <w:rPr>
          <w:rFonts w:ascii="Book Antiqua" w:hAnsi="標楷體"/>
          <w:color w:val="000000" w:themeColor="text1"/>
        </w:rPr>
        <w:t>，若投資</w:t>
      </w:r>
      <w:r w:rsidRPr="00E224E9">
        <w:rPr>
          <w:rFonts w:ascii="Book Antiqua" w:hAnsi="標楷體" w:hint="eastAsia"/>
          <w:color w:val="000000" w:themeColor="text1"/>
        </w:rPr>
        <w:t>新興市場</w:t>
      </w:r>
      <w:r w:rsidRPr="00E224E9">
        <w:rPr>
          <w:rFonts w:ascii="Book Antiqua" w:hAnsi="標楷體"/>
          <w:color w:val="000000" w:themeColor="text1"/>
        </w:rPr>
        <w:t>而按</w:t>
      </w:r>
      <w:r w:rsidRPr="00E224E9">
        <w:rPr>
          <w:rFonts w:ascii="Book Antiqua" w:hAnsi="標楷體" w:hint="eastAsia"/>
          <w:color w:val="000000" w:themeColor="text1"/>
        </w:rPr>
        <w:t>已開發國家</w:t>
      </w:r>
      <w:r w:rsidRPr="00E224E9">
        <w:rPr>
          <w:rFonts w:ascii="Book Antiqua" w:hAnsi="標楷體"/>
          <w:color w:val="000000" w:themeColor="text1"/>
        </w:rPr>
        <w:t>幣別計價者，請將該幣別增加一碼如</w:t>
      </w:r>
      <w:r w:rsidRPr="00E224E9">
        <w:rPr>
          <w:rFonts w:ascii="Book Antiqua" w:hAnsi="Book Antiqua"/>
          <w:color w:val="000000" w:themeColor="text1"/>
        </w:rPr>
        <w:t>USD-1</w:t>
      </w:r>
      <w:r w:rsidRPr="00E224E9">
        <w:rPr>
          <w:rFonts w:ascii="Book Antiqua" w:hAnsi="標楷體"/>
          <w:color w:val="000000" w:themeColor="text1"/>
        </w:rPr>
        <w:t>。</w:t>
      </w:r>
    </w:p>
    <w:p w14:paraId="26A4BFCB"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00E1748B" w:rsidRPr="00E224E9">
        <w:rPr>
          <w:rFonts w:ascii="Book Antiqua" w:hAnsi="Book Antiqua" w:hint="eastAsia"/>
          <w:color w:val="000000" w:themeColor="text1"/>
        </w:rPr>
        <w:t>9</w:t>
      </w:r>
      <w:r w:rsidRPr="00E224E9">
        <w:rPr>
          <w:rFonts w:ascii="Book Antiqua" w:hAnsi="標楷體"/>
          <w:color w:val="000000" w:themeColor="text1"/>
        </w:rPr>
        <w:t>欄－到期年月日</w:t>
      </w:r>
      <w:r w:rsidRPr="00E224E9">
        <w:rPr>
          <w:rFonts w:ascii="Book Antiqua" w:hAnsi="Book Antiqua"/>
          <w:color w:val="000000" w:themeColor="text1"/>
        </w:rPr>
        <w:tab/>
      </w:r>
    </w:p>
    <w:p w14:paraId="195E9FAC"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填寫方式以西元年</w:t>
      </w:r>
      <w:r w:rsidRPr="00E224E9">
        <w:rPr>
          <w:rFonts w:ascii="Book Antiqua" w:hAnsi="Book Antiqua"/>
          <w:color w:val="000000" w:themeColor="text1"/>
        </w:rPr>
        <w:t>/</w:t>
      </w:r>
      <w:r w:rsidRPr="00E224E9">
        <w:rPr>
          <w:rFonts w:ascii="Book Antiqua" w:hAnsi="標楷體"/>
          <w:color w:val="000000" w:themeColor="text1"/>
        </w:rPr>
        <w:t>月</w:t>
      </w:r>
      <w:r w:rsidRPr="00E224E9">
        <w:rPr>
          <w:rFonts w:ascii="Book Antiqua" w:hAnsi="Book Antiqua"/>
          <w:color w:val="000000" w:themeColor="text1"/>
        </w:rPr>
        <w:t>/</w:t>
      </w:r>
      <w:r w:rsidRPr="00E224E9">
        <w:rPr>
          <w:rFonts w:ascii="Book Antiqua" w:hAnsi="標楷體"/>
          <w:color w:val="000000" w:themeColor="text1"/>
        </w:rPr>
        <w:t>日如</w:t>
      </w:r>
      <w:r w:rsidRPr="00E224E9">
        <w:rPr>
          <w:rFonts w:ascii="Book Antiqua" w:hAnsi="Book Antiqua"/>
          <w:color w:val="000000" w:themeColor="text1"/>
        </w:rPr>
        <w:t>2005/06/25</w:t>
      </w:r>
      <w:r w:rsidRPr="00E224E9">
        <w:rPr>
          <w:rFonts w:ascii="Book Antiqua" w:hAnsi="標楷體"/>
          <w:color w:val="000000" w:themeColor="text1"/>
        </w:rPr>
        <w:t>，金融債到期日如為永久，按</w:t>
      </w:r>
      <w:r w:rsidRPr="00E224E9">
        <w:rPr>
          <w:rFonts w:ascii="Book Antiqua" w:hAnsi="Book Antiqua"/>
          <w:color w:val="000000" w:themeColor="text1"/>
        </w:rPr>
        <w:t>9999/99/99</w:t>
      </w:r>
      <w:r w:rsidRPr="00E224E9">
        <w:rPr>
          <w:rFonts w:ascii="Book Antiqua" w:hAnsi="標楷體"/>
          <w:color w:val="000000" w:themeColor="text1"/>
        </w:rPr>
        <w:t>填列。</w:t>
      </w:r>
    </w:p>
    <w:p w14:paraId="5E20438D"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00E1748B" w:rsidRPr="00E224E9">
        <w:rPr>
          <w:rFonts w:ascii="Book Antiqua" w:hAnsi="Book Antiqua" w:hint="eastAsia"/>
          <w:color w:val="000000" w:themeColor="text1"/>
        </w:rPr>
        <w:t>20</w:t>
      </w:r>
      <w:r w:rsidRPr="00E224E9">
        <w:rPr>
          <w:rFonts w:ascii="Book Antiqua" w:hAnsi="標楷體"/>
          <w:color w:val="000000" w:themeColor="text1"/>
        </w:rPr>
        <w:t>欄－票面年利率</w:t>
      </w:r>
      <w:r w:rsidRPr="00E224E9">
        <w:rPr>
          <w:rFonts w:ascii="Book Antiqua" w:hAnsi="Book Antiqua"/>
          <w:color w:val="000000" w:themeColor="text1"/>
        </w:rPr>
        <w:tab/>
      </w:r>
    </w:p>
    <w:p w14:paraId="16CC6FA9"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依債券之年票面利率填列。</w:t>
      </w:r>
    </w:p>
    <w:p w14:paraId="3BE46E67"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1</w:t>
      </w:r>
      <w:r w:rsidRPr="00E224E9">
        <w:rPr>
          <w:rFonts w:ascii="Book Antiqua" w:hAnsi="標楷體"/>
          <w:color w:val="000000" w:themeColor="text1"/>
        </w:rPr>
        <w:t>欄－付息方式</w:t>
      </w:r>
      <w:r w:rsidRPr="00E224E9">
        <w:rPr>
          <w:rFonts w:ascii="Book Antiqua" w:hAnsi="Book Antiqua"/>
          <w:color w:val="000000" w:themeColor="text1"/>
        </w:rPr>
        <w:tab/>
      </w:r>
    </w:p>
    <w:p w14:paraId="456C2E40"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付息方式請依序填列</w:t>
      </w:r>
      <w:r w:rsidRPr="00E224E9">
        <w:rPr>
          <w:rFonts w:ascii="Book Antiqua" w:hAnsi="Book Antiqua"/>
          <w:color w:val="000000" w:themeColor="text1"/>
        </w:rPr>
        <w:t>A.</w:t>
      </w:r>
      <w:r w:rsidRPr="00E224E9">
        <w:rPr>
          <w:rFonts w:ascii="Book Antiqua" w:hAnsi="標楷體"/>
          <w:color w:val="000000" w:themeColor="text1"/>
        </w:rPr>
        <w:t>每二年付息一次</w:t>
      </w:r>
      <w:r w:rsidRPr="00E224E9">
        <w:rPr>
          <w:rFonts w:ascii="Book Antiqua" w:hAnsi="Book Antiqua"/>
          <w:color w:val="000000" w:themeColor="text1"/>
        </w:rPr>
        <w:t>,B.</w:t>
      </w:r>
      <w:r w:rsidRPr="00E224E9">
        <w:rPr>
          <w:rFonts w:ascii="Book Antiqua" w:hAnsi="標楷體"/>
          <w:color w:val="000000" w:themeColor="text1"/>
        </w:rPr>
        <w:t>每一年付息一次</w:t>
      </w:r>
      <w:r w:rsidRPr="00E224E9">
        <w:rPr>
          <w:rFonts w:ascii="Book Antiqua" w:hAnsi="Book Antiqua"/>
          <w:color w:val="000000" w:themeColor="text1"/>
        </w:rPr>
        <w:t>,C.</w:t>
      </w:r>
      <w:r w:rsidRPr="00E224E9">
        <w:rPr>
          <w:rFonts w:ascii="Book Antiqua" w:hAnsi="標楷體"/>
          <w:color w:val="000000" w:themeColor="text1"/>
        </w:rPr>
        <w:t>每半年付息一次</w:t>
      </w:r>
      <w:r w:rsidRPr="00E224E9">
        <w:rPr>
          <w:rFonts w:ascii="Book Antiqua" w:hAnsi="Book Antiqua"/>
          <w:color w:val="000000" w:themeColor="text1"/>
        </w:rPr>
        <w:t>,D.</w:t>
      </w:r>
      <w:r w:rsidRPr="00E224E9">
        <w:rPr>
          <w:rFonts w:ascii="Book Antiqua" w:hAnsi="標楷體"/>
          <w:color w:val="000000" w:themeColor="text1"/>
        </w:rPr>
        <w:t>每季付息一次</w:t>
      </w:r>
      <w:r w:rsidRPr="00E224E9">
        <w:rPr>
          <w:rFonts w:ascii="Book Antiqua" w:hAnsi="Book Antiqua"/>
          <w:color w:val="000000" w:themeColor="text1"/>
        </w:rPr>
        <w:t>,E.</w:t>
      </w:r>
      <w:r w:rsidRPr="00E224E9">
        <w:rPr>
          <w:rFonts w:ascii="Book Antiqua" w:hAnsi="標楷體"/>
          <w:color w:val="000000" w:themeColor="text1"/>
        </w:rPr>
        <w:t>每月付息一次</w:t>
      </w:r>
      <w:r w:rsidRPr="00E224E9">
        <w:rPr>
          <w:rFonts w:ascii="Book Antiqua" w:hAnsi="Book Antiqua"/>
          <w:color w:val="000000" w:themeColor="text1"/>
        </w:rPr>
        <w:t>,F.</w:t>
      </w:r>
      <w:r w:rsidRPr="00E224E9">
        <w:rPr>
          <w:rFonts w:ascii="Book Antiqua" w:hAnsi="標楷體"/>
          <w:color w:val="000000" w:themeColor="text1"/>
        </w:rPr>
        <w:t>不付息</w:t>
      </w:r>
      <w:r w:rsidRPr="00E224E9">
        <w:rPr>
          <w:rFonts w:ascii="Book Antiqua" w:hAnsi="Book Antiqua"/>
          <w:color w:val="000000" w:themeColor="text1"/>
        </w:rPr>
        <w:t>,G.</w:t>
      </w:r>
      <w:r w:rsidRPr="00E224E9">
        <w:rPr>
          <w:rFonts w:ascii="Book Antiqua" w:hAnsi="標楷體"/>
          <w:color w:val="000000" w:themeColor="text1"/>
        </w:rPr>
        <w:t>其他。</w:t>
      </w:r>
    </w:p>
    <w:p w14:paraId="62371601"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2</w:t>
      </w:r>
      <w:r w:rsidRPr="00E224E9">
        <w:rPr>
          <w:rFonts w:ascii="Book Antiqua" w:hAnsi="標楷體"/>
          <w:color w:val="000000" w:themeColor="text1"/>
        </w:rPr>
        <w:t>欄－面值總金額</w:t>
      </w:r>
      <w:r w:rsidRPr="00E224E9">
        <w:rPr>
          <w:rFonts w:ascii="Book Antiqua" w:hAnsi="Book Antiqua"/>
          <w:color w:val="000000" w:themeColor="text1"/>
        </w:rPr>
        <w:tab/>
      </w:r>
    </w:p>
    <w:p w14:paraId="76540C83"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lastRenderedPageBreak/>
        <w:t>為債券之面額，國外投資以期末匯率換算為新台幣面額。</w:t>
      </w:r>
    </w:p>
    <w:p w14:paraId="1170E9DD"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3</w:t>
      </w:r>
      <w:r w:rsidRPr="00E224E9">
        <w:rPr>
          <w:rFonts w:ascii="Book Antiqua" w:hAnsi="標楷體"/>
          <w:color w:val="000000" w:themeColor="text1"/>
        </w:rPr>
        <w:t>欄－帳載金額</w:t>
      </w:r>
      <w:r w:rsidRPr="00E224E9">
        <w:rPr>
          <w:rFonts w:ascii="Book Antiqua" w:hAnsi="Book Antiqua"/>
          <w:color w:val="000000" w:themeColor="text1"/>
        </w:rPr>
        <w:t>(</w:t>
      </w:r>
      <w:r w:rsidRPr="00E224E9">
        <w:rPr>
          <w:rFonts w:ascii="Book Antiqua" w:hAnsi="標楷體"/>
          <w:color w:val="000000" w:themeColor="text1"/>
        </w:rPr>
        <w:t>主排序</w:t>
      </w:r>
      <w:r w:rsidRPr="00E224E9">
        <w:rPr>
          <w:rFonts w:ascii="Book Antiqua" w:hAnsi="Book Antiqua"/>
          <w:color w:val="000000" w:themeColor="text1"/>
        </w:rPr>
        <w:t>-</w:t>
      </w:r>
      <w:r w:rsidRPr="00E224E9">
        <w:rPr>
          <w:rFonts w:ascii="Book Antiqua" w:hAnsi="標楷體"/>
          <w:color w:val="000000" w:themeColor="text1"/>
        </w:rPr>
        <w:t>遞減</w:t>
      </w:r>
      <w:r w:rsidRPr="00E224E9">
        <w:rPr>
          <w:rFonts w:ascii="Book Antiqua" w:hAnsi="Book Antiqua"/>
          <w:color w:val="000000" w:themeColor="text1"/>
        </w:rPr>
        <w:t>)</w:t>
      </w:r>
      <w:r w:rsidRPr="00E224E9">
        <w:rPr>
          <w:rFonts w:ascii="Book Antiqua" w:hAnsi="Book Antiqua"/>
          <w:color w:val="000000" w:themeColor="text1"/>
        </w:rPr>
        <w:tab/>
      </w:r>
    </w:p>
    <w:p w14:paraId="33C888E5" w14:textId="77777777" w:rsidR="009942EA" w:rsidRPr="00E224E9" w:rsidRDefault="00C74DED"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hint="eastAsia"/>
          <w:color w:val="000000" w:themeColor="text1"/>
        </w:rPr>
        <w:t>係指保險業總帳及明細分類帳所紀錄之各資金運用項目的金額並以帳載金額大小做主排序－遞減</w:t>
      </w:r>
      <w:r w:rsidR="009942EA" w:rsidRPr="00E224E9">
        <w:rPr>
          <w:rFonts w:ascii="Book Antiqua" w:hAnsi="標楷體"/>
          <w:color w:val="000000" w:themeColor="text1"/>
        </w:rPr>
        <w:t>，國外投資以期末匯率換算為新台幣帳面</w:t>
      </w:r>
      <w:r w:rsidRPr="00E224E9">
        <w:rPr>
          <w:rFonts w:ascii="Book Antiqua" w:hAnsi="標楷體" w:hint="eastAsia"/>
          <w:color w:val="000000" w:themeColor="text1"/>
        </w:rPr>
        <w:t>價值</w:t>
      </w:r>
      <w:r w:rsidR="009942EA" w:rsidRPr="00E224E9">
        <w:rPr>
          <w:rFonts w:ascii="Book Antiqua" w:hAnsi="標楷體"/>
          <w:color w:val="000000" w:themeColor="text1"/>
        </w:rPr>
        <w:t>。</w:t>
      </w:r>
    </w:p>
    <w:p w14:paraId="2F388937"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4</w:t>
      </w:r>
      <w:r w:rsidRPr="00E224E9">
        <w:rPr>
          <w:rFonts w:ascii="Book Antiqua" w:hAnsi="標楷體"/>
          <w:color w:val="000000" w:themeColor="text1"/>
        </w:rPr>
        <w:t>欄－最近期成交日公允價值總金額</w:t>
      </w:r>
      <w:r w:rsidRPr="00E224E9">
        <w:rPr>
          <w:rFonts w:ascii="Book Antiqua" w:hAnsi="Book Antiqua"/>
          <w:color w:val="000000" w:themeColor="text1"/>
        </w:rPr>
        <w:tab/>
      </w:r>
    </w:p>
    <w:p w14:paraId="26F4DC86"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為債券之公允價值，國外投資以期末匯率換算為新台幣市值。</w:t>
      </w:r>
    </w:p>
    <w:p w14:paraId="1ABCB67B"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5</w:t>
      </w:r>
      <w:r w:rsidRPr="00E224E9">
        <w:rPr>
          <w:rFonts w:ascii="Book Antiqua" w:hAnsi="標楷體"/>
          <w:color w:val="000000" w:themeColor="text1"/>
        </w:rPr>
        <w:t>欄－未實現損益</w:t>
      </w:r>
      <w:r w:rsidR="007B70C9" w:rsidRPr="00E224E9">
        <w:rPr>
          <w:rFonts w:ascii="Book Antiqua" w:hAnsi="標楷體" w:hint="eastAsia"/>
          <w:color w:val="000000" w:themeColor="text1"/>
        </w:rPr>
        <w:t>-</w:t>
      </w:r>
      <w:r w:rsidR="007B70C9" w:rsidRPr="00E224E9">
        <w:rPr>
          <w:rFonts w:ascii="Book Antiqua" w:hAnsi="標楷體" w:hint="eastAsia"/>
          <w:color w:val="000000" w:themeColor="text1"/>
        </w:rPr>
        <w:t>非以公允價值評價者</w:t>
      </w:r>
      <w:r w:rsidRPr="00E224E9">
        <w:rPr>
          <w:rFonts w:ascii="Book Antiqua" w:hAnsi="Book Antiqua"/>
          <w:color w:val="000000" w:themeColor="text1"/>
        </w:rPr>
        <w:tab/>
      </w:r>
    </w:p>
    <w:p w14:paraId="54B15031" w14:textId="77777777" w:rsidR="009942EA" w:rsidRPr="00E224E9" w:rsidRDefault="009942EA" w:rsidP="009942EA">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標楷體"/>
          <w:color w:val="000000" w:themeColor="text1"/>
        </w:rPr>
        <w:t>為第</w:t>
      </w:r>
      <w:r w:rsidRPr="00E224E9">
        <w:rPr>
          <w:rFonts w:ascii="Book Antiqua" w:hAnsi="Book Antiqua"/>
          <w:color w:val="000000" w:themeColor="text1"/>
        </w:rPr>
        <w:t>2</w:t>
      </w:r>
      <w:r w:rsidR="009827A6" w:rsidRPr="00E224E9">
        <w:rPr>
          <w:rFonts w:ascii="Book Antiqua" w:hAnsi="Book Antiqua"/>
          <w:color w:val="000000" w:themeColor="text1"/>
        </w:rPr>
        <w:t>4</w:t>
      </w:r>
      <w:r w:rsidRPr="00E224E9">
        <w:rPr>
          <w:rFonts w:ascii="Book Antiqua" w:hAnsi="標楷體"/>
          <w:color w:val="000000" w:themeColor="text1"/>
        </w:rPr>
        <w:t>欄－最近期成交日公允價值總金額減去第</w:t>
      </w:r>
      <w:r w:rsidRPr="00E224E9">
        <w:rPr>
          <w:rFonts w:ascii="Book Antiqua" w:hAnsi="Book Antiqua"/>
          <w:color w:val="000000" w:themeColor="text1"/>
        </w:rPr>
        <w:t>2</w:t>
      </w:r>
      <w:r w:rsidR="009827A6" w:rsidRPr="00E224E9">
        <w:rPr>
          <w:rFonts w:ascii="Book Antiqua" w:hAnsi="Book Antiqua"/>
          <w:color w:val="000000" w:themeColor="text1"/>
        </w:rPr>
        <w:t>3</w:t>
      </w:r>
      <w:r w:rsidRPr="00E224E9">
        <w:rPr>
          <w:rFonts w:ascii="Book Antiqua" w:hAnsi="標楷體"/>
          <w:color w:val="000000" w:themeColor="text1"/>
        </w:rPr>
        <w:t>欄－帳載金額之金額。</w:t>
      </w:r>
    </w:p>
    <w:p w14:paraId="315E5AE4" w14:textId="77777777" w:rsidR="007B70C9" w:rsidRPr="00E224E9" w:rsidRDefault="007B70C9" w:rsidP="007B70C9">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6</w:t>
      </w:r>
      <w:r w:rsidRPr="00E224E9">
        <w:rPr>
          <w:rFonts w:ascii="Book Antiqua" w:hAnsi="標楷體"/>
          <w:color w:val="000000" w:themeColor="text1"/>
        </w:rPr>
        <w:t>欄－未實現損益</w:t>
      </w:r>
      <w:r w:rsidRPr="00E224E9">
        <w:rPr>
          <w:rFonts w:ascii="Book Antiqua" w:hAnsi="標楷體" w:hint="eastAsia"/>
          <w:color w:val="000000" w:themeColor="text1"/>
        </w:rPr>
        <w:t>-</w:t>
      </w:r>
      <w:r w:rsidRPr="00E224E9">
        <w:rPr>
          <w:rFonts w:ascii="Book Antiqua" w:hAnsi="標楷體" w:hint="eastAsia"/>
          <w:color w:val="000000" w:themeColor="text1"/>
        </w:rPr>
        <w:t>以公允價值評價者</w:t>
      </w:r>
      <w:r w:rsidRPr="00E224E9">
        <w:rPr>
          <w:rFonts w:ascii="Book Antiqua" w:hAnsi="Book Antiqua"/>
          <w:color w:val="000000" w:themeColor="text1"/>
        </w:rPr>
        <w:tab/>
      </w:r>
    </w:p>
    <w:p w14:paraId="0BD1B6AC" w14:textId="77777777" w:rsidR="007B70C9" w:rsidRPr="00E224E9" w:rsidRDefault="007A605F"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07598FCC"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7</w:t>
      </w:r>
      <w:r w:rsidRPr="00E224E9">
        <w:rPr>
          <w:rFonts w:ascii="Book Antiqua" w:hAnsi="標楷體"/>
          <w:color w:val="000000" w:themeColor="text1"/>
        </w:rPr>
        <w:t>欄－帳載金額占資金總額比率</w:t>
      </w:r>
      <w:r w:rsidRPr="00E224E9">
        <w:rPr>
          <w:rFonts w:ascii="Book Antiqua" w:hAnsi="Book Antiqua"/>
          <w:color w:val="000000" w:themeColor="text1"/>
        </w:rPr>
        <w:t>%</w:t>
      </w:r>
    </w:p>
    <w:p w14:paraId="11EE3824"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為第</w:t>
      </w:r>
      <w:r w:rsidRPr="00E224E9">
        <w:rPr>
          <w:rFonts w:ascii="Book Antiqua" w:hAnsi="Book Antiqua"/>
          <w:color w:val="000000" w:themeColor="text1"/>
        </w:rPr>
        <w:t>2</w:t>
      </w:r>
      <w:r w:rsidR="009827A6" w:rsidRPr="00E224E9">
        <w:rPr>
          <w:rFonts w:ascii="Book Antiqua" w:hAnsi="Book Antiqua"/>
          <w:color w:val="000000" w:themeColor="text1"/>
        </w:rPr>
        <w:t>3</w:t>
      </w:r>
      <w:r w:rsidRPr="00E224E9">
        <w:rPr>
          <w:rFonts w:ascii="Book Antiqua" w:hAnsi="標楷體"/>
          <w:color w:val="000000" w:themeColor="text1"/>
        </w:rPr>
        <w:t>欄－帳載金額之金額除以</w:t>
      </w:r>
      <w:r w:rsidR="001D451B" w:rsidRPr="00E224E9">
        <w:rPr>
          <w:rFonts w:ascii="Book Antiqua" w:hAnsi="標楷體" w:hint="eastAsia"/>
          <w:color w:val="000000" w:themeColor="text1"/>
        </w:rPr>
        <w:t>「</w:t>
      </w:r>
      <w:r w:rsidRPr="00E224E9">
        <w:rPr>
          <w:rFonts w:ascii="Book Antiqua" w:hAnsi="標楷體"/>
          <w:color w:val="000000" w:themeColor="text1"/>
        </w:rPr>
        <w:t>表</w:t>
      </w:r>
      <w:r w:rsidRPr="00E224E9">
        <w:rPr>
          <w:rFonts w:ascii="Book Antiqua" w:hAnsi="Book Antiqua"/>
          <w:color w:val="000000" w:themeColor="text1"/>
        </w:rPr>
        <w:t>05</w:t>
      </w:r>
      <w:r w:rsidR="00642662" w:rsidRPr="00E224E9">
        <w:rPr>
          <w:rFonts w:ascii="Book Antiqua" w:hAnsi="Book Antiqua" w:hint="eastAsia"/>
          <w:color w:val="000000" w:themeColor="text1"/>
        </w:rPr>
        <w:t>-1</w:t>
      </w:r>
      <w:r w:rsidR="00642662" w:rsidRPr="00E224E9">
        <w:rPr>
          <w:rFonts w:ascii="Book Antiqua" w:hAnsi="Book Antiqua" w:hint="eastAsia"/>
          <w:color w:val="000000" w:themeColor="text1"/>
        </w:rPr>
        <w:t>：</w:t>
      </w:r>
      <w:r w:rsidRPr="00E224E9">
        <w:rPr>
          <w:rFonts w:ascii="Book Antiqua" w:hAnsi="標楷體"/>
          <w:color w:val="000000" w:themeColor="text1"/>
        </w:rPr>
        <w:t>資金運用表</w:t>
      </w:r>
      <w:r w:rsidR="001D451B" w:rsidRPr="00E224E9">
        <w:rPr>
          <w:rFonts w:ascii="Book Antiqua" w:hAnsi="標楷體" w:hint="eastAsia"/>
          <w:color w:val="000000" w:themeColor="text1"/>
        </w:rPr>
        <w:t>」</w:t>
      </w: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欄第</w:t>
      </w:r>
      <w:r w:rsidRPr="00E224E9">
        <w:rPr>
          <w:rFonts w:ascii="Book Antiqua" w:hAnsi="Book Antiqua"/>
          <w:color w:val="000000" w:themeColor="text1"/>
        </w:rPr>
        <w:t>2</w:t>
      </w:r>
      <w:r w:rsidR="009827A6" w:rsidRPr="00E224E9">
        <w:rPr>
          <w:rFonts w:ascii="Book Antiqua" w:hAnsi="Book Antiqua"/>
          <w:color w:val="000000" w:themeColor="text1"/>
        </w:rPr>
        <w:t>5</w:t>
      </w:r>
      <w:r w:rsidR="009827A6" w:rsidRPr="00E224E9">
        <w:rPr>
          <w:rFonts w:ascii="Book Antiqua" w:hAnsi="Book Antiqua" w:hint="eastAsia"/>
          <w:color w:val="000000" w:themeColor="text1"/>
        </w:rPr>
        <w:t>2</w:t>
      </w:r>
      <w:r w:rsidRPr="00E224E9">
        <w:rPr>
          <w:rFonts w:ascii="Book Antiqua" w:hAnsi="標楷體"/>
          <w:color w:val="000000" w:themeColor="text1"/>
        </w:rPr>
        <w:t>列資金來源總計。</w:t>
      </w:r>
    </w:p>
    <w:p w14:paraId="7AEC64F0"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8</w:t>
      </w:r>
      <w:r w:rsidRPr="00E224E9">
        <w:rPr>
          <w:rFonts w:ascii="Book Antiqua" w:hAnsi="標楷體"/>
          <w:color w:val="000000" w:themeColor="text1"/>
        </w:rPr>
        <w:t>欄－保管情形</w:t>
      </w:r>
    </w:p>
    <w:p w14:paraId="59E93D4D" w14:textId="77777777" w:rsidR="009942EA" w:rsidRPr="00E224E9" w:rsidRDefault="009942EA" w:rsidP="009942EA">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標楷體"/>
          <w:color w:val="000000" w:themeColor="text1"/>
        </w:rPr>
        <w:t>保管情形請填保管機構名稱及帳號</w:t>
      </w:r>
      <w:r w:rsidRPr="00E224E9">
        <w:rPr>
          <w:rFonts w:ascii="Book Antiqua" w:hAnsi="Book Antiqua"/>
          <w:color w:val="000000" w:themeColor="text1"/>
        </w:rPr>
        <w:t>,</w:t>
      </w:r>
      <w:r w:rsidRPr="00E224E9">
        <w:rPr>
          <w:rFonts w:ascii="Book Antiqua" w:hAnsi="標楷體"/>
          <w:color w:val="000000" w:themeColor="text1"/>
        </w:rPr>
        <w:t>若屬集保帳戶請填集保。</w:t>
      </w:r>
    </w:p>
    <w:p w14:paraId="63E1A563"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9</w:t>
      </w:r>
      <w:r w:rsidRPr="00E224E9">
        <w:rPr>
          <w:rFonts w:ascii="Book Antiqua" w:hAnsi="Book Antiqua"/>
          <w:color w:val="000000" w:themeColor="text1"/>
        </w:rPr>
        <w:t>欄－取得成本</w:t>
      </w:r>
    </w:p>
    <w:p w14:paraId="6292AED0"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Book Antiqua"/>
          <w:color w:val="000000" w:themeColor="text1"/>
        </w:rPr>
        <w:t>為購買標的之原始取得成本。</w:t>
      </w:r>
    </w:p>
    <w:p w14:paraId="30495853"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00E1748B" w:rsidRPr="00E224E9">
        <w:rPr>
          <w:rFonts w:ascii="Book Antiqua" w:hAnsi="Book Antiqua" w:hint="eastAsia"/>
          <w:color w:val="000000" w:themeColor="text1"/>
        </w:rPr>
        <w:t>30</w:t>
      </w:r>
      <w:r w:rsidRPr="00E224E9">
        <w:rPr>
          <w:rFonts w:ascii="Book Antiqua" w:hAnsi="Book Antiqua"/>
          <w:color w:val="000000" w:themeColor="text1"/>
        </w:rPr>
        <w:t>欄－半年收盤平均價</w:t>
      </w:r>
    </w:p>
    <w:p w14:paraId="08CE3E2C"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Book Antiqua"/>
          <w:color w:val="000000" w:themeColor="text1"/>
        </w:rPr>
        <w:t>係指依資產負債表日前半年每日收盤價計算之算術平均價格。</w:t>
      </w:r>
    </w:p>
    <w:p w14:paraId="6B33E58A"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00642662" w:rsidRPr="00E224E9">
        <w:rPr>
          <w:rFonts w:ascii="Book Antiqua" w:hAnsi="Book Antiqua" w:hint="eastAsia"/>
          <w:color w:val="000000" w:themeColor="text1"/>
        </w:rPr>
        <w:t>3</w:t>
      </w:r>
      <w:r w:rsidR="00E1748B" w:rsidRPr="00E224E9">
        <w:rPr>
          <w:rFonts w:ascii="Book Antiqua" w:hAnsi="Book Antiqua" w:hint="eastAsia"/>
          <w:color w:val="000000" w:themeColor="text1"/>
        </w:rPr>
        <w:t>1</w:t>
      </w:r>
      <w:r w:rsidRPr="00E224E9">
        <w:rPr>
          <w:rFonts w:ascii="Book Antiqua" w:hAnsi="Book Antiqua"/>
          <w:color w:val="000000" w:themeColor="text1"/>
        </w:rPr>
        <w:t>欄－備註</w:t>
      </w:r>
    </w:p>
    <w:p w14:paraId="40F9CAE1"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Book Antiqua"/>
          <w:color w:val="000000" w:themeColor="text1"/>
        </w:rPr>
        <w:t>若有其他需要補充說明之事項，請填列於此欄。附條件交易註明發行機構為交易對手之資料。</w:t>
      </w:r>
    </w:p>
    <w:p w14:paraId="49E8FB5F" w14:textId="77777777" w:rsidR="009942EA" w:rsidRPr="00E224E9" w:rsidRDefault="009942EA" w:rsidP="009942EA">
      <w:pPr>
        <w:spacing w:line="440" w:lineRule="exact"/>
        <w:ind w:leftChars="225" w:left="585"/>
        <w:rPr>
          <w:rFonts w:ascii="Book Antiqua" w:hAnsi="Book Antiqua"/>
          <w:color w:val="000000" w:themeColor="text1"/>
        </w:rPr>
      </w:pPr>
    </w:p>
    <w:p w14:paraId="0A0038FE"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p>
    <w:p w14:paraId="459714B5"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50023294"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7F5B34E6"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6909534A" w14:textId="77777777" w:rsidR="00C61AE1" w:rsidRPr="00E224E9" w:rsidRDefault="009942EA" w:rsidP="00C61AE1">
      <w:pPr>
        <w:pStyle w:val="1"/>
        <w:spacing w:after="120" w:line="240" w:lineRule="auto"/>
        <w:rPr>
          <w:rFonts w:ascii="Book Antiqua"/>
          <w:color w:val="000000" w:themeColor="text1"/>
        </w:rPr>
      </w:pPr>
      <w:r w:rsidRPr="00E224E9">
        <w:rPr>
          <w:rFonts w:ascii="Book Antiqua" w:hAnsi="Book Antiqua"/>
          <w:color w:val="000000" w:themeColor="text1"/>
        </w:rPr>
        <w:br w:type="page"/>
      </w:r>
      <w:bookmarkStart w:id="27" w:name="_Toc468198721"/>
      <w:bookmarkStart w:id="28" w:name="_Toc200468517"/>
      <w:bookmarkStart w:id="29" w:name="_Toc219109731"/>
      <w:bookmarkStart w:id="30" w:name="_Toc219109803"/>
      <w:bookmarkStart w:id="31" w:name="_Toc221524772"/>
      <w:bookmarkStart w:id="32" w:name="_Toc296928217"/>
      <w:bookmarkStart w:id="33" w:name="_Toc437450248"/>
      <w:r w:rsidR="00C61AE1" w:rsidRPr="00E224E9">
        <w:rPr>
          <w:rFonts w:ascii="Book Antiqua"/>
          <w:color w:val="000000" w:themeColor="text1"/>
        </w:rPr>
        <w:lastRenderedPageBreak/>
        <w:t>表</w:t>
      </w:r>
      <w:r w:rsidR="00C61AE1" w:rsidRPr="00E224E9">
        <w:rPr>
          <w:rFonts w:ascii="Book Antiqua"/>
          <w:color w:val="000000" w:themeColor="text1"/>
        </w:rPr>
        <w:t>09-2</w:t>
      </w:r>
      <w:r w:rsidR="00C61AE1" w:rsidRPr="00E224E9">
        <w:rPr>
          <w:rFonts w:ascii="Book Antiqua"/>
          <w:color w:val="000000" w:themeColor="text1"/>
        </w:rPr>
        <w:t>：金融債券及其他經主管機關核准購買之有價證券餘額明細表</w:t>
      </w:r>
      <w:r w:rsidR="00C61AE1" w:rsidRPr="00E224E9">
        <w:rPr>
          <w:rFonts w:ascii="Book Antiqua"/>
          <w:color w:val="000000" w:themeColor="text1"/>
        </w:rPr>
        <w:t>(</w:t>
      </w:r>
      <w:r w:rsidR="00C61AE1" w:rsidRPr="00E224E9">
        <w:rPr>
          <w:rFonts w:ascii="Book Antiqua"/>
          <w:color w:val="000000" w:themeColor="text1"/>
        </w:rPr>
        <w:t>總計</w:t>
      </w:r>
      <w:r w:rsidR="00C61AE1" w:rsidRPr="00E224E9">
        <w:rPr>
          <w:rFonts w:ascii="Book Antiqua"/>
          <w:color w:val="000000" w:themeColor="text1"/>
        </w:rPr>
        <w:t>)</w:t>
      </w:r>
      <w:bookmarkEnd w:id="27"/>
      <w:bookmarkEnd w:id="28"/>
    </w:p>
    <w:p w14:paraId="25CD21EA" w14:textId="77777777" w:rsidR="00C61AE1" w:rsidRPr="00E224E9" w:rsidRDefault="00C61AE1" w:rsidP="00C61AE1">
      <w:pPr>
        <w:spacing w:line="440" w:lineRule="exact"/>
        <w:ind w:firstLineChars="200" w:firstLine="520"/>
        <w:jc w:val="both"/>
        <w:rPr>
          <w:rFonts w:ascii="Book Antiqua" w:hAnsi="Book Antiqua"/>
          <w:color w:val="000000" w:themeColor="text1"/>
        </w:rPr>
      </w:pPr>
      <w:r w:rsidRPr="00E224E9">
        <w:rPr>
          <w:rFonts w:ascii="Book Antiqua" w:hAnsi="標楷體"/>
          <w:color w:val="000000" w:themeColor="text1"/>
        </w:rPr>
        <w:t>本報表的目的在於統計保險業金融債券及其他經主管機關核准贖買之有價證券使用及配置情形。</w:t>
      </w:r>
    </w:p>
    <w:p w14:paraId="499AD44A" w14:textId="77777777" w:rsidR="00C61AE1" w:rsidRPr="00E224E9" w:rsidRDefault="00C61AE1" w:rsidP="00C61AE1">
      <w:pPr>
        <w:spacing w:line="440" w:lineRule="exact"/>
        <w:ind w:firstLineChars="207" w:firstLine="538"/>
        <w:jc w:val="both"/>
        <w:rPr>
          <w:rFonts w:ascii="Book Antiqua" w:hAnsi="Book Antiqua"/>
          <w:color w:val="000000" w:themeColor="text1"/>
        </w:rPr>
      </w:pPr>
      <w:r w:rsidRPr="00E224E9">
        <w:rPr>
          <w:rFonts w:ascii="Book Antiqua" w:hAnsi="標楷體"/>
          <w:color w:val="000000" w:themeColor="text1"/>
        </w:rPr>
        <w:t>各項之欄位說明如下：</w:t>
      </w:r>
    </w:p>
    <w:p w14:paraId="53CF0342" w14:textId="77777777" w:rsidR="00C61AE1" w:rsidRPr="00E224E9" w:rsidRDefault="00C61AE1" w:rsidP="00C61AE1">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Pr="00E224E9">
        <w:rPr>
          <w:rFonts w:ascii="Book Antiqua" w:hAnsi="Book Antiqua" w:hint="eastAsia"/>
          <w:color w:val="000000" w:themeColor="text1"/>
        </w:rPr>
        <w:t>4</w:t>
      </w:r>
      <w:r w:rsidRPr="00E224E9">
        <w:rPr>
          <w:rFonts w:ascii="Book Antiqua" w:hAnsi="標楷體"/>
          <w:color w:val="000000" w:themeColor="text1"/>
        </w:rPr>
        <w:t>欄－備註</w:t>
      </w:r>
    </w:p>
    <w:p w14:paraId="47BCD5CA" w14:textId="77777777" w:rsidR="00C61AE1" w:rsidRPr="00E224E9" w:rsidRDefault="00C61AE1" w:rsidP="00C61AE1">
      <w:pPr>
        <w:ind w:firstLineChars="200" w:firstLine="520"/>
        <w:rPr>
          <w:rFonts w:ascii="Book Antiqua" w:hAnsi="Book Antiqua"/>
          <w:color w:val="000000" w:themeColor="text1"/>
        </w:rPr>
      </w:pPr>
      <w:r w:rsidRPr="00E224E9">
        <w:rPr>
          <w:rFonts w:ascii="Book Antiqua" w:hAnsi="標楷體"/>
          <w:color w:val="000000" w:themeColor="text1"/>
        </w:rPr>
        <w:t>若有其他需要補充說明之事項，請填列於此欄。</w:t>
      </w:r>
    </w:p>
    <w:p w14:paraId="326285EB" w14:textId="77777777" w:rsidR="00C61AE1" w:rsidRPr="00E224E9" w:rsidRDefault="00C61AE1" w:rsidP="00C61AE1">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1~1</w:t>
      </w:r>
      <w:r w:rsidRPr="00E224E9">
        <w:rPr>
          <w:rFonts w:ascii="Book Antiqua" w:hAnsi="Book Antiqua" w:hint="eastAsia"/>
          <w:color w:val="000000" w:themeColor="text1"/>
        </w:rPr>
        <w:t>5</w:t>
      </w:r>
      <w:r w:rsidRPr="00E224E9">
        <w:rPr>
          <w:rFonts w:ascii="Book Antiqua" w:hAnsi="標楷體"/>
          <w:color w:val="000000" w:themeColor="text1"/>
        </w:rPr>
        <w:t>列－總計</w:t>
      </w:r>
      <w:r w:rsidRPr="00E224E9">
        <w:rPr>
          <w:rFonts w:ascii="Book Antiqua" w:hAnsi="Book Antiqua"/>
          <w:color w:val="000000" w:themeColor="text1"/>
        </w:rPr>
        <w:t>(</w:t>
      </w:r>
      <w:r w:rsidRPr="00E224E9">
        <w:rPr>
          <w:rFonts w:ascii="Book Antiqua" w:hAnsi="標楷體"/>
          <w:color w:val="000000" w:themeColor="text1"/>
        </w:rPr>
        <w:t>種類</w:t>
      </w:r>
      <w:r w:rsidRPr="00E224E9">
        <w:rPr>
          <w:rFonts w:ascii="Book Antiqua" w:hAnsi="Book Antiqua"/>
          <w:color w:val="000000" w:themeColor="text1"/>
        </w:rPr>
        <w:t>)</w:t>
      </w:r>
      <w:r w:rsidRPr="00E224E9">
        <w:rPr>
          <w:rFonts w:ascii="Book Antiqua" w:hAnsi="Book Antiqua"/>
          <w:color w:val="000000" w:themeColor="text1"/>
        </w:rPr>
        <w:tab/>
      </w:r>
    </w:p>
    <w:p w14:paraId="08B8528E" w14:textId="77777777" w:rsidR="00C61AE1" w:rsidRPr="00E224E9" w:rsidRDefault="00C61AE1" w:rsidP="00C61AE1">
      <w:pPr>
        <w:ind w:firstLineChars="200" w:firstLine="520"/>
        <w:rPr>
          <w:rFonts w:ascii="Book Antiqua" w:hAnsi="Book Antiqua"/>
          <w:color w:val="000000" w:themeColor="text1"/>
        </w:rPr>
      </w:pPr>
      <w:r w:rsidRPr="00E224E9">
        <w:rPr>
          <w:rFonts w:ascii="Book Antiqua" w:hAnsi="標楷體"/>
          <w:color w:val="000000" w:themeColor="text1"/>
        </w:rPr>
        <w:t>分別依表</w:t>
      </w:r>
      <w:r w:rsidRPr="00E224E9">
        <w:rPr>
          <w:rFonts w:ascii="Book Antiqua" w:hAnsi="標楷體" w:hint="eastAsia"/>
          <w:color w:val="000000" w:themeColor="text1"/>
        </w:rPr>
        <w:t>0</w:t>
      </w:r>
      <w:r w:rsidRPr="00E224E9">
        <w:rPr>
          <w:rFonts w:ascii="Book Antiqua" w:hAnsi="Book Antiqua"/>
          <w:color w:val="000000" w:themeColor="text1"/>
        </w:rPr>
        <w:t>9-1</w:t>
      </w: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欄－證券種類及第</w:t>
      </w:r>
      <w:r w:rsidR="00DB2D93" w:rsidRPr="00E224E9">
        <w:rPr>
          <w:rFonts w:ascii="Book Antiqua" w:hAnsi="Book Antiqua"/>
          <w:color w:val="000000" w:themeColor="text1"/>
        </w:rPr>
        <w:t>1</w:t>
      </w:r>
      <w:r w:rsidR="00DB2D93" w:rsidRPr="00E224E9">
        <w:rPr>
          <w:rFonts w:ascii="Book Antiqua" w:hAnsi="Book Antiqua" w:hint="eastAsia"/>
          <w:color w:val="000000" w:themeColor="text1"/>
        </w:rPr>
        <w:t>8</w:t>
      </w:r>
      <w:r w:rsidRPr="00E224E9">
        <w:rPr>
          <w:rFonts w:ascii="Book Antiqua" w:hAnsi="標楷體"/>
          <w:color w:val="000000" w:themeColor="text1"/>
        </w:rPr>
        <w:t>欄－持有資產幣別篩選之合計數。</w:t>
      </w:r>
    </w:p>
    <w:p w14:paraId="2243BE52" w14:textId="77777777" w:rsidR="00C61AE1" w:rsidRPr="00E224E9" w:rsidRDefault="00C61AE1" w:rsidP="00C61AE1">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Pr="00E224E9">
        <w:rPr>
          <w:rFonts w:ascii="Book Antiqua" w:hAnsi="Book Antiqua" w:hint="eastAsia"/>
          <w:color w:val="000000" w:themeColor="text1"/>
        </w:rPr>
        <w:t>6</w:t>
      </w:r>
      <w:r w:rsidRPr="00E224E9">
        <w:rPr>
          <w:rFonts w:ascii="Book Antiqua" w:hAnsi="Book Antiqua"/>
          <w:color w:val="000000" w:themeColor="text1"/>
        </w:rPr>
        <w:t>~1</w:t>
      </w:r>
      <w:r w:rsidRPr="00E224E9">
        <w:rPr>
          <w:rFonts w:ascii="Book Antiqua" w:hAnsi="Book Antiqua" w:hint="eastAsia"/>
          <w:color w:val="000000" w:themeColor="text1"/>
        </w:rPr>
        <w:t>7</w:t>
      </w:r>
      <w:r w:rsidRPr="00E224E9">
        <w:rPr>
          <w:rFonts w:ascii="Book Antiqua" w:hAnsi="標楷體"/>
          <w:color w:val="000000" w:themeColor="text1"/>
        </w:rPr>
        <w:t>列－總計</w:t>
      </w:r>
      <w:r w:rsidRPr="00E224E9">
        <w:rPr>
          <w:rFonts w:ascii="Book Antiqua" w:hAnsi="Book Antiqua"/>
          <w:color w:val="000000" w:themeColor="text1"/>
        </w:rPr>
        <w:t>(</w:t>
      </w:r>
      <w:r w:rsidRPr="00E224E9">
        <w:rPr>
          <w:rFonts w:ascii="Book Antiqua" w:hAnsi="標楷體"/>
          <w:color w:val="000000" w:themeColor="text1"/>
        </w:rPr>
        <w:t>交易對象</w:t>
      </w:r>
      <w:r w:rsidRPr="00E224E9">
        <w:rPr>
          <w:rFonts w:ascii="Book Antiqua" w:hAnsi="Book Antiqua"/>
          <w:color w:val="000000" w:themeColor="text1"/>
        </w:rPr>
        <w:t>)</w:t>
      </w:r>
      <w:r w:rsidRPr="00E224E9">
        <w:rPr>
          <w:rFonts w:ascii="Book Antiqua" w:hAnsi="Book Antiqua"/>
          <w:color w:val="000000" w:themeColor="text1"/>
        </w:rPr>
        <w:tab/>
      </w:r>
    </w:p>
    <w:p w14:paraId="1BE91420" w14:textId="77777777" w:rsidR="00C61AE1" w:rsidRPr="00E224E9" w:rsidRDefault="00C61AE1" w:rsidP="00C61AE1">
      <w:pPr>
        <w:ind w:firstLineChars="200" w:firstLine="520"/>
        <w:rPr>
          <w:rFonts w:ascii="Book Antiqua" w:hAnsi="標楷體"/>
          <w:color w:val="000000" w:themeColor="text1"/>
        </w:rPr>
      </w:pPr>
      <w:r w:rsidRPr="00E224E9">
        <w:rPr>
          <w:rFonts w:ascii="Book Antiqua" w:hAnsi="標楷體"/>
          <w:color w:val="000000" w:themeColor="text1"/>
        </w:rPr>
        <w:t>依表</w:t>
      </w:r>
      <w:r w:rsidRPr="00E224E9">
        <w:rPr>
          <w:rFonts w:ascii="Book Antiqua" w:hAnsi="標楷體" w:hint="eastAsia"/>
          <w:color w:val="000000" w:themeColor="text1"/>
        </w:rPr>
        <w:t>0</w:t>
      </w:r>
      <w:r w:rsidRPr="00E224E9">
        <w:rPr>
          <w:rFonts w:ascii="Book Antiqua" w:hAnsi="Book Antiqua"/>
          <w:color w:val="000000" w:themeColor="text1"/>
        </w:rPr>
        <w:t>9-1</w:t>
      </w:r>
      <w:r w:rsidRPr="00E224E9">
        <w:rPr>
          <w:rFonts w:ascii="Book Antiqua" w:hAnsi="標楷體"/>
          <w:color w:val="000000" w:themeColor="text1"/>
        </w:rPr>
        <w:t>第</w:t>
      </w:r>
      <w:r w:rsidR="00DB2D93" w:rsidRPr="00E224E9">
        <w:rPr>
          <w:rFonts w:ascii="Book Antiqua" w:hAnsi="Book Antiqua"/>
          <w:color w:val="000000" w:themeColor="text1"/>
        </w:rPr>
        <w:t>1</w:t>
      </w:r>
      <w:r w:rsidR="00DB2D93" w:rsidRPr="00E224E9">
        <w:rPr>
          <w:rFonts w:ascii="Book Antiqua" w:hAnsi="Book Antiqua" w:hint="eastAsia"/>
          <w:color w:val="000000" w:themeColor="text1"/>
        </w:rPr>
        <w:t>5</w:t>
      </w:r>
      <w:r w:rsidRPr="00E224E9">
        <w:rPr>
          <w:rFonts w:ascii="Book Antiqua" w:hAnsi="標楷體"/>
          <w:color w:val="000000" w:themeColor="text1"/>
        </w:rPr>
        <w:t>欄－是否為關係人篩選之合計數。</w:t>
      </w:r>
    </w:p>
    <w:p w14:paraId="57B5DC47" w14:textId="77777777" w:rsidR="00DB2D93" w:rsidRPr="00E224E9" w:rsidRDefault="00DB2D93" w:rsidP="00DB2D93">
      <w:pPr>
        <w:tabs>
          <w:tab w:val="left" w:pos="7093"/>
        </w:tabs>
        <w:spacing w:line="440" w:lineRule="exact"/>
        <w:ind w:left="975" w:hangingChars="375" w:hanging="975"/>
        <w:jc w:val="both"/>
        <w:rPr>
          <w:rFonts w:ascii="Book Antiqua" w:hAnsi="標楷體"/>
          <w:color w:val="000000" w:themeColor="text1"/>
        </w:rPr>
      </w:pPr>
      <w:r w:rsidRPr="00E224E9">
        <w:rPr>
          <w:rFonts w:ascii="Book Antiqua" w:hAnsi="標楷體" w:hint="eastAsia"/>
          <w:color w:val="000000" w:themeColor="text1"/>
        </w:rPr>
        <w:t>第</w:t>
      </w:r>
      <w:r w:rsidRPr="00E224E9">
        <w:rPr>
          <w:rFonts w:ascii="Book Antiqua" w:hAnsi="標楷體" w:hint="eastAsia"/>
          <w:color w:val="000000" w:themeColor="text1"/>
        </w:rPr>
        <w:t>18~22</w:t>
      </w:r>
      <w:r w:rsidRPr="00E224E9">
        <w:rPr>
          <w:rFonts w:ascii="Book Antiqua" w:hAnsi="標楷體" w:hint="eastAsia"/>
          <w:color w:val="000000" w:themeColor="text1"/>
        </w:rPr>
        <w:t>列－總計</w:t>
      </w:r>
      <w:r w:rsidRPr="00E224E9">
        <w:rPr>
          <w:rFonts w:ascii="Book Antiqua" w:hAnsi="標楷體" w:hint="eastAsia"/>
          <w:color w:val="000000" w:themeColor="text1"/>
        </w:rPr>
        <w:t>(</w:t>
      </w:r>
      <w:r w:rsidRPr="00E224E9">
        <w:rPr>
          <w:rFonts w:ascii="Book Antiqua" w:hAnsi="標楷體" w:hint="eastAsia"/>
          <w:color w:val="000000" w:themeColor="text1"/>
        </w:rPr>
        <w:t>具資本性質債券</w:t>
      </w:r>
      <w:r w:rsidRPr="00E224E9">
        <w:rPr>
          <w:rFonts w:ascii="Book Antiqua" w:hAnsi="標楷體" w:hint="eastAsia"/>
          <w:color w:val="000000" w:themeColor="text1"/>
        </w:rPr>
        <w:t>)</w:t>
      </w:r>
    </w:p>
    <w:p w14:paraId="76D062A9" w14:textId="77777777" w:rsidR="00DB2D93" w:rsidRPr="00E224E9" w:rsidRDefault="00DB2D93" w:rsidP="00DB2D93">
      <w:pPr>
        <w:ind w:leftChars="218" w:left="567"/>
        <w:rPr>
          <w:rFonts w:ascii="Book Antiqua" w:hAnsi="標楷體"/>
          <w:color w:val="000000" w:themeColor="text1"/>
        </w:rPr>
      </w:pPr>
      <w:r w:rsidRPr="00E224E9">
        <w:rPr>
          <w:rFonts w:ascii="Book Antiqua" w:hAnsi="標楷體" w:hint="eastAsia"/>
          <w:color w:val="000000" w:themeColor="text1"/>
        </w:rPr>
        <w:t>第</w:t>
      </w:r>
      <w:r w:rsidR="00B05D73" w:rsidRPr="00E224E9">
        <w:rPr>
          <w:rFonts w:ascii="Book Antiqua" w:hAnsi="標楷體" w:hint="eastAsia"/>
          <w:color w:val="000000" w:themeColor="text1"/>
        </w:rPr>
        <w:t>22</w:t>
      </w:r>
      <w:r w:rsidRPr="00E224E9">
        <w:rPr>
          <w:rFonts w:ascii="Book Antiqua" w:hAnsi="標楷體" w:hint="eastAsia"/>
          <w:color w:val="000000" w:themeColor="text1"/>
        </w:rPr>
        <w:t>列</w:t>
      </w:r>
      <w:r w:rsidRPr="00E224E9">
        <w:rPr>
          <w:rFonts w:ascii="Book Antiqua" w:hAnsi="標楷體" w:hint="eastAsia"/>
          <w:color w:val="000000" w:themeColor="text1"/>
        </w:rPr>
        <w:t>-</w:t>
      </w:r>
      <w:r w:rsidRPr="00E224E9">
        <w:rPr>
          <w:rFonts w:ascii="Book Antiqua" w:hAnsi="標楷體" w:hint="eastAsia"/>
          <w:color w:val="000000" w:themeColor="text1"/>
        </w:rPr>
        <w:t>小計為第</w:t>
      </w:r>
      <w:r w:rsidR="00B05D73" w:rsidRPr="00E224E9">
        <w:rPr>
          <w:rFonts w:ascii="Book Antiqua" w:hAnsi="標楷體" w:hint="eastAsia"/>
          <w:color w:val="000000" w:themeColor="text1"/>
        </w:rPr>
        <w:t>18</w:t>
      </w:r>
      <w:r w:rsidRPr="00E224E9">
        <w:rPr>
          <w:rFonts w:ascii="Book Antiqua" w:hAnsi="標楷體" w:hint="eastAsia"/>
          <w:color w:val="000000" w:themeColor="text1"/>
        </w:rPr>
        <w:t>列關係人與第</w:t>
      </w:r>
      <w:r w:rsidR="00B05D73" w:rsidRPr="00E224E9">
        <w:rPr>
          <w:rFonts w:ascii="Book Antiqua" w:hAnsi="標楷體" w:hint="eastAsia"/>
          <w:color w:val="000000" w:themeColor="text1"/>
        </w:rPr>
        <w:t>21</w:t>
      </w:r>
      <w:r w:rsidRPr="00E224E9">
        <w:rPr>
          <w:rFonts w:ascii="Book Antiqua" w:hAnsi="標楷體" w:hint="eastAsia"/>
          <w:color w:val="000000" w:themeColor="text1"/>
        </w:rPr>
        <w:t>列非關係人之合計數，亦等於表</w:t>
      </w:r>
      <w:r w:rsidR="00B05D73" w:rsidRPr="00E224E9">
        <w:rPr>
          <w:rFonts w:ascii="Book Antiqua" w:hAnsi="標楷體" w:hint="eastAsia"/>
          <w:color w:val="000000" w:themeColor="text1"/>
        </w:rPr>
        <w:t>09</w:t>
      </w:r>
      <w:r w:rsidRPr="00E224E9">
        <w:rPr>
          <w:rFonts w:ascii="Book Antiqua" w:hAnsi="標楷體" w:hint="eastAsia"/>
          <w:color w:val="000000" w:themeColor="text1"/>
        </w:rPr>
        <w:t>-1</w:t>
      </w:r>
      <w:r w:rsidRPr="00E224E9">
        <w:rPr>
          <w:rFonts w:ascii="Book Antiqua" w:hAnsi="標楷體" w:hint="eastAsia"/>
          <w:color w:val="000000" w:themeColor="text1"/>
        </w:rPr>
        <w:t>第</w:t>
      </w:r>
      <w:r w:rsidRPr="00E224E9">
        <w:rPr>
          <w:rFonts w:ascii="Book Antiqua" w:hAnsi="標楷體" w:hint="eastAsia"/>
          <w:color w:val="000000" w:themeColor="text1"/>
        </w:rPr>
        <w:t>(</w:t>
      </w:r>
      <w:r w:rsidR="00B05D73" w:rsidRPr="00E224E9">
        <w:rPr>
          <w:rFonts w:ascii="Book Antiqua" w:hAnsi="標楷體" w:hint="eastAsia"/>
          <w:color w:val="000000" w:themeColor="text1"/>
        </w:rPr>
        <w:t>8</w:t>
      </w:r>
      <w:r w:rsidRPr="00E224E9">
        <w:rPr>
          <w:rFonts w:ascii="Book Antiqua" w:hAnsi="標楷體" w:hint="eastAsia"/>
          <w:color w:val="000000" w:themeColor="text1"/>
        </w:rPr>
        <w:t>)</w:t>
      </w:r>
      <w:r w:rsidRPr="00E224E9">
        <w:rPr>
          <w:rFonts w:ascii="Book Antiqua" w:hAnsi="標楷體" w:hint="eastAsia"/>
          <w:color w:val="000000" w:themeColor="text1"/>
        </w:rPr>
        <w:t>欄－是否為具資本性質債券，填列為</w:t>
      </w:r>
      <w:r w:rsidRPr="00E224E9">
        <w:rPr>
          <w:rFonts w:ascii="Book Antiqua" w:hAnsi="標楷體" w:hint="eastAsia"/>
          <w:color w:val="000000" w:themeColor="text1"/>
        </w:rPr>
        <w:t>"Y"</w:t>
      </w:r>
      <w:r w:rsidRPr="00E224E9">
        <w:rPr>
          <w:rFonts w:ascii="Book Antiqua" w:hAnsi="標楷體" w:hint="eastAsia"/>
          <w:color w:val="000000" w:themeColor="text1"/>
        </w:rPr>
        <w:t>者之期末帳載金額合計數。</w:t>
      </w:r>
    </w:p>
    <w:p w14:paraId="3365E98D" w14:textId="77777777" w:rsidR="00C61AE1" w:rsidRPr="00E224E9" w:rsidRDefault="00C61AE1" w:rsidP="00C61AE1">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2</w:t>
      </w:r>
      <w:r w:rsidR="00DB2D93" w:rsidRPr="00E224E9">
        <w:rPr>
          <w:rFonts w:ascii="Book Antiqua" w:hAnsi="Book Antiqua" w:hint="eastAsia"/>
          <w:color w:val="000000" w:themeColor="text1"/>
        </w:rPr>
        <w:t>3</w:t>
      </w:r>
      <w:r w:rsidRPr="00E224E9">
        <w:rPr>
          <w:rFonts w:ascii="Book Antiqua" w:hAnsi="標楷體"/>
          <w:color w:val="000000" w:themeColor="text1"/>
        </w:rPr>
        <w:t>列－合計</w:t>
      </w:r>
      <w:r w:rsidRPr="00E224E9">
        <w:rPr>
          <w:rFonts w:ascii="Book Antiqua" w:hAnsi="Book Antiqua"/>
          <w:color w:val="000000" w:themeColor="text1"/>
        </w:rPr>
        <w:tab/>
      </w:r>
    </w:p>
    <w:p w14:paraId="67BD9F4F" w14:textId="77777777" w:rsidR="00C61AE1" w:rsidRPr="00E224E9" w:rsidRDefault="00C61AE1" w:rsidP="00C61AE1">
      <w:pPr>
        <w:ind w:firstLineChars="200" w:firstLine="520"/>
        <w:rPr>
          <w:rFonts w:ascii="Book Antiqua" w:hAnsi="Book Antiqua"/>
          <w:color w:val="000000" w:themeColor="text1"/>
        </w:rPr>
      </w:pPr>
      <w:r w:rsidRPr="00E224E9">
        <w:rPr>
          <w:rFonts w:ascii="Book Antiqua" w:hAnsi="標楷體"/>
          <w:color w:val="000000" w:themeColor="text1"/>
        </w:rPr>
        <w:t>等於第</w:t>
      </w:r>
      <w:r w:rsidRPr="00E224E9">
        <w:rPr>
          <w:rFonts w:ascii="Book Antiqua" w:hAnsi="Book Antiqua"/>
          <w:color w:val="000000" w:themeColor="text1"/>
        </w:rPr>
        <w:t>1~1</w:t>
      </w:r>
      <w:r w:rsidRPr="00E224E9">
        <w:rPr>
          <w:rFonts w:ascii="Book Antiqua" w:hAnsi="Book Antiqua" w:hint="eastAsia"/>
          <w:color w:val="000000" w:themeColor="text1"/>
        </w:rPr>
        <w:t>5</w:t>
      </w:r>
      <w:r w:rsidRPr="00E224E9">
        <w:rPr>
          <w:rFonts w:ascii="Book Antiqua" w:hAnsi="標楷體"/>
          <w:color w:val="000000" w:themeColor="text1"/>
        </w:rPr>
        <w:t>列總計</w:t>
      </w:r>
      <w:r w:rsidRPr="00E224E9">
        <w:rPr>
          <w:rFonts w:ascii="Book Antiqua" w:hAnsi="Book Antiqua"/>
          <w:color w:val="000000" w:themeColor="text1"/>
        </w:rPr>
        <w:t>(</w:t>
      </w:r>
      <w:r w:rsidRPr="00E224E9">
        <w:rPr>
          <w:rFonts w:ascii="Book Antiqua" w:hAnsi="標楷體"/>
          <w:color w:val="000000" w:themeColor="text1"/>
        </w:rPr>
        <w:t>種類</w:t>
      </w:r>
      <w:r w:rsidRPr="00E224E9">
        <w:rPr>
          <w:rFonts w:ascii="Book Antiqua" w:hAnsi="Book Antiqua"/>
          <w:color w:val="000000" w:themeColor="text1"/>
        </w:rPr>
        <w:t>)</w:t>
      </w:r>
      <w:r w:rsidRPr="00E224E9">
        <w:rPr>
          <w:rFonts w:ascii="Book Antiqua" w:hAnsi="標楷體"/>
          <w:color w:val="000000" w:themeColor="text1"/>
        </w:rPr>
        <w:t>合計數，也等於</w:t>
      </w:r>
      <w:r w:rsidRPr="00E224E9">
        <w:rPr>
          <w:rFonts w:ascii="Book Antiqua" w:hAnsi="Book Antiqua"/>
          <w:color w:val="000000" w:themeColor="text1"/>
        </w:rPr>
        <w:t>1</w:t>
      </w:r>
      <w:r w:rsidRPr="00E224E9">
        <w:rPr>
          <w:rFonts w:ascii="Book Antiqua" w:hAnsi="Book Antiqua" w:hint="eastAsia"/>
          <w:color w:val="000000" w:themeColor="text1"/>
        </w:rPr>
        <w:t>6</w:t>
      </w:r>
      <w:r w:rsidRPr="00E224E9">
        <w:rPr>
          <w:rFonts w:ascii="Book Antiqua" w:hAnsi="Book Antiqua"/>
          <w:color w:val="000000" w:themeColor="text1"/>
        </w:rPr>
        <w:t>~1</w:t>
      </w:r>
      <w:r w:rsidRPr="00E224E9">
        <w:rPr>
          <w:rFonts w:ascii="Book Antiqua" w:hAnsi="Book Antiqua" w:hint="eastAsia"/>
          <w:color w:val="000000" w:themeColor="text1"/>
        </w:rPr>
        <w:t>7</w:t>
      </w:r>
      <w:r w:rsidRPr="00E224E9">
        <w:rPr>
          <w:rFonts w:ascii="Book Antiqua" w:hAnsi="標楷體"/>
          <w:color w:val="000000" w:themeColor="text1"/>
        </w:rPr>
        <w:t>列總計</w:t>
      </w:r>
      <w:r w:rsidRPr="00E224E9">
        <w:rPr>
          <w:rFonts w:ascii="Book Antiqua" w:hAnsi="Book Antiqua"/>
          <w:color w:val="000000" w:themeColor="text1"/>
        </w:rPr>
        <w:t>(</w:t>
      </w:r>
      <w:r w:rsidRPr="00E224E9">
        <w:rPr>
          <w:rFonts w:ascii="Book Antiqua" w:hAnsi="標楷體"/>
          <w:color w:val="000000" w:themeColor="text1"/>
        </w:rPr>
        <w:t>交易對象</w:t>
      </w:r>
      <w:r w:rsidRPr="00E224E9">
        <w:rPr>
          <w:rFonts w:ascii="Book Antiqua" w:hAnsi="Book Antiqua"/>
          <w:color w:val="000000" w:themeColor="text1"/>
        </w:rPr>
        <w:t>)</w:t>
      </w:r>
      <w:r w:rsidRPr="00E224E9">
        <w:rPr>
          <w:rFonts w:ascii="Book Antiqua" w:hAnsi="標楷體"/>
          <w:color w:val="000000" w:themeColor="text1"/>
        </w:rPr>
        <w:t>合計數。</w:t>
      </w:r>
    </w:p>
    <w:p w14:paraId="709598C6" w14:textId="0705AAD3" w:rsidR="00C61AE1" w:rsidRPr="00E224E9" w:rsidRDefault="005B46FA" w:rsidP="007748F4">
      <w:pPr>
        <w:rPr>
          <w:rFonts w:ascii="Book Antiqua" w:hAnsi="Book Antiqua"/>
          <w:color w:val="000000" w:themeColor="text1"/>
        </w:rPr>
      </w:pPr>
      <w:r w:rsidRPr="00E224E9">
        <w:rPr>
          <w:rFonts w:ascii="Book Antiqua" w:hAnsi="Book Antiqua" w:hint="eastAsia"/>
          <w:color w:val="000000" w:themeColor="text1"/>
        </w:rPr>
        <w:t>第</w:t>
      </w:r>
      <w:r w:rsidRPr="00E224E9">
        <w:rPr>
          <w:rFonts w:ascii="Book Antiqua" w:hAnsi="Book Antiqua" w:hint="eastAsia"/>
          <w:color w:val="000000" w:themeColor="text1"/>
        </w:rPr>
        <w:t>24</w:t>
      </w:r>
      <w:r w:rsidRPr="00E224E9">
        <w:rPr>
          <w:rFonts w:ascii="Book Antiqua" w:hAnsi="Book Antiqua" w:hint="eastAsia"/>
          <w:color w:val="000000" w:themeColor="text1"/>
        </w:rPr>
        <w:t>和</w:t>
      </w:r>
      <w:r w:rsidRPr="00E224E9">
        <w:rPr>
          <w:rFonts w:ascii="Book Antiqua" w:hAnsi="Book Antiqua" w:hint="eastAsia"/>
          <w:color w:val="000000" w:themeColor="text1"/>
        </w:rPr>
        <w:t>25</w:t>
      </w:r>
      <w:r w:rsidRPr="00E224E9">
        <w:rPr>
          <w:rFonts w:ascii="Book Antiqua" w:hAnsi="Book Antiqua" w:hint="eastAsia"/>
          <w:color w:val="000000" w:themeColor="text1"/>
        </w:rPr>
        <w:t>列</w:t>
      </w:r>
      <w:r w:rsidRPr="00E224E9">
        <w:rPr>
          <w:rFonts w:ascii="Book Antiqua" w:hAnsi="Book Antiqua" w:hint="eastAsia"/>
          <w:color w:val="000000" w:themeColor="text1"/>
        </w:rPr>
        <w:t>-</w:t>
      </w:r>
    </w:p>
    <w:p w14:paraId="2FC8274B" w14:textId="027845D0" w:rsidR="005B46FA" w:rsidRPr="00E224E9" w:rsidRDefault="005B46FA" w:rsidP="001C79B1">
      <w:pPr>
        <w:ind w:leftChars="215" w:left="559"/>
        <w:rPr>
          <w:rFonts w:ascii="Book Antiqua" w:hAnsi="Book Antiqua"/>
          <w:color w:val="000000" w:themeColor="text1"/>
        </w:rPr>
      </w:pPr>
      <w:r w:rsidRPr="00E224E9">
        <w:rPr>
          <w:rFonts w:ascii="Book Antiqua" w:hAnsi="Book Antiqua" w:hint="eastAsia"/>
          <w:color w:val="000000" w:themeColor="text1"/>
        </w:rPr>
        <w:t>113.1.1</w:t>
      </w:r>
      <w:r w:rsidRPr="00E224E9">
        <w:rPr>
          <w:rFonts w:ascii="Book Antiqua" w:hAnsi="Book Antiqua" w:hint="eastAsia"/>
          <w:color w:val="000000" w:themeColor="text1"/>
        </w:rPr>
        <w:t>起，投資於關係人且屬於國外保險相關事業之相關部位</w:t>
      </w:r>
    </w:p>
    <w:p w14:paraId="3612E688" w14:textId="77777777" w:rsidR="00C61AE1" w:rsidRPr="00E224E9" w:rsidRDefault="00C61AE1" w:rsidP="00C61AE1">
      <w:pPr>
        <w:ind w:firstLineChars="200" w:firstLine="520"/>
        <w:rPr>
          <w:rFonts w:ascii="Book Antiqua" w:hAnsi="Book Antiqua"/>
          <w:color w:val="000000" w:themeColor="text1"/>
        </w:rPr>
      </w:pPr>
    </w:p>
    <w:p w14:paraId="0E22B9F7" w14:textId="77777777" w:rsidR="009942EA" w:rsidRPr="00E224E9" w:rsidRDefault="009942EA" w:rsidP="00C61AE1">
      <w:pPr>
        <w:pStyle w:val="1"/>
        <w:pageBreakBefore/>
        <w:spacing w:after="120" w:line="440" w:lineRule="exact"/>
        <w:rPr>
          <w:color w:val="000000" w:themeColor="text1"/>
        </w:rPr>
      </w:pPr>
      <w:bookmarkStart w:id="34" w:name="_Toc200468518"/>
      <w:r w:rsidRPr="00E224E9">
        <w:rPr>
          <w:color w:val="000000" w:themeColor="text1"/>
        </w:rPr>
        <w:lastRenderedPageBreak/>
        <w:t>表10-1：股票餘額明細表</w:t>
      </w:r>
      <w:bookmarkEnd w:id="29"/>
      <w:bookmarkEnd w:id="30"/>
      <w:bookmarkEnd w:id="31"/>
      <w:bookmarkEnd w:id="32"/>
      <w:bookmarkEnd w:id="33"/>
      <w:bookmarkEnd w:id="34"/>
    </w:p>
    <w:p w14:paraId="6544E1F0" w14:textId="77777777" w:rsidR="009942EA" w:rsidRPr="00E224E9" w:rsidRDefault="009942EA" w:rsidP="009942EA">
      <w:pPr>
        <w:spacing w:line="440" w:lineRule="exact"/>
        <w:ind w:firstLineChars="200" w:firstLine="520"/>
        <w:jc w:val="both"/>
        <w:rPr>
          <w:rFonts w:ascii="Book Antiqua" w:hAnsi="Book Antiqua"/>
          <w:color w:val="000000" w:themeColor="text1"/>
        </w:rPr>
      </w:pPr>
      <w:r w:rsidRPr="00E224E9">
        <w:rPr>
          <w:rFonts w:ascii="Book Antiqua" w:hAnsi="標楷體"/>
          <w:color w:val="000000" w:themeColor="text1"/>
        </w:rPr>
        <w:t>本報表填列的目的在於說明保險業國內外股票之使用及配置情形。</w:t>
      </w:r>
    </w:p>
    <w:p w14:paraId="1E9CB0A5" w14:textId="77777777" w:rsidR="009942EA" w:rsidRPr="00E224E9" w:rsidRDefault="009942EA" w:rsidP="009942EA">
      <w:pPr>
        <w:spacing w:line="440" w:lineRule="exact"/>
        <w:ind w:firstLineChars="207" w:firstLine="538"/>
        <w:jc w:val="both"/>
        <w:rPr>
          <w:rFonts w:ascii="Book Antiqua" w:hAnsi="Book Antiqua"/>
          <w:b/>
          <w:bCs/>
          <w:color w:val="000000" w:themeColor="text1"/>
        </w:rPr>
      </w:pPr>
      <w:r w:rsidRPr="00E224E9">
        <w:rPr>
          <w:rFonts w:ascii="Book Antiqua" w:hAnsi="標楷體"/>
          <w:color w:val="000000" w:themeColor="text1"/>
        </w:rPr>
        <w:t>各項資產之欄位說明如下：</w:t>
      </w:r>
    </w:p>
    <w:p w14:paraId="7C317877" w14:textId="77777777" w:rsidR="009942EA" w:rsidRPr="00E224E9" w:rsidRDefault="009942EA" w:rsidP="000E250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 xml:space="preserve">1 </w:t>
      </w:r>
      <w:r w:rsidRPr="00E224E9">
        <w:rPr>
          <w:rFonts w:ascii="Book Antiqua" w:hAnsi="標楷體"/>
          <w:color w:val="000000" w:themeColor="text1"/>
        </w:rPr>
        <w:t>欄－代號</w:t>
      </w:r>
      <w:r w:rsidRPr="00E224E9">
        <w:rPr>
          <w:rFonts w:ascii="Book Antiqua" w:hAnsi="Book Antiqua"/>
          <w:color w:val="000000" w:themeColor="text1"/>
        </w:rPr>
        <w:tab/>
      </w:r>
    </w:p>
    <w:p w14:paraId="10E754DC" w14:textId="77777777" w:rsidR="009942EA" w:rsidRPr="00E224E9" w:rsidRDefault="009942EA" w:rsidP="00F3152E">
      <w:pPr>
        <w:pStyle w:val="a7"/>
        <w:spacing w:after="0" w:line="440" w:lineRule="exact"/>
        <w:ind w:left="520"/>
        <w:rPr>
          <w:rFonts w:ascii="Book Antiqua" w:hAnsi="Book Antiqua"/>
          <w:color w:val="000000" w:themeColor="text1"/>
        </w:rPr>
      </w:pPr>
      <w:r w:rsidRPr="00E224E9">
        <w:rPr>
          <w:rFonts w:ascii="Book Antiqua"/>
          <w:color w:val="000000" w:themeColor="text1"/>
        </w:rPr>
        <w:t>所稱發行公司代號係指發行公司配賦代號。若無者，請洽由財團法人保險事業發展中心統一配賦。</w:t>
      </w:r>
    </w:p>
    <w:p w14:paraId="15AF377E" w14:textId="77777777" w:rsidR="009942EA" w:rsidRPr="00E224E9" w:rsidRDefault="009942EA" w:rsidP="000E250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欄－名稱</w:t>
      </w:r>
      <w:r w:rsidRPr="00E224E9">
        <w:rPr>
          <w:rFonts w:ascii="Book Antiqua" w:hAnsi="Book Antiqua"/>
          <w:color w:val="000000" w:themeColor="text1"/>
        </w:rPr>
        <w:tab/>
      </w:r>
    </w:p>
    <w:p w14:paraId="7DF09FC2" w14:textId="77777777" w:rsidR="009942EA" w:rsidRPr="00E224E9" w:rsidRDefault="009942EA" w:rsidP="00F3152E">
      <w:pPr>
        <w:spacing w:line="440" w:lineRule="exact"/>
        <w:ind w:firstLineChars="200" w:firstLine="520"/>
        <w:rPr>
          <w:rFonts w:ascii="Book Antiqua" w:hAnsi="Book Antiqua"/>
          <w:color w:val="000000" w:themeColor="text1"/>
        </w:rPr>
      </w:pPr>
      <w:r w:rsidRPr="00E224E9">
        <w:rPr>
          <w:rFonts w:ascii="Book Antiqua" w:hAnsi="標楷體"/>
          <w:color w:val="000000" w:themeColor="text1"/>
        </w:rPr>
        <w:t>係指發行公司之名稱。</w:t>
      </w:r>
    </w:p>
    <w:p w14:paraId="132DBE28" w14:textId="77777777" w:rsidR="009942EA" w:rsidRPr="00E224E9" w:rsidRDefault="009942EA" w:rsidP="000E250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欄－信用評等機構</w:t>
      </w:r>
      <w:r w:rsidRPr="00E224E9">
        <w:rPr>
          <w:rFonts w:ascii="Book Antiqua" w:hAnsi="Book Antiqua"/>
          <w:color w:val="000000" w:themeColor="text1"/>
        </w:rPr>
        <w:tab/>
      </w:r>
    </w:p>
    <w:p w14:paraId="5CE4AE91" w14:textId="306CD900" w:rsidR="009942EA" w:rsidRPr="00E224E9" w:rsidRDefault="009942EA" w:rsidP="00F3152E">
      <w:pPr>
        <w:spacing w:line="440" w:lineRule="exact"/>
        <w:ind w:leftChars="183" w:left="476" w:firstLineChars="1" w:firstLine="3"/>
        <w:rPr>
          <w:rFonts w:ascii="Book Antiqua" w:hAnsi="Book Antiqua"/>
          <w:color w:val="000000" w:themeColor="text1"/>
        </w:rPr>
      </w:pPr>
      <w:r w:rsidRPr="00E224E9">
        <w:rPr>
          <w:rFonts w:ascii="Book Antiqua" w:hAnsi="標楷體"/>
          <w:color w:val="000000" w:themeColor="text1"/>
        </w:rPr>
        <w:t>信用評等機構請填列代號</w:t>
      </w:r>
      <w:r w:rsidRPr="00E224E9">
        <w:rPr>
          <w:rFonts w:ascii="Book Antiqua" w:hAnsi="Book Antiqua"/>
          <w:color w:val="000000" w:themeColor="text1"/>
        </w:rPr>
        <w:t>(A</w:t>
      </w:r>
      <w:r w:rsidRPr="00E224E9">
        <w:rPr>
          <w:rFonts w:ascii="Book Antiqua" w:hAnsi="標楷體"/>
          <w:color w:val="000000" w:themeColor="text1"/>
        </w:rPr>
        <w:t>、</w:t>
      </w:r>
      <w:r w:rsidRPr="00E224E9">
        <w:rPr>
          <w:rFonts w:ascii="Book Antiqua" w:hAnsi="Book Antiqua"/>
          <w:color w:val="000000" w:themeColor="text1"/>
        </w:rPr>
        <w:t>B</w:t>
      </w:r>
      <w:r w:rsidRPr="00E224E9">
        <w:rPr>
          <w:rFonts w:ascii="Book Antiqua" w:hAnsi="標楷體"/>
          <w:color w:val="000000" w:themeColor="text1"/>
        </w:rPr>
        <w:t>、</w:t>
      </w:r>
      <w:r w:rsidRPr="00E224E9">
        <w:rPr>
          <w:rFonts w:ascii="Book Antiqua" w:hAnsi="Book Antiqua"/>
          <w:color w:val="000000" w:themeColor="text1"/>
        </w:rPr>
        <w:t>C</w:t>
      </w:r>
      <w:r w:rsidRPr="00E224E9">
        <w:rPr>
          <w:rFonts w:ascii="Book Antiqua" w:hAnsi="標楷體"/>
          <w:color w:val="000000" w:themeColor="text1"/>
        </w:rPr>
        <w:t>、</w:t>
      </w:r>
      <w:r w:rsidRPr="00E224E9">
        <w:rPr>
          <w:rFonts w:ascii="Book Antiqua" w:hAnsi="Book Antiqua"/>
          <w:color w:val="000000" w:themeColor="text1"/>
        </w:rPr>
        <w:t>D</w:t>
      </w:r>
      <w:r w:rsidRPr="00E224E9">
        <w:rPr>
          <w:rFonts w:ascii="Book Antiqua" w:hAnsi="標楷體"/>
          <w:color w:val="000000" w:themeColor="text1"/>
        </w:rPr>
        <w:t>、</w:t>
      </w:r>
      <w:r w:rsidRPr="00E224E9">
        <w:rPr>
          <w:rFonts w:ascii="Book Antiqua" w:hAnsi="Book Antiqua"/>
          <w:color w:val="000000" w:themeColor="text1"/>
        </w:rPr>
        <w:t>E</w:t>
      </w:r>
      <w:r w:rsidRPr="00E224E9">
        <w:rPr>
          <w:rFonts w:ascii="Book Antiqua" w:hAnsi="標楷體"/>
          <w:color w:val="000000" w:themeColor="text1"/>
        </w:rPr>
        <w:t>、</w:t>
      </w:r>
      <w:r w:rsidRPr="00E224E9">
        <w:rPr>
          <w:rFonts w:ascii="Book Antiqua" w:hAnsi="Book Antiqua"/>
          <w:color w:val="000000" w:themeColor="text1"/>
        </w:rPr>
        <w:t>F</w:t>
      </w:r>
      <w:r w:rsidR="003A165D" w:rsidRPr="00E224E9">
        <w:rPr>
          <w:rFonts w:ascii="Book Antiqua" w:hAnsi="Book Antiqua" w:hint="eastAsia"/>
          <w:color w:val="000000" w:themeColor="text1"/>
        </w:rPr>
        <w:t>、</w:t>
      </w:r>
      <w:r w:rsidR="003A165D" w:rsidRPr="00E224E9">
        <w:rPr>
          <w:rFonts w:ascii="Book Antiqua" w:hAnsi="Book Antiqua"/>
          <w:color w:val="000000" w:themeColor="text1"/>
        </w:rPr>
        <w:t>G</w:t>
      </w:r>
      <w:r w:rsidRPr="00E224E9">
        <w:rPr>
          <w:rFonts w:ascii="Book Antiqua" w:hAnsi="Book Antiqua"/>
          <w:color w:val="000000" w:themeColor="text1"/>
        </w:rPr>
        <w:t>)</w:t>
      </w:r>
      <w:r w:rsidRPr="00E224E9">
        <w:rPr>
          <w:rFonts w:ascii="Book Antiqua" w:hAnsi="標楷體"/>
          <w:color w:val="000000" w:themeColor="text1"/>
        </w:rPr>
        <w:t>即可。如</w:t>
      </w:r>
      <w:r w:rsidRPr="00E224E9">
        <w:rPr>
          <w:rFonts w:ascii="Book Antiqua" w:hAnsi="Book Antiqua"/>
          <w:color w:val="000000" w:themeColor="text1"/>
        </w:rPr>
        <w:t>A.S&amp;P</w:t>
      </w:r>
      <w:r w:rsidRPr="00E224E9">
        <w:rPr>
          <w:rFonts w:ascii="Book Antiqua" w:hAnsi="標楷體"/>
          <w:color w:val="000000" w:themeColor="text1"/>
        </w:rPr>
        <w:t>、</w:t>
      </w:r>
      <w:r w:rsidRPr="00E224E9">
        <w:rPr>
          <w:rFonts w:ascii="Book Antiqua" w:hAnsi="Book Antiqua"/>
          <w:color w:val="000000" w:themeColor="text1"/>
        </w:rPr>
        <w:t>B.AM Best</w:t>
      </w:r>
      <w:r w:rsidRPr="00E224E9">
        <w:rPr>
          <w:rFonts w:ascii="Book Antiqua" w:hAnsi="標楷體"/>
          <w:color w:val="000000" w:themeColor="text1"/>
        </w:rPr>
        <w:t>、</w:t>
      </w:r>
      <w:r w:rsidRPr="00E224E9">
        <w:rPr>
          <w:rFonts w:ascii="Book Antiqua" w:hAnsi="Book Antiqua"/>
          <w:color w:val="000000" w:themeColor="text1"/>
        </w:rPr>
        <w:t>C.Moody's</w:t>
      </w:r>
      <w:r w:rsidRPr="00E224E9">
        <w:rPr>
          <w:rFonts w:ascii="Book Antiqua" w:hAnsi="標楷體"/>
          <w:color w:val="000000" w:themeColor="text1"/>
        </w:rPr>
        <w:t>、</w:t>
      </w:r>
      <w:r w:rsidRPr="00E224E9">
        <w:rPr>
          <w:rFonts w:ascii="Book Antiqua" w:hAnsi="Book Antiqua"/>
          <w:color w:val="000000" w:themeColor="text1"/>
        </w:rPr>
        <w:t>D.Fitch</w:t>
      </w:r>
      <w:r w:rsidRPr="00E224E9">
        <w:rPr>
          <w:rFonts w:ascii="Book Antiqua" w:hAnsi="標楷體"/>
          <w:color w:val="000000" w:themeColor="text1"/>
        </w:rPr>
        <w:t>、</w:t>
      </w:r>
      <w:r w:rsidRPr="00E224E9">
        <w:rPr>
          <w:rFonts w:ascii="Book Antiqua" w:hAnsi="Book Antiqua"/>
          <w:color w:val="000000" w:themeColor="text1"/>
        </w:rPr>
        <w:t>E.tw</w:t>
      </w:r>
      <w:r w:rsidRPr="00E224E9">
        <w:rPr>
          <w:rFonts w:ascii="Book Antiqua" w:hAnsi="標楷體"/>
          <w:color w:val="000000" w:themeColor="text1"/>
        </w:rPr>
        <w:t>、</w:t>
      </w:r>
      <w:r w:rsidRPr="00E224E9">
        <w:rPr>
          <w:rFonts w:ascii="Book Antiqua" w:hAnsi="Book Antiqua"/>
          <w:color w:val="000000" w:themeColor="text1"/>
        </w:rPr>
        <w:t>F.</w:t>
      </w:r>
      <w:r w:rsidR="00CC65E2" w:rsidRPr="00E224E9">
        <w:rPr>
          <w:rFonts w:ascii="Book Antiqua" w:hAnsi="Book Antiqua"/>
          <w:color w:val="000000" w:themeColor="text1"/>
        </w:rPr>
        <w:t>KBRA</w:t>
      </w:r>
      <w:r w:rsidR="00CC65E2" w:rsidRPr="00E224E9">
        <w:rPr>
          <w:rFonts w:ascii="Book Antiqua" w:hAnsi="Book Antiqua" w:hint="eastAsia"/>
          <w:color w:val="000000" w:themeColor="text1"/>
        </w:rPr>
        <w:t>、</w:t>
      </w:r>
      <w:r w:rsidR="00CC65E2" w:rsidRPr="00E224E9">
        <w:rPr>
          <w:rFonts w:ascii="Book Antiqua" w:hAnsi="Book Antiqua" w:hint="eastAsia"/>
          <w:color w:val="000000" w:themeColor="text1"/>
        </w:rPr>
        <w:t>G.</w:t>
      </w:r>
      <w:r w:rsidRPr="00E224E9">
        <w:rPr>
          <w:rFonts w:ascii="Book Antiqua" w:hAnsi="標楷體"/>
          <w:color w:val="000000" w:themeColor="text1"/>
        </w:rPr>
        <w:t>其他；若無信用評等者，請填無。</w:t>
      </w:r>
    </w:p>
    <w:p w14:paraId="4C09C6B1" w14:textId="77777777" w:rsidR="009942EA" w:rsidRPr="00E224E9" w:rsidRDefault="009942EA" w:rsidP="000E250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欄－評等等級</w:t>
      </w:r>
      <w:r w:rsidRPr="00E224E9">
        <w:rPr>
          <w:rFonts w:ascii="Book Antiqua" w:hAnsi="Book Antiqua"/>
          <w:color w:val="000000" w:themeColor="text1"/>
        </w:rPr>
        <w:tab/>
      </w:r>
    </w:p>
    <w:p w14:paraId="2E186239" w14:textId="77777777" w:rsidR="009942EA" w:rsidRPr="00E224E9" w:rsidRDefault="009942EA" w:rsidP="00F3152E">
      <w:pPr>
        <w:spacing w:line="440" w:lineRule="exact"/>
        <w:ind w:leftChars="183" w:left="476" w:firstLine="2"/>
        <w:rPr>
          <w:rFonts w:ascii="Book Antiqua" w:hAnsi="Book Antiqua"/>
          <w:color w:val="000000" w:themeColor="text1"/>
        </w:rPr>
      </w:pPr>
      <w:r w:rsidRPr="00E224E9">
        <w:rPr>
          <w:rFonts w:ascii="Book Antiqua" w:hAnsi="標楷體"/>
          <w:color w:val="000000" w:themeColor="text1"/>
        </w:rPr>
        <w:t>評等等級請依信用評等機構所列填寫，並以最近一年之評等資料填寫，若無信用評等者，請填無。</w:t>
      </w:r>
    </w:p>
    <w:p w14:paraId="787CEA16" w14:textId="77777777" w:rsidR="009942EA" w:rsidRPr="00E224E9" w:rsidRDefault="009942EA" w:rsidP="000E250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5</w:t>
      </w:r>
      <w:r w:rsidRPr="00E224E9">
        <w:rPr>
          <w:rFonts w:ascii="Book Antiqua" w:hAnsi="標楷體"/>
          <w:color w:val="000000" w:themeColor="text1"/>
        </w:rPr>
        <w:t>欄－是否為關係人</w:t>
      </w:r>
      <w:r w:rsidRPr="00E224E9">
        <w:rPr>
          <w:rFonts w:ascii="Book Antiqua" w:hAnsi="Book Antiqua"/>
          <w:color w:val="000000" w:themeColor="text1"/>
        </w:rPr>
        <w:tab/>
      </w:r>
    </w:p>
    <w:p w14:paraId="6B2D55D6" w14:textId="77777777" w:rsidR="009942EA" w:rsidRPr="00E224E9" w:rsidRDefault="009942EA" w:rsidP="009C74B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是否為關係人請填列代號</w:t>
      </w:r>
      <w:r w:rsidRPr="00E224E9">
        <w:rPr>
          <w:rFonts w:ascii="Book Antiqua" w:hAnsi="Book Antiqua"/>
          <w:color w:val="000000" w:themeColor="text1"/>
        </w:rPr>
        <w:t>(A</w:t>
      </w:r>
      <w:r w:rsidRPr="00E224E9">
        <w:rPr>
          <w:rFonts w:ascii="Book Antiqua" w:hAnsi="標楷體"/>
          <w:color w:val="000000" w:themeColor="text1"/>
        </w:rPr>
        <w:t>、</w:t>
      </w:r>
      <w:r w:rsidRPr="00E224E9">
        <w:rPr>
          <w:rFonts w:ascii="Book Antiqua" w:hAnsi="Book Antiqua"/>
          <w:color w:val="000000" w:themeColor="text1"/>
        </w:rPr>
        <w:t>B</w:t>
      </w:r>
      <w:r w:rsidRPr="00E224E9">
        <w:rPr>
          <w:rFonts w:ascii="Book Antiqua" w:hAnsi="標楷體"/>
          <w:color w:val="000000" w:themeColor="text1"/>
        </w:rPr>
        <w:t>、</w:t>
      </w:r>
      <w:r w:rsidRPr="00E224E9">
        <w:rPr>
          <w:rFonts w:ascii="Book Antiqua" w:hAnsi="Book Antiqua"/>
          <w:color w:val="000000" w:themeColor="text1"/>
        </w:rPr>
        <w:t>C)</w:t>
      </w:r>
      <w:r w:rsidRPr="00E224E9">
        <w:rPr>
          <w:rFonts w:ascii="Book Antiqua" w:hAnsi="標楷體"/>
          <w:color w:val="000000" w:themeColor="text1"/>
        </w:rPr>
        <w:t>即可。如</w:t>
      </w:r>
      <w:r w:rsidRPr="00E224E9">
        <w:rPr>
          <w:rFonts w:ascii="Book Antiqua" w:hAnsi="Book Antiqua"/>
          <w:color w:val="000000" w:themeColor="text1"/>
        </w:rPr>
        <w:t>A.</w:t>
      </w:r>
      <w:r w:rsidRPr="00E224E9">
        <w:rPr>
          <w:rFonts w:ascii="Book Antiqua" w:hAnsi="標楷體"/>
          <w:color w:val="000000" w:themeColor="text1"/>
        </w:rPr>
        <w:t>否</w:t>
      </w:r>
      <w:r w:rsidRPr="00E224E9">
        <w:rPr>
          <w:rFonts w:ascii="Book Antiqua" w:hAnsi="Book Antiqua"/>
          <w:color w:val="000000" w:themeColor="text1"/>
        </w:rPr>
        <w:t>,B.</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非控制與從屬關係</w:t>
      </w:r>
      <w:r w:rsidRPr="00E224E9">
        <w:rPr>
          <w:rFonts w:ascii="Book Antiqua" w:hAnsi="Book Antiqua"/>
          <w:color w:val="000000" w:themeColor="text1"/>
        </w:rPr>
        <w:t>,C.</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具控制與從屬關係</w:t>
      </w:r>
      <w:r w:rsidR="000E250A" w:rsidRPr="00E224E9">
        <w:rPr>
          <w:rFonts w:ascii="Book Antiqua" w:hAnsi="Book Antiqua" w:hint="eastAsia"/>
          <w:color w:val="000000" w:themeColor="text1"/>
        </w:rPr>
        <w:t>；</w:t>
      </w:r>
      <w:r w:rsidRPr="00E224E9">
        <w:rPr>
          <w:rFonts w:ascii="Book Antiqua" w:hAnsi="標楷體"/>
          <w:color w:val="000000" w:themeColor="text1"/>
        </w:rPr>
        <w:t>所稱關係人係依國際會計準則第</w:t>
      </w:r>
      <w:r w:rsidRPr="00E224E9">
        <w:rPr>
          <w:rFonts w:ascii="Book Antiqua" w:hAnsi="標楷體"/>
          <w:color w:val="000000" w:themeColor="text1"/>
        </w:rPr>
        <w:t>24</w:t>
      </w:r>
      <w:r w:rsidRPr="00E224E9">
        <w:rPr>
          <w:rFonts w:ascii="Book Antiqua" w:hAnsi="標楷體"/>
          <w:color w:val="000000" w:themeColor="text1"/>
        </w:rPr>
        <w:t>號公報及公司法第</w:t>
      </w:r>
      <w:r w:rsidRPr="00E224E9">
        <w:rPr>
          <w:rFonts w:ascii="Book Antiqua" w:hAnsi="Book Antiqua"/>
          <w:color w:val="000000" w:themeColor="text1"/>
        </w:rPr>
        <w:t>369-1~369-3</w:t>
      </w:r>
      <w:r w:rsidRPr="00E224E9">
        <w:rPr>
          <w:rFonts w:ascii="Book Antiqua" w:hAnsi="標楷體"/>
          <w:color w:val="000000" w:themeColor="text1"/>
        </w:rPr>
        <w:t>條、第</w:t>
      </w:r>
      <w:r w:rsidRPr="00E224E9">
        <w:rPr>
          <w:rFonts w:ascii="Book Antiqua" w:hAnsi="Book Antiqua"/>
          <w:color w:val="000000" w:themeColor="text1"/>
        </w:rPr>
        <w:t>369-9</w:t>
      </w:r>
      <w:r w:rsidRPr="00E224E9">
        <w:rPr>
          <w:rFonts w:ascii="Book Antiqua" w:hAnsi="標楷體"/>
          <w:color w:val="000000" w:themeColor="text1"/>
        </w:rPr>
        <w:t>條、及第</w:t>
      </w:r>
      <w:r w:rsidRPr="00E224E9">
        <w:rPr>
          <w:rFonts w:ascii="Book Antiqua" w:hAnsi="Book Antiqua"/>
          <w:color w:val="000000" w:themeColor="text1"/>
        </w:rPr>
        <w:t>369-11</w:t>
      </w:r>
      <w:r w:rsidRPr="00E224E9">
        <w:rPr>
          <w:rFonts w:ascii="Book Antiqua" w:hAnsi="標楷體"/>
          <w:color w:val="000000" w:themeColor="text1"/>
        </w:rPr>
        <w:t>條及關係企業合併營業報告書關係企業合併財務報表及關係報告書編製準則第六條之規定。</w:t>
      </w:r>
    </w:p>
    <w:p w14:paraId="4542D8B8" w14:textId="77777777" w:rsidR="009942EA" w:rsidRPr="00E224E9" w:rsidRDefault="009942EA" w:rsidP="00BA2996">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6</w:t>
      </w:r>
      <w:r w:rsidRPr="00E224E9">
        <w:rPr>
          <w:rFonts w:ascii="Book Antiqua" w:hAnsi="標楷體"/>
          <w:color w:val="000000" w:themeColor="text1"/>
        </w:rPr>
        <w:t>欄－證券種類</w:t>
      </w:r>
      <w:r w:rsidRPr="00E224E9">
        <w:rPr>
          <w:rFonts w:ascii="Book Antiqua" w:hAnsi="Book Antiqua"/>
          <w:color w:val="000000" w:themeColor="text1"/>
        </w:rPr>
        <w:tab/>
      </w:r>
    </w:p>
    <w:p w14:paraId="3080ECED" w14:textId="77777777" w:rsidR="009942EA" w:rsidRPr="00E224E9" w:rsidRDefault="009942EA" w:rsidP="00F3152E">
      <w:pPr>
        <w:spacing w:line="440" w:lineRule="exact"/>
        <w:ind w:leftChars="184" w:left="478"/>
        <w:rPr>
          <w:rFonts w:ascii="Book Antiqua" w:hAnsi="Book Antiqua"/>
          <w:color w:val="000000" w:themeColor="text1"/>
        </w:rPr>
      </w:pPr>
      <w:r w:rsidRPr="00E224E9">
        <w:rPr>
          <w:rFonts w:ascii="Book Antiqua" w:hAnsi="標楷體"/>
          <w:color w:val="000000" w:themeColor="text1"/>
        </w:rPr>
        <w:t>證券種類請填列代號</w:t>
      </w:r>
      <w:r w:rsidRPr="00E224E9">
        <w:rPr>
          <w:rFonts w:ascii="Book Antiqua" w:hAnsi="Book Antiqua"/>
          <w:color w:val="000000" w:themeColor="text1"/>
        </w:rPr>
        <w:t>(A</w:t>
      </w:r>
      <w:r w:rsidRPr="00E224E9">
        <w:rPr>
          <w:rFonts w:ascii="Book Antiqua" w:hAnsi="標楷體"/>
          <w:color w:val="000000" w:themeColor="text1"/>
        </w:rPr>
        <w:t>、</w:t>
      </w:r>
      <w:r w:rsidRPr="00E224E9">
        <w:rPr>
          <w:rFonts w:ascii="Book Antiqua" w:hAnsi="Book Antiqua"/>
          <w:color w:val="000000" w:themeColor="text1"/>
        </w:rPr>
        <w:t>B1</w:t>
      </w:r>
      <w:r w:rsidRPr="00E224E9">
        <w:rPr>
          <w:rFonts w:ascii="Book Antiqua" w:hAnsi="標楷體"/>
          <w:color w:val="000000" w:themeColor="text1"/>
        </w:rPr>
        <w:t>、</w:t>
      </w:r>
      <w:r w:rsidRPr="00E224E9">
        <w:rPr>
          <w:rFonts w:ascii="Book Antiqua" w:hAnsi="Book Antiqua"/>
          <w:color w:val="000000" w:themeColor="text1"/>
        </w:rPr>
        <w:t>B2</w:t>
      </w:r>
      <w:r w:rsidR="00A1005F" w:rsidRPr="00E224E9">
        <w:rPr>
          <w:rFonts w:ascii="Book Antiqua" w:hAnsi="Book Antiqua" w:hint="eastAsia"/>
          <w:color w:val="000000" w:themeColor="text1"/>
        </w:rPr>
        <w:t>、</w:t>
      </w:r>
      <w:r w:rsidR="00A1005F" w:rsidRPr="00E224E9">
        <w:rPr>
          <w:rFonts w:ascii="Book Antiqua" w:hAnsi="Book Antiqua" w:hint="eastAsia"/>
          <w:color w:val="000000" w:themeColor="text1"/>
        </w:rPr>
        <w:t>C</w:t>
      </w:r>
      <w:r w:rsidRPr="00E224E9">
        <w:rPr>
          <w:rFonts w:ascii="Book Antiqua" w:hAnsi="Book Antiqua"/>
          <w:color w:val="000000" w:themeColor="text1"/>
        </w:rPr>
        <w:t>)</w:t>
      </w:r>
      <w:r w:rsidRPr="00E224E9">
        <w:rPr>
          <w:rFonts w:ascii="Book Antiqua" w:hAnsi="標楷體"/>
          <w:color w:val="000000" w:themeColor="text1"/>
        </w:rPr>
        <w:t>即可。如</w:t>
      </w:r>
      <w:r w:rsidRPr="00E224E9">
        <w:rPr>
          <w:rFonts w:ascii="Book Antiqua" w:hAnsi="Book Antiqua"/>
          <w:color w:val="000000" w:themeColor="text1"/>
        </w:rPr>
        <w:t>A.</w:t>
      </w:r>
      <w:r w:rsidRPr="00E224E9">
        <w:rPr>
          <w:rFonts w:ascii="Book Antiqua" w:hAnsi="標楷體"/>
          <w:color w:val="000000" w:themeColor="text1"/>
        </w:rPr>
        <w:t>普通股、</w:t>
      </w:r>
      <w:r w:rsidRPr="00E224E9">
        <w:rPr>
          <w:rFonts w:ascii="Book Antiqua" w:hAnsi="Book Antiqua"/>
          <w:color w:val="000000" w:themeColor="text1"/>
        </w:rPr>
        <w:t>B1.</w:t>
      </w:r>
      <w:r w:rsidRPr="00E224E9">
        <w:rPr>
          <w:rFonts w:ascii="Book Antiqua" w:hAnsi="標楷體"/>
          <w:color w:val="000000" w:themeColor="text1"/>
        </w:rPr>
        <w:t>固定收益特別股、</w:t>
      </w:r>
      <w:r w:rsidRPr="00E224E9">
        <w:rPr>
          <w:rFonts w:ascii="Book Antiqua" w:hAnsi="Book Antiqua"/>
          <w:color w:val="000000" w:themeColor="text1"/>
        </w:rPr>
        <w:t xml:space="preserve">B2. </w:t>
      </w:r>
      <w:r w:rsidRPr="00E224E9">
        <w:rPr>
          <w:rFonts w:ascii="Book Antiqua" w:hAnsi="標楷體"/>
          <w:color w:val="000000" w:themeColor="text1"/>
        </w:rPr>
        <w:t>非固定收益特別股</w:t>
      </w:r>
      <w:r w:rsidR="00A1005F" w:rsidRPr="00E224E9">
        <w:rPr>
          <w:rFonts w:ascii="Book Antiqua" w:hAnsi="標楷體" w:hint="eastAsia"/>
          <w:color w:val="000000" w:themeColor="text1"/>
        </w:rPr>
        <w:t>、</w:t>
      </w:r>
      <w:r w:rsidR="00A1005F" w:rsidRPr="00E224E9">
        <w:rPr>
          <w:rFonts w:ascii="Book Antiqua" w:hAnsi="標楷體" w:hint="eastAsia"/>
          <w:color w:val="000000" w:themeColor="text1"/>
        </w:rPr>
        <w:t>C.</w:t>
      </w:r>
      <w:r w:rsidR="00A1005F" w:rsidRPr="00E224E9">
        <w:rPr>
          <w:rFonts w:ascii="Book Antiqua" w:hAnsi="標楷體" w:hint="eastAsia"/>
          <w:color w:val="000000" w:themeColor="text1"/>
        </w:rPr>
        <w:t>存託憑證</w:t>
      </w:r>
      <w:r w:rsidRPr="00E224E9">
        <w:rPr>
          <w:rFonts w:ascii="Book Antiqua" w:hAnsi="標楷體"/>
          <w:color w:val="000000" w:themeColor="text1"/>
        </w:rPr>
        <w:t>。所稱固定收益特別股係指同時符合下列五條件者：</w:t>
      </w:r>
      <w:r w:rsidR="000E250A" w:rsidRPr="00E224E9">
        <w:rPr>
          <w:rFonts w:ascii="Book Antiqua" w:hAnsi="標楷體"/>
          <w:color w:val="000000" w:themeColor="text1"/>
        </w:rPr>
        <w:sym w:font="Wingdings 2" w:char="F06A"/>
      </w:r>
      <w:r w:rsidRPr="00E224E9">
        <w:rPr>
          <w:rFonts w:ascii="Book Antiqua" w:hAnsi="標楷體"/>
          <w:color w:val="000000" w:themeColor="text1"/>
        </w:rPr>
        <w:t>有固定到期日</w:t>
      </w:r>
      <w:r w:rsidR="000E250A" w:rsidRPr="00E224E9">
        <w:rPr>
          <w:rFonts w:ascii="Book Antiqua" w:hAnsi="標楷體"/>
          <w:color w:val="000000" w:themeColor="text1"/>
        </w:rPr>
        <w:sym w:font="Wingdings 2" w:char="F06B"/>
      </w:r>
      <w:r w:rsidRPr="00E224E9">
        <w:rPr>
          <w:rFonts w:ascii="Book Antiqua" w:hAnsi="標楷體"/>
          <w:color w:val="000000" w:themeColor="text1"/>
        </w:rPr>
        <w:t>固定股利率</w:t>
      </w:r>
      <w:r w:rsidR="000E250A" w:rsidRPr="00E224E9">
        <w:rPr>
          <w:rFonts w:ascii="Book Antiqua" w:hAnsi="標楷體"/>
          <w:color w:val="000000" w:themeColor="text1"/>
        </w:rPr>
        <w:sym w:font="Wingdings 2" w:char="F06C"/>
      </w:r>
      <w:r w:rsidRPr="00E224E9">
        <w:rPr>
          <w:rFonts w:ascii="Book Antiqua" w:hAnsi="標楷體"/>
          <w:color w:val="000000" w:themeColor="text1"/>
        </w:rPr>
        <w:t>可累積</w:t>
      </w:r>
      <w:r w:rsidR="000E250A" w:rsidRPr="00E224E9">
        <w:rPr>
          <w:rFonts w:ascii="Book Antiqua" w:hAnsi="標楷體"/>
          <w:color w:val="000000" w:themeColor="text1"/>
        </w:rPr>
        <w:sym w:font="Wingdings 2" w:char="F06D"/>
      </w:r>
      <w:r w:rsidRPr="00E224E9">
        <w:rPr>
          <w:rFonts w:ascii="Book Antiqua" w:hAnsi="標楷體"/>
          <w:color w:val="000000" w:themeColor="text1"/>
        </w:rPr>
        <w:t>到期償還本金</w:t>
      </w:r>
      <w:r w:rsidR="000E250A" w:rsidRPr="00E224E9">
        <w:rPr>
          <w:rFonts w:ascii="Book Antiqua" w:hAnsi="標楷體"/>
          <w:color w:val="000000" w:themeColor="text1"/>
        </w:rPr>
        <w:sym w:font="Wingdings 2" w:char="F06E"/>
      </w:r>
      <w:r w:rsidRPr="00E224E9">
        <w:rPr>
          <w:rFonts w:ascii="Book Antiqua" w:hAnsi="標楷體"/>
          <w:color w:val="000000" w:themeColor="text1"/>
        </w:rPr>
        <w:t>非強制轉換。</w:t>
      </w:r>
    </w:p>
    <w:p w14:paraId="5D0E1105"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7</w:t>
      </w:r>
      <w:r w:rsidRPr="00E224E9">
        <w:rPr>
          <w:rFonts w:ascii="Book Antiqua" w:hAnsi="標楷體"/>
          <w:color w:val="000000" w:themeColor="text1"/>
        </w:rPr>
        <w:t>欄－募集方式</w:t>
      </w:r>
    </w:p>
    <w:p w14:paraId="7FAFCD3F" w14:textId="77777777" w:rsidR="009942EA" w:rsidRPr="00E224E9" w:rsidRDefault="009942EA" w:rsidP="00F3152E">
      <w:pPr>
        <w:spacing w:line="440" w:lineRule="exact"/>
        <w:ind w:leftChars="184" w:left="478"/>
        <w:rPr>
          <w:rFonts w:ascii="Book Antiqua" w:hAnsi="Book Antiqua"/>
          <w:color w:val="000000" w:themeColor="text1"/>
        </w:rPr>
      </w:pPr>
      <w:r w:rsidRPr="00E224E9">
        <w:rPr>
          <w:rFonts w:ascii="Book Antiqua" w:hAnsi="標楷體"/>
          <w:color w:val="000000" w:themeColor="text1"/>
        </w:rPr>
        <w:t>募集方式請填列代號</w:t>
      </w:r>
      <w:r w:rsidRPr="00E224E9">
        <w:rPr>
          <w:rFonts w:ascii="Book Antiqua" w:hAnsi="Book Antiqua"/>
          <w:color w:val="000000" w:themeColor="text1"/>
        </w:rPr>
        <w:t>(A</w:t>
      </w:r>
      <w:r w:rsidRPr="00E224E9">
        <w:rPr>
          <w:rFonts w:ascii="Book Antiqua" w:hAnsi="標楷體"/>
          <w:color w:val="000000" w:themeColor="text1"/>
        </w:rPr>
        <w:t>、</w:t>
      </w:r>
      <w:r w:rsidRPr="00E224E9">
        <w:rPr>
          <w:rFonts w:ascii="Book Antiqua" w:hAnsi="Book Antiqua"/>
          <w:color w:val="000000" w:themeColor="text1"/>
        </w:rPr>
        <w:t>B</w:t>
      </w:r>
      <w:r w:rsidRPr="00E224E9">
        <w:rPr>
          <w:rFonts w:ascii="Book Antiqua" w:hAnsi="標楷體"/>
          <w:color w:val="000000" w:themeColor="text1"/>
        </w:rPr>
        <w:t>、</w:t>
      </w:r>
      <w:r w:rsidRPr="00E224E9">
        <w:rPr>
          <w:rFonts w:ascii="Book Antiqua" w:hAnsi="Book Antiqua"/>
          <w:color w:val="000000" w:themeColor="text1"/>
        </w:rPr>
        <w:t>C)</w:t>
      </w:r>
      <w:r w:rsidRPr="00E224E9">
        <w:rPr>
          <w:rFonts w:ascii="Book Antiqua" w:hAnsi="標楷體"/>
          <w:color w:val="000000" w:themeColor="text1"/>
        </w:rPr>
        <w:t>即可。如</w:t>
      </w:r>
      <w:r w:rsidRPr="00E224E9">
        <w:rPr>
          <w:rFonts w:ascii="Book Antiqua" w:hAnsi="Book Antiqua"/>
          <w:color w:val="000000" w:themeColor="text1"/>
        </w:rPr>
        <w:t>A.</w:t>
      </w:r>
      <w:r w:rsidRPr="00E224E9">
        <w:rPr>
          <w:rFonts w:ascii="Book Antiqua" w:hAnsi="標楷體"/>
          <w:color w:val="000000" w:themeColor="text1"/>
        </w:rPr>
        <w:t>公開募集、</w:t>
      </w:r>
      <w:r w:rsidRPr="00E224E9">
        <w:rPr>
          <w:rFonts w:ascii="Book Antiqua" w:hAnsi="Book Antiqua"/>
          <w:color w:val="000000" w:themeColor="text1"/>
        </w:rPr>
        <w:t>B.</w:t>
      </w:r>
      <w:r w:rsidRPr="00E224E9">
        <w:rPr>
          <w:rFonts w:ascii="Book Antiqua" w:hAnsi="標楷體"/>
          <w:color w:val="000000" w:themeColor="text1"/>
        </w:rPr>
        <w:t>私募、</w:t>
      </w:r>
      <w:r w:rsidRPr="00E224E9">
        <w:rPr>
          <w:rFonts w:ascii="Book Antiqua" w:hAnsi="Book Antiqua"/>
          <w:color w:val="000000" w:themeColor="text1"/>
        </w:rPr>
        <w:t>C.</w:t>
      </w:r>
      <w:r w:rsidRPr="00E224E9">
        <w:rPr>
          <w:rFonts w:ascii="Book Antiqua" w:hAnsi="標楷體"/>
          <w:color w:val="000000" w:themeColor="text1"/>
        </w:rPr>
        <w:t>其他。</w:t>
      </w:r>
    </w:p>
    <w:p w14:paraId="1661E153"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8</w:t>
      </w:r>
      <w:r w:rsidRPr="00E224E9">
        <w:rPr>
          <w:rFonts w:ascii="Book Antiqua" w:hAnsi="標楷體"/>
          <w:color w:val="000000" w:themeColor="text1"/>
        </w:rPr>
        <w:t>欄－交易種類</w:t>
      </w:r>
    </w:p>
    <w:p w14:paraId="440DF54F" w14:textId="77777777" w:rsidR="009942EA" w:rsidRPr="00E224E9" w:rsidRDefault="009942EA" w:rsidP="00F3152E">
      <w:pPr>
        <w:spacing w:line="440" w:lineRule="exact"/>
        <w:ind w:left="520" w:hangingChars="200" w:hanging="520"/>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交易種類請填列代號</w:t>
      </w:r>
      <w:r w:rsidRPr="00E224E9">
        <w:rPr>
          <w:rFonts w:ascii="Book Antiqua" w:hAnsi="Book Antiqua"/>
          <w:color w:val="000000" w:themeColor="text1"/>
        </w:rPr>
        <w:t>(A</w:t>
      </w:r>
      <w:r w:rsidRPr="00E224E9">
        <w:rPr>
          <w:rFonts w:ascii="Book Antiqua" w:hAnsi="標楷體"/>
          <w:color w:val="000000" w:themeColor="text1"/>
        </w:rPr>
        <w:t>、</w:t>
      </w:r>
      <w:r w:rsidRPr="00E224E9">
        <w:rPr>
          <w:rFonts w:ascii="Book Antiqua" w:hAnsi="Book Antiqua"/>
          <w:color w:val="000000" w:themeColor="text1"/>
        </w:rPr>
        <w:t>B</w:t>
      </w:r>
      <w:r w:rsidRPr="00E224E9">
        <w:rPr>
          <w:rFonts w:ascii="Book Antiqua" w:hAnsi="標楷體"/>
          <w:color w:val="000000" w:themeColor="text1"/>
        </w:rPr>
        <w:t>、</w:t>
      </w:r>
      <w:r w:rsidRPr="00E224E9">
        <w:rPr>
          <w:rFonts w:ascii="Book Antiqua" w:hAnsi="Book Antiqua"/>
          <w:color w:val="000000" w:themeColor="text1"/>
        </w:rPr>
        <w:t>C</w:t>
      </w:r>
      <w:r w:rsidRPr="00E224E9">
        <w:rPr>
          <w:rFonts w:ascii="Book Antiqua" w:hAnsi="標楷體"/>
          <w:color w:val="000000" w:themeColor="text1"/>
        </w:rPr>
        <w:t>、</w:t>
      </w:r>
      <w:r w:rsidRPr="00E224E9">
        <w:rPr>
          <w:rFonts w:ascii="Book Antiqua" w:hAnsi="Book Antiqua"/>
          <w:color w:val="000000" w:themeColor="text1"/>
        </w:rPr>
        <w:t>D</w:t>
      </w:r>
      <w:r w:rsidRPr="00E224E9">
        <w:rPr>
          <w:rFonts w:ascii="Book Antiqua" w:hAnsi="標楷體"/>
          <w:color w:val="000000" w:themeColor="text1"/>
        </w:rPr>
        <w:t>、</w:t>
      </w:r>
      <w:r w:rsidRPr="00E224E9">
        <w:rPr>
          <w:rFonts w:ascii="Book Antiqua" w:hAnsi="Book Antiqua"/>
          <w:color w:val="000000" w:themeColor="text1"/>
        </w:rPr>
        <w:t>E)</w:t>
      </w:r>
      <w:r w:rsidRPr="00E224E9">
        <w:rPr>
          <w:rFonts w:ascii="Book Antiqua" w:hAnsi="標楷體"/>
          <w:color w:val="000000" w:themeColor="text1"/>
        </w:rPr>
        <w:t>即可。如</w:t>
      </w:r>
      <w:r w:rsidRPr="00E224E9">
        <w:rPr>
          <w:rFonts w:ascii="Book Antiqua" w:hAnsi="Book Antiqua"/>
          <w:color w:val="000000" w:themeColor="text1"/>
        </w:rPr>
        <w:t>A.</w:t>
      </w:r>
      <w:r w:rsidRPr="00E224E9">
        <w:rPr>
          <w:rFonts w:ascii="Book Antiqua" w:hAnsi="標楷體"/>
          <w:color w:val="000000" w:themeColor="text1"/>
        </w:rPr>
        <w:t>上市、</w:t>
      </w:r>
      <w:r w:rsidRPr="00E224E9">
        <w:rPr>
          <w:rFonts w:ascii="Book Antiqua" w:hAnsi="Book Antiqua"/>
          <w:color w:val="000000" w:themeColor="text1"/>
        </w:rPr>
        <w:t>B.</w:t>
      </w:r>
      <w:r w:rsidRPr="00E224E9">
        <w:rPr>
          <w:rFonts w:ascii="Book Antiqua" w:hAnsi="標楷體"/>
          <w:color w:val="000000" w:themeColor="text1"/>
        </w:rPr>
        <w:t>上櫃、</w:t>
      </w:r>
      <w:r w:rsidRPr="00E224E9">
        <w:rPr>
          <w:rFonts w:ascii="Book Antiqua" w:hAnsi="Book Antiqua"/>
          <w:color w:val="000000" w:themeColor="text1"/>
        </w:rPr>
        <w:t>C.</w:t>
      </w:r>
      <w:r w:rsidRPr="00E224E9">
        <w:rPr>
          <w:rFonts w:ascii="Book Antiqua" w:hAnsi="標楷體"/>
          <w:color w:val="000000" w:themeColor="text1"/>
        </w:rPr>
        <w:t>興櫃、</w:t>
      </w:r>
      <w:r w:rsidRPr="00E224E9">
        <w:rPr>
          <w:rFonts w:ascii="Book Antiqua" w:hAnsi="Book Antiqua"/>
          <w:color w:val="000000" w:themeColor="text1"/>
        </w:rPr>
        <w:t>D.</w:t>
      </w:r>
      <w:r w:rsidRPr="00E224E9">
        <w:rPr>
          <w:rFonts w:ascii="Book Antiqua" w:hAnsi="標楷體"/>
          <w:color w:val="000000" w:themeColor="text1"/>
        </w:rPr>
        <w:t>其他</w:t>
      </w:r>
      <w:r w:rsidRPr="00E224E9">
        <w:rPr>
          <w:rFonts w:ascii="Book Antiqua" w:hAnsi="Book Antiqua"/>
          <w:color w:val="000000" w:themeColor="text1"/>
        </w:rPr>
        <w:t>(</w:t>
      </w:r>
      <w:r w:rsidRPr="00E224E9">
        <w:rPr>
          <w:rFonts w:ascii="Book Antiqua" w:hAnsi="標楷體"/>
          <w:color w:val="000000" w:themeColor="text1"/>
        </w:rPr>
        <w:t>公開公司</w:t>
      </w:r>
      <w:r w:rsidRPr="00E224E9">
        <w:rPr>
          <w:rFonts w:ascii="Book Antiqua" w:hAnsi="Book Antiqua"/>
          <w:color w:val="000000" w:themeColor="text1"/>
        </w:rPr>
        <w:t>)</w:t>
      </w:r>
      <w:r w:rsidRPr="00E224E9">
        <w:rPr>
          <w:rFonts w:ascii="Book Antiqua" w:hAnsi="標楷體"/>
          <w:color w:val="000000" w:themeColor="text1"/>
        </w:rPr>
        <w:t>、</w:t>
      </w:r>
      <w:r w:rsidRPr="00E224E9">
        <w:rPr>
          <w:rFonts w:ascii="Book Antiqua" w:hAnsi="Book Antiqua"/>
          <w:color w:val="000000" w:themeColor="text1"/>
        </w:rPr>
        <w:t>E.</w:t>
      </w:r>
      <w:r w:rsidRPr="00E224E9">
        <w:rPr>
          <w:rFonts w:ascii="Book Antiqua" w:hAnsi="標楷體"/>
          <w:color w:val="000000" w:themeColor="text1"/>
        </w:rPr>
        <w:t>其他</w:t>
      </w:r>
      <w:r w:rsidRPr="00E224E9">
        <w:rPr>
          <w:rFonts w:ascii="Book Antiqua" w:hAnsi="Book Antiqua"/>
          <w:color w:val="000000" w:themeColor="text1"/>
        </w:rPr>
        <w:t>(</w:t>
      </w:r>
      <w:r w:rsidRPr="00E224E9">
        <w:rPr>
          <w:rFonts w:ascii="Book Antiqua" w:hAnsi="標楷體"/>
          <w:color w:val="000000" w:themeColor="text1"/>
        </w:rPr>
        <w:t>非公開公司</w:t>
      </w:r>
      <w:r w:rsidRPr="00E224E9">
        <w:rPr>
          <w:rFonts w:ascii="Book Antiqua" w:hAnsi="Book Antiqua"/>
          <w:color w:val="000000" w:themeColor="text1"/>
        </w:rPr>
        <w:t>)</w:t>
      </w:r>
      <w:r w:rsidRPr="00E224E9">
        <w:rPr>
          <w:rFonts w:ascii="Book Antiqua" w:hAnsi="標楷體"/>
          <w:color w:val="000000" w:themeColor="text1"/>
        </w:rPr>
        <w:t>。</w:t>
      </w:r>
    </w:p>
    <w:p w14:paraId="6688AE77" w14:textId="77777777" w:rsidR="009942EA" w:rsidRPr="00E224E9" w:rsidRDefault="009942EA" w:rsidP="00F3152E">
      <w:pPr>
        <w:spacing w:line="440" w:lineRule="exact"/>
        <w:ind w:left="520" w:hangingChars="200" w:hanging="520"/>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9</w:t>
      </w:r>
      <w:r w:rsidRPr="00E224E9">
        <w:rPr>
          <w:rFonts w:ascii="Book Antiqua" w:hAnsi="標楷體"/>
          <w:color w:val="000000" w:themeColor="text1"/>
        </w:rPr>
        <w:t>欄－投資型態</w:t>
      </w:r>
    </w:p>
    <w:p w14:paraId="2499F21C" w14:textId="77777777" w:rsidR="009942EA" w:rsidRPr="00E224E9" w:rsidRDefault="009942EA" w:rsidP="000E250A">
      <w:pPr>
        <w:spacing w:line="440" w:lineRule="exact"/>
        <w:ind w:leftChars="200" w:left="520"/>
        <w:jc w:val="both"/>
        <w:rPr>
          <w:rFonts w:ascii="Book Antiqua" w:hAnsi="Book Antiqua"/>
          <w:color w:val="000000" w:themeColor="text1"/>
        </w:rPr>
      </w:pPr>
      <w:r w:rsidRPr="00E224E9">
        <w:rPr>
          <w:rFonts w:ascii="Book Antiqua" w:hAnsi="標楷體"/>
          <w:color w:val="000000" w:themeColor="text1"/>
        </w:rPr>
        <w:lastRenderedPageBreak/>
        <w:t>係指每一證券標的相對應之投資型態。所稱投資型態請填列代號</w:t>
      </w:r>
      <w:r w:rsidRPr="00E224E9">
        <w:rPr>
          <w:rFonts w:ascii="Book Antiqua" w:hAnsi="Book Antiqua"/>
          <w:color w:val="000000" w:themeColor="text1"/>
        </w:rPr>
        <w:t>(A</w:t>
      </w:r>
      <w:r w:rsidR="000E250A" w:rsidRPr="00E224E9">
        <w:rPr>
          <w:rFonts w:ascii="Book Antiqua" w:hAnsi="Book Antiqua" w:hint="eastAsia"/>
          <w:color w:val="000000" w:themeColor="text1"/>
        </w:rPr>
        <w:t>1</w:t>
      </w:r>
      <w:r w:rsidR="000E250A" w:rsidRPr="00E224E9">
        <w:rPr>
          <w:rFonts w:ascii="Book Antiqua" w:hAnsi="Book Antiqua" w:hint="eastAsia"/>
          <w:color w:val="000000" w:themeColor="text1"/>
        </w:rPr>
        <w:t>、</w:t>
      </w:r>
      <w:r w:rsidR="000E250A" w:rsidRPr="00E224E9">
        <w:rPr>
          <w:rFonts w:ascii="Book Antiqua" w:hAnsi="Book Antiqua" w:hint="eastAsia"/>
          <w:color w:val="000000" w:themeColor="text1"/>
        </w:rPr>
        <w:t>A2</w:t>
      </w:r>
      <w:r w:rsidRPr="00E224E9">
        <w:rPr>
          <w:rFonts w:ascii="Book Antiqua" w:hAnsi="標楷體"/>
          <w:color w:val="000000" w:themeColor="text1"/>
        </w:rPr>
        <w:t>、</w:t>
      </w:r>
      <w:r w:rsidRPr="00E224E9">
        <w:rPr>
          <w:rFonts w:ascii="Book Antiqua" w:hAnsi="Book Antiqua"/>
          <w:color w:val="000000" w:themeColor="text1"/>
        </w:rPr>
        <w:t>B</w:t>
      </w:r>
      <w:r w:rsidRPr="00E224E9">
        <w:rPr>
          <w:rFonts w:ascii="Book Antiqua" w:hAnsi="標楷體"/>
          <w:color w:val="000000" w:themeColor="text1"/>
        </w:rPr>
        <w:t>、</w:t>
      </w:r>
      <w:r w:rsidRPr="00E224E9">
        <w:rPr>
          <w:rFonts w:ascii="Book Antiqua" w:hAnsi="Book Antiqua"/>
          <w:color w:val="000000" w:themeColor="text1"/>
        </w:rPr>
        <w:t>C</w:t>
      </w:r>
      <w:r w:rsidRPr="00E224E9">
        <w:rPr>
          <w:rFonts w:ascii="Book Antiqua" w:hAnsi="標楷體"/>
          <w:color w:val="000000" w:themeColor="text1"/>
        </w:rPr>
        <w:t>、</w:t>
      </w:r>
      <w:r w:rsidRPr="00E224E9">
        <w:rPr>
          <w:rFonts w:ascii="Book Antiqua" w:hAnsi="Book Antiqua"/>
          <w:color w:val="000000" w:themeColor="text1"/>
        </w:rPr>
        <w:t>D</w:t>
      </w:r>
      <w:r w:rsidRPr="00E224E9">
        <w:rPr>
          <w:rFonts w:ascii="Book Antiqua" w:hAnsi="標楷體"/>
          <w:color w:val="000000" w:themeColor="text1"/>
        </w:rPr>
        <w:t>、</w:t>
      </w:r>
      <w:r w:rsidRPr="00E224E9">
        <w:rPr>
          <w:rFonts w:ascii="Book Antiqua" w:hAnsi="Book Antiqua"/>
          <w:color w:val="000000" w:themeColor="text1"/>
        </w:rPr>
        <w:t>E)</w:t>
      </w:r>
      <w:r w:rsidRPr="00E224E9">
        <w:rPr>
          <w:rFonts w:ascii="Book Antiqua" w:hAnsi="標楷體"/>
          <w:color w:val="000000" w:themeColor="text1"/>
        </w:rPr>
        <w:t>即可。如</w:t>
      </w:r>
      <w:r w:rsidR="000E250A" w:rsidRPr="00E224E9">
        <w:rPr>
          <w:rFonts w:ascii="Book Antiqua" w:hAnsi="標楷體" w:hint="eastAsia"/>
          <w:color w:val="000000" w:themeColor="text1"/>
        </w:rPr>
        <w:t>A1.</w:t>
      </w:r>
      <w:r w:rsidR="000E250A" w:rsidRPr="00E224E9">
        <w:rPr>
          <w:rFonts w:ascii="Book Antiqua" w:hAnsi="標楷體" w:hint="eastAsia"/>
          <w:color w:val="000000" w:themeColor="text1"/>
        </w:rPr>
        <w:t>透過損益按公允價值衡量之金融資產</w:t>
      </w:r>
      <w:r w:rsidR="000E250A" w:rsidRPr="00E224E9">
        <w:rPr>
          <w:rFonts w:ascii="Book Antiqua" w:hAnsi="標楷體" w:hint="eastAsia"/>
          <w:color w:val="000000" w:themeColor="text1"/>
        </w:rPr>
        <w:t>-</w:t>
      </w:r>
      <w:r w:rsidR="000E250A" w:rsidRPr="00E224E9">
        <w:rPr>
          <w:rFonts w:ascii="Book Antiqua" w:hAnsi="標楷體" w:hint="eastAsia"/>
          <w:color w:val="000000" w:themeColor="text1"/>
        </w:rPr>
        <w:t>採用覆蓋法</w:t>
      </w:r>
      <w:r w:rsidR="000E250A" w:rsidRPr="00E224E9">
        <w:rPr>
          <w:rFonts w:ascii="Book Antiqua" w:hAnsi="標楷體" w:hint="eastAsia"/>
          <w:color w:val="000000" w:themeColor="text1"/>
        </w:rPr>
        <w:t>,A2.</w:t>
      </w:r>
      <w:r w:rsidR="000E250A" w:rsidRPr="00E224E9">
        <w:rPr>
          <w:rFonts w:ascii="Book Antiqua" w:hAnsi="標楷體" w:hint="eastAsia"/>
          <w:color w:val="000000" w:themeColor="text1"/>
        </w:rPr>
        <w:t>透過損益按公允價值衡量之金融資產</w:t>
      </w:r>
      <w:r w:rsidR="000E250A" w:rsidRPr="00E224E9">
        <w:rPr>
          <w:rFonts w:ascii="Book Antiqua" w:hAnsi="標楷體" w:hint="eastAsia"/>
          <w:color w:val="000000" w:themeColor="text1"/>
        </w:rPr>
        <w:t>-</w:t>
      </w:r>
      <w:r w:rsidR="000E250A" w:rsidRPr="00E224E9">
        <w:rPr>
          <w:rFonts w:ascii="Book Antiqua" w:hAnsi="標楷體" w:hint="eastAsia"/>
          <w:color w:val="000000" w:themeColor="text1"/>
        </w:rPr>
        <w:t>未採用覆蓋法</w:t>
      </w:r>
      <w:r w:rsidR="000E250A" w:rsidRPr="00E224E9">
        <w:rPr>
          <w:rFonts w:ascii="Book Antiqua" w:hAnsi="標楷體" w:hint="eastAsia"/>
          <w:color w:val="000000" w:themeColor="text1"/>
        </w:rPr>
        <w:t>,B.</w:t>
      </w:r>
      <w:r w:rsidR="000E250A" w:rsidRPr="00E224E9">
        <w:rPr>
          <w:rFonts w:ascii="Book Antiqua" w:hAnsi="標楷體" w:hint="eastAsia"/>
          <w:color w:val="000000" w:themeColor="text1"/>
        </w:rPr>
        <w:t>透過其他綜合損益按公允價值衡量之金融資產</w:t>
      </w:r>
      <w:r w:rsidR="000E250A" w:rsidRPr="00E224E9">
        <w:rPr>
          <w:rFonts w:ascii="Book Antiqua" w:hAnsi="標楷體" w:hint="eastAsia"/>
          <w:color w:val="000000" w:themeColor="text1"/>
        </w:rPr>
        <w:t>,C.</w:t>
      </w:r>
      <w:r w:rsidR="000E250A" w:rsidRPr="00E224E9">
        <w:rPr>
          <w:rFonts w:ascii="Book Antiqua" w:hAnsi="標楷體" w:hint="eastAsia"/>
          <w:color w:val="000000" w:themeColor="text1"/>
        </w:rPr>
        <w:t>按攤銷後成本衡量之金融資產</w:t>
      </w:r>
      <w:r w:rsidRPr="00E224E9">
        <w:rPr>
          <w:rFonts w:ascii="Book Antiqua" w:hAnsi="Book Antiqua"/>
          <w:color w:val="000000" w:themeColor="text1"/>
        </w:rPr>
        <w:t>,D</w:t>
      </w:r>
      <w:r w:rsidRPr="00E224E9">
        <w:rPr>
          <w:rFonts w:ascii="Book Antiqua" w:hAnsi="Book Antiqua" w:hint="eastAsia"/>
          <w:color w:val="000000" w:themeColor="text1"/>
        </w:rPr>
        <w:t>1</w:t>
      </w:r>
      <w:r w:rsidRPr="00E224E9">
        <w:rPr>
          <w:rFonts w:ascii="Book Antiqua" w:hAnsi="Book Antiqua"/>
          <w:color w:val="000000" w:themeColor="text1"/>
        </w:rPr>
        <w:t>.</w:t>
      </w:r>
      <w:r w:rsidRPr="00E224E9">
        <w:rPr>
          <w:rFonts w:ascii="Book Antiqua" w:hAnsi="標楷體"/>
          <w:color w:val="000000" w:themeColor="text1"/>
        </w:rPr>
        <w:t>採權益法之長期股權投資</w:t>
      </w:r>
      <w:r w:rsidRPr="00E224E9">
        <w:rPr>
          <w:rFonts w:ascii="Book Antiqua" w:hAnsi="Book Antiqua"/>
          <w:color w:val="000000" w:themeColor="text1"/>
        </w:rPr>
        <w:t>,</w:t>
      </w:r>
      <w:r w:rsidRPr="00E224E9">
        <w:rPr>
          <w:rFonts w:ascii="Book Antiqua" w:hAnsi="Book Antiqua" w:hint="eastAsia"/>
          <w:color w:val="000000" w:themeColor="text1"/>
        </w:rPr>
        <w:t>D2.</w:t>
      </w:r>
      <w:r w:rsidRPr="00E224E9">
        <w:rPr>
          <w:rFonts w:ascii="Book Antiqua" w:hAnsi="Book Antiqua" w:hint="eastAsia"/>
          <w:color w:val="000000" w:themeColor="text1"/>
        </w:rPr>
        <w:t>採權益法之長權投權投資</w:t>
      </w:r>
      <w:r w:rsidRPr="00E224E9">
        <w:rPr>
          <w:rFonts w:ascii="Book Antiqua" w:hAnsi="Book Antiqua" w:hint="eastAsia"/>
          <w:color w:val="000000" w:themeColor="text1"/>
        </w:rPr>
        <w:t>-</w:t>
      </w:r>
      <w:r w:rsidRPr="00E224E9">
        <w:rPr>
          <w:rFonts w:ascii="Book Antiqua" w:hAnsi="Book Antiqua" w:hint="eastAsia"/>
          <w:color w:val="000000" w:themeColor="text1"/>
        </w:rPr>
        <w:t>特定目的公司</w:t>
      </w:r>
      <w:r w:rsidRPr="00E224E9">
        <w:rPr>
          <w:rFonts w:ascii="Book Antiqua" w:hAnsi="Book Antiqua" w:hint="eastAsia"/>
          <w:color w:val="000000" w:themeColor="text1"/>
        </w:rPr>
        <w:t>(</w:t>
      </w:r>
      <w:r w:rsidRPr="00E224E9">
        <w:rPr>
          <w:rFonts w:ascii="Book Antiqua" w:hAnsi="Book Antiqua" w:hint="eastAsia"/>
          <w:color w:val="000000" w:themeColor="text1"/>
        </w:rPr>
        <w:t>間接持有國外不動產者</w:t>
      </w:r>
      <w:r w:rsidRPr="00E224E9">
        <w:rPr>
          <w:rFonts w:ascii="Book Antiqua" w:hAnsi="Book Antiqua" w:hint="eastAsia"/>
          <w:color w:val="000000" w:themeColor="text1"/>
        </w:rPr>
        <w:t>/</w:t>
      </w:r>
      <w:r w:rsidRPr="00E224E9">
        <w:rPr>
          <w:rFonts w:ascii="Book Antiqua" w:hAnsi="Book Antiqua" w:hint="eastAsia"/>
          <w:color w:val="000000" w:themeColor="text1"/>
        </w:rPr>
        <w:t>含投資預付款</w:t>
      </w:r>
      <w:r w:rsidRPr="00E224E9">
        <w:rPr>
          <w:rFonts w:ascii="Book Antiqua" w:hAnsi="Book Antiqua" w:hint="eastAsia"/>
          <w:color w:val="000000" w:themeColor="text1"/>
        </w:rPr>
        <w:t>),</w:t>
      </w:r>
      <w:r w:rsidRPr="00E224E9">
        <w:rPr>
          <w:rFonts w:ascii="Book Antiqua" w:hAnsi="Book Antiqua"/>
          <w:color w:val="000000" w:themeColor="text1"/>
        </w:rPr>
        <w:t>E.</w:t>
      </w:r>
      <w:r w:rsidRPr="00E224E9">
        <w:rPr>
          <w:rFonts w:ascii="Book Antiqua" w:hAnsi="標楷體"/>
          <w:color w:val="000000" w:themeColor="text1"/>
        </w:rPr>
        <w:t>待</w:t>
      </w:r>
      <w:r w:rsidR="00085C0F" w:rsidRPr="00E224E9">
        <w:rPr>
          <w:rFonts w:ascii="Book Antiqua" w:hAnsi="標楷體" w:hint="eastAsia"/>
          <w:color w:val="000000" w:themeColor="text1"/>
        </w:rPr>
        <w:t>出售資產</w:t>
      </w:r>
      <w:r w:rsidRPr="00E224E9">
        <w:rPr>
          <w:rFonts w:ascii="Book Antiqua" w:hAnsi="標楷體"/>
          <w:color w:val="000000" w:themeColor="text1"/>
        </w:rPr>
        <w:t>。</w:t>
      </w:r>
    </w:p>
    <w:p w14:paraId="40E9DEB5" w14:textId="77777777" w:rsidR="009942EA" w:rsidRPr="00E224E9" w:rsidRDefault="009942EA" w:rsidP="000E250A">
      <w:pPr>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10</w:t>
      </w:r>
      <w:r w:rsidRPr="00E224E9">
        <w:rPr>
          <w:rFonts w:ascii="Book Antiqua" w:hAnsi="標楷體"/>
          <w:color w:val="000000" w:themeColor="text1"/>
        </w:rPr>
        <w:t>欄－是否為專案運用公共及社會福利事業投資</w:t>
      </w:r>
    </w:p>
    <w:p w14:paraId="6711AAFB" w14:textId="254D8FE6" w:rsidR="009942EA" w:rsidRPr="00E224E9" w:rsidRDefault="00B956C5" w:rsidP="007D4614">
      <w:pPr>
        <w:spacing w:line="440" w:lineRule="exact"/>
        <w:ind w:left="520" w:hangingChars="200" w:hanging="520"/>
        <w:jc w:val="both"/>
        <w:rPr>
          <w:rFonts w:ascii="Book Antiqua" w:hAnsi="標楷體"/>
          <w:color w:val="000000" w:themeColor="text1"/>
        </w:rPr>
      </w:pPr>
      <w:r w:rsidRPr="00E224E9">
        <w:rPr>
          <w:rFonts w:ascii="Book Antiqua" w:hAnsi="Book Antiqua" w:hint="eastAsia"/>
          <w:color w:val="000000" w:themeColor="text1"/>
        </w:rPr>
        <w:t xml:space="preserve">    </w:t>
      </w:r>
      <w:r w:rsidRPr="00E224E9">
        <w:rPr>
          <w:rFonts w:ascii="Book Antiqua" w:hAnsi="Book Antiqua" w:hint="eastAsia"/>
          <w:color w:val="000000" w:themeColor="text1"/>
        </w:rPr>
        <w:t>所稱是否為專案運用公共及社會福利事業投資請依序填列代號</w:t>
      </w:r>
      <w:r w:rsidRPr="00E224E9">
        <w:rPr>
          <w:rFonts w:ascii="Book Antiqua" w:hAnsi="Book Antiqua" w:hint="eastAsia"/>
          <w:color w:val="000000" w:themeColor="text1"/>
        </w:rPr>
        <w:t>(A</w:t>
      </w:r>
      <w:r w:rsidRPr="00E224E9">
        <w:rPr>
          <w:rFonts w:ascii="Book Antiqua" w:hAnsi="Book Antiqua" w:hint="eastAsia"/>
          <w:color w:val="000000" w:themeColor="text1"/>
        </w:rPr>
        <w:t>、</w:t>
      </w:r>
      <w:r w:rsidRPr="00E224E9">
        <w:rPr>
          <w:rFonts w:ascii="Book Antiqua" w:hAnsi="Book Antiqua" w:hint="eastAsia"/>
          <w:color w:val="000000" w:themeColor="text1"/>
        </w:rPr>
        <w:t>B</w:t>
      </w:r>
      <w:r w:rsidRPr="00E224E9">
        <w:rPr>
          <w:rFonts w:ascii="Book Antiqua" w:hAnsi="Book Antiqua" w:hint="eastAsia"/>
          <w:color w:val="000000" w:themeColor="text1"/>
        </w:rPr>
        <w:t>、</w:t>
      </w:r>
      <w:r w:rsidRPr="00E224E9">
        <w:rPr>
          <w:rFonts w:ascii="Book Antiqua" w:hAnsi="Book Antiqua" w:hint="eastAsia"/>
          <w:color w:val="000000" w:themeColor="text1"/>
        </w:rPr>
        <w:t>C1</w:t>
      </w:r>
      <w:r w:rsidRPr="00E224E9">
        <w:rPr>
          <w:rFonts w:ascii="Book Antiqua" w:hAnsi="Book Antiqua" w:hint="eastAsia"/>
          <w:color w:val="000000" w:themeColor="text1"/>
        </w:rPr>
        <w:t>、</w:t>
      </w:r>
      <w:r w:rsidRPr="00E224E9">
        <w:rPr>
          <w:rFonts w:ascii="Book Antiqua" w:hAnsi="Book Antiqua" w:hint="eastAsia"/>
          <w:color w:val="000000" w:themeColor="text1"/>
        </w:rPr>
        <w:t>C2</w:t>
      </w:r>
      <w:r w:rsidRPr="00E224E9">
        <w:rPr>
          <w:rFonts w:ascii="Book Antiqua" w:hAnsi="Book Antiqua" w:hint="eastAsia"/>
          <w:color w:val="000000" w:themeColor="text1"/>
        </w:rPr>
        <w:t>、</w:t>
      </w:r>
      <w:r w:rsidRPr="00E224E9">
        <w:rPr>
          <w:rFonts w:ascii="Book Antiqua" w:hAnsi="Book Antiqua" w:hint="eastAsia"/>
          <w:color w:val="000000" w:themeColor="text1"/>
        </w:rPr>
        <w:t>C3</w:t>
      </w:r>
      <w:r w:rsidRPr="00E224E9">
        <w:rPr>
          <w:rFonts w:ascii="Book Antiqua" w:hAnsi="Book Antiqua" w:hint="eastAsia"/>
          <w:color w:val="000000" w:themeColor="text1"/>
        </w:rPr>
        <w:t>、</w:t>
      </w:r>
      <w:r w:rsidRPr="00E224E9">
        <w:rPr>
          <w:rFonts w:ascii="Book Antiqua" w:hAnsi="Book Antiqua" w:hint="eastAsia"/>
          <w:color w:val="000000" w:themeColor="text1"/>
        </w:rPr>
        <w:t>D</w:t>
      </w:r>
      <w:r w:rsidRPr="00E224E9">
        <w:rPr>
          <w:rFonts w:ascii="Book Antiqua" w:hAnsi="Book Antiqua" w:hint="eastAsia"/>
          <w:color w:val="000000" w:themeColor="text1"/>
        </w:rPr>
        <w:t>、</w:t>
      </w:r>
      <w:r w:rsidRPr="00E224E9">
        <w:rPr>
          <w:rFonts w:ascii="Book Antiqua" w:hAnsi="Book Antiqua" w:hint="eastAsia"/>
          <w:color w:val="000000" w:themeColor="text1"/>
        </w:rPr>
        <w:t>E</w:t>
      </w:r>
      <w:r w:rsidRPr="00E224E9">
        <w:rPr>
          <w:rFonts w:ascii="Book Antiqua" w:hAnsi="Book Antiqua" w:hint="eastAsia"/>
          <w:color w:val="000000" w:themeColor="text1"/>
        </w:rPr>
        <w:t>、</w:t>
      </w:r>
      <w:r w:rsidRPr="00E224E9">
        <w:rPr>
          <w:rFonts w:ascii="Book Antiqua" w:hAnsi="Book Antiqua" w:hint="eastAsia"/>
          <w:color w:val="000000" w:themeColor="text1"/>
        </w:rPr>
        <w:t>F)</w:t>
      </w:r>
      <w:r w:rsidRPr="00E224E9">
        <w:rPr>
          <w:rFonts w:ascii="Book Antiqua" w:hAnsi="Book Antiqua" w:hint="eastAsia"/>
          <w:color w:val="000000" w:themeColor="text1"/>
        </w:rPr>
        <w:t>即可。如</w:t>
      </w:r>
      <w:r w:rsidRPr="00E224E9">
        <w:rPr>
          <w:rFonts w:ascii="Book Antiqua" w:hAnsi="Book Antiqua" w:hint="eastAsia"/>
          <w:color w:val="000000" w:themeColor="text1"/>
        </w:rPr>
        <w:t>A.</w:t>
      </w:r>
      <w:r w:rsidRPr="00E224E9">
        <w:rPr>
          <w:rFonts w:ascii="Book Antiqua" w:hAnsi="Book Antiqua" w:hint="eastAsia"/>
          <w:color w:val="000000" w:themeColor="text1"/>
        </w:rPr>
        <w:t>專案運用</w:t>
      </w:r>
      <w:r w:rsidRPr="00E224E9">
        <w:rPr>
          <w:rFonts w:ascii="Book Antiqua" w:hAnsi="Book Antiqua" w:hint="eastAsia"/>
          <w:color w:val="000000" w:themeColor="text1"/>
        </w:rPr>
        <w:t>-</w:t>
      </w:r>
      <w:r w:rsidRPr="00E224E9">
        <w:rPr>
          <w:rFonts w:ascii="Book Antiqua" w:hAnsi="Book Antiqua" w:hint="eastAsia"/>
          <w:color w:val="000000" w:themeColor="text1"/>
        </w:rPr>
        <w:t>非創業投資、</w:t>
      </w:r>
      <w:r w:rsidR="00B0341D" w:rsidRPr="00E224E9">
        <w:rPr>
          <w:rFonts w:ascii="Book Antiqua" w:hAnsi="Book Antiqua"/>
          <w:color w:val="000000" w:themeColor="text1"/>
        </w:rPr>
        <w:t>B1.</w:t>
      </w:r>
      <w:r w:rsidR="00B0341D" w:rsidRPr="00E224E9">
        <w:rPr>
          <w:rFonts w:ascii="Book Antiqua" w:hAnsi="Book Antiqua" w:hint="eastAsia"/>
          <w:color w:val="000000" w:themeColor="text1"/>
        </w:rPr>
        <w:t>專案運用</w:t>
      </w:r>
      <w:r w:rsidR="00B0341D" w:rsidRPr="00E224E9">
        <w:rPr>
          <w:rFonts w:ascii="Book Antiqua" w:hAnsi="Book Antiqua"/>
          <w:color w:val="000000" w:themeColor="text1"/>
        </w:rPr>
        <w:t>-</w:t>
      </w:r>
      <w:r w:rsidR="00B0341D" w:rsidRPr="00E224E9">
        <w:rPr>
          <w:rFonts w:ascii="Book Antiqua" w:hAnsi="Book Antiqua" w:hint="eastAsia"/>
          <w:color w:val="000000" w:themeColor="text1"/>
        </w:rPr>
        <w:t>創業投資【公共投資</w:t>
      </w:r>
      <w:r w:rsidR="00B0341D" w:rsidRPr="00E224E9">
        <w:rPr>
          <w:rFonts w:ascii="Book Antiqua" w:hAnsi="Book Antiqua"/>
          <w:color w:val="000000" w:themeColor="text1"/>
        </w:rPr>
        <w:t>100%</w:t>
      </w:r>
      <w:r w:rsidR="00B0341D" w:rsidRPr="00E224E9">
        <w:rPr>
          <w:rFonts w:ascii="Book Antiqua" w:hAnsi="Book Antiqua" w:hint="eastAsia"/>
          <w:color w:val="000000" w:themeColor="text1"/>
        </w:rPr>
        <w:t>】</w:t>
      </w:r>
      <w:r w:rsidR="00BB22DB" w:rsidRPr="00E224E9">
        <w:rPr>
          <w:rFonts w:ascii="Book Antiqua" w:hAnsi="Book Antiqua" w:hint="eastAsia"/>
          <w:color w:val="000000" w:themeColor="text1"/>
        </w:rPr>
        <w:t>、</w:t>
      </w:r>
      <w:r w:rsidR="00B0341D" w:rsidRPr="00E224E9">
        <w:rPr>
          <w:rFonts w:ascii="Book Antiqua" w:hAnsi="Book Antiqua"/>
          <w:color w:val="000000" w:themeColor="text1"/>
        </w:rPr>
        <w:t>B2.</w:t>
      </w:r>
      <w:r w:rsidR="00B0341D" w:rsidRPr="00E224E9">
        <w:rPr>
          <w:rFonts w:ascii="Book Antiqua" w:hAnsi="Book Antiqua" w:hint="eastAsia"/>
          <w:color w:val="000000" w:themeColor="text1"/>
        </w:rPr>
        <w:t>專案運用</w:t>
      </w:r>
      <w:r w:rsidR="00B0341D" w:rsidRPr="00E224E9">
        <w:rPr>
          <w:rFonts w:ascii="Book Antiqua" w:hAnsi="Book Antiqua"/>
          <w:color w:val="000000" w:themeColor="text1"/>
        </w:rPr>
        <w:t>-</w:t>
      </w:r>
      <w:r w:rsidR="00B0341D" w:rsidRPr="00E224E9">
        <w:rPr>
          <w:rFonts w:ascii="Book Antiqua" w:hAnsi="Book Antiqua" w:hint="eastAsia"/>
          <w:color w:val="000000" w:themeColor="text1"/>
        </w:rPr>
        <w:t>創業投資【公共投資</w:t>
      </w:r>
      <w:r w:rsidR="00B0341D" w:rsidRPr="00E224E9">
        <w:rPr>
          <w:rFonts w:ascii="Book Antiqua" w:hAnsi="Book Antiqua"/>
          <w:color w:val="000000" w:themeColor="text1"/>
        </w:rPr>
        <w:t>, 5+2</w:t>
      </w:r>
      <w:r w:rsidR="00B0341D" w:rsidRPr="00E224E9">
        <w:rPr>
          <w:rFonts w:ascii="Book Antiqua" w:hAnsi="Book Antiqua" w:hint="eastAsia"/>
          <w:color w:val="000000" w:themeColor="text1"/>
        </w:rPr>
        <w:t>及六大核心產業</w:t>
      </w:r>
      <w:r w:rsidR="00B0341D" w:rsidRPr="00E224E9">
        <w:rPr>
          <w:rFonts w:ascii="Book Antiqua" w:hAnsi="Book Antiqua"/>
          <w:color w:val="000000" w:themeColor="text1"/>
        </w:rPr>
        <w:t>(</w:t>
      </w:r>
      <w:r w:rsidR="00B0341D" w:rsidRPr="00E224E9">
        <w:rPr>
          <w:rFonts w:ascii="Book Antiqua" w:hAnsi="Book Antiqua" w:hint="eastAsia"/>
          <w:color w:val="000000" w:themeColor="text1"/>
        </w:rPr>
        <w:t>混合型標的</w:t>
      </w:r>
      <w:r w:rsidR="00B0341D" w:rsidRPr="00E224E9">
        <w:rPr>
          <w:rFonts w:ascii="Book Antiqua" w:hAnsi="Book Antiqua"/>
          <w:color w:val="000000" w:themeColor="text1"/>
        </w:rPr>
        <w:t>)</w:t>
      </w:r>
      <w:r w:rsidR="00B0341D" w:rsidRPr="00E224E9">
        <w:rPr>
          <w:rFonts w:ascii="Book Antiqua" w:hAnsi="Book Antiqua" w:hint="eastAsia"/>
          <w:color w:val="000000" w:themeColor="text1"/>
        </w:rPr>
        <w:t>】</w:t>
      </w:r>
      <w:r w:rsidR="00BB22DB" w:rsidRPr="00E224E9">
        <w:rPr>
          <w:rFonts w:ascii="Book Antiqua" w:hAnsi="Book Antiqua" w:hint="eastAsia"/>
          <w:color w:val="000000" w:themeColor="text1"/>
        </w:rPr>
        <w:t>、</w:t>
      </w:r>
      <w:r w:rsidR="00B0341D" w:rsidRPr="00E224E9">
        <w:rPr>
          <w:rFonts w:ascii="Book Antiqua" w:hAnsi="Book Antiqua"/>
          <w:color w:val="000000" w:themeColor="text1"/>
        </w:rPr>
        <w:t>B3.</w:t>
      </w:r>
      <w:r w:rsidR="00B0341D" w:rsidRPr="00E224E9">
        <w:rPr>
          <w:rFonts w:ascii="Book Antiqua" w:hAnsi="Book Antiqua" w:hint="eastAsia"/>
          <w:color w:val="000000" w:themeColor="text1"/>
        </w:rPr>
        <w:t>專案運用</w:t>
      </w:r>
      <w:r w:rsidR="00B0341D" w:rsidRPr="00E224E9">
        <w:rPr>
          <w:rFonts w:ascii="Book Antiqua" w:hAnsi="Book Antiqua"/>
          <w:color w:val="000000" w:themeColor="text1"/>
        </w:rPr>
        <w:t>-</w:t>
      </w:r>
      <w:r w:rsidR="00B0341D" w:rsidRPr="00E224E9">
        <w:rPr>
          <w:rFonts w:ascii="Book Antiqua" w:hAnsi="Book Antiqua" w:hint="eastAsia"/>
          <w:color w:val="000000" w:themeColor="text1"/>
        </w:rPr>
        <w:t>創業投資【其他】</w:t>
      </w:r>
      <w:r w:rsidRPr="00E224E9">
        <w:rPr>
          <w:rFonts w:ascii="Book Antiqua" w:hAnsi="Book Antiqua" w:hint="eastAsia"/>
          <w:color w:val="000000" w:themeColor="text1"/>
        </w:rPr>
        <w:t>、</w:t>
      </w:r>
      <w:r w:rsidRPr="00E224E9">
        <w:rPr>
          <w:rFonts w:ascii="Book Antiqua" w:hAnsi="Book Antiqua" w:hint="eastAsia"/>
          <w:color w:val="000000" w:themeColor="text1"/>
        </w:rPr>
        <w:t>C1.</w:t>
      </w:r>
      <w:r w:rsidRPr="00E224E9">
        <w:rPr>
          <w:rFonts w:ascii="Book Antiqua" w:hAnsi="Book Antiqua" w:hint="eastAsia"/>
          <w:color w:val="000000" w:themeColor="text1"/>
        </w:rPr>
        <w:t>投資保險相關事業</w:t>
      </w:r>
      <w:r w:rsidRPr="00E224E9">
        <w:rPr>
          <w:rFonts w:ascii="Book Antiqua" w:hAnsi="Book Antiqua" w:hint="eastAsia"/>
          <w:color w:val="000000" w:themeColor="text1"/>
        </w:rPr>
        <w:t>-</w:t>
      </w:r>
      <w:r w:rsidRPr="00E224E9">
        <w:rPr>
          <w:rFonts w:ascii="Book Antiqua" w:hAnsi="Book Antiqua" w:hint="eastAsia"/>
          <w:color w:val="000000" w:themeColor="text1"/>
        </w:rPr>
        <w:t>保險業、</w:t>
      </w:r>
      <w:r w:rsidRPr="00E224E9">
        <w:rPr>
          <w:rFonts w:ascii="Book Antiqua" w:hAnsi="Book Antiqua" w:hint="eastAsia"/>
          <w:color w:val="000000" w:themeColor="text1"/>
        </w:rPr>
        <w:t>C2.</w:t>
      </w:r>
      <w:r w:rsidRPr="00E224E9">
        <w:rPr>
          <w:rFonts w:ascii="Book Antiqua" w:hAnsi="Book Antiqua" w:hint="eastAsia"/>
          <w:color w:val="000000" w:themeColor="text1"/>
        </w:rPr>
        <w:t>投資保險相關事業</w:t>
      </w:r>
      <w:r w:rsidRPr="00E224E9">
        <w:rPr>
          <w:rFonts w:ascii="Book Antiqua" w:hAnsi="Book Antiqua" w:hint="eastAsia"/>
          <w:color w:val="000000" w:themeColor="text1"/>
        </w:rPr>
        <w:t>-</w:t>
      </w:r>
      <w:r w:rsidRPr="00E224E9">
        <w:rPr>
          <w:rFonts w:ascii="Book Antiqua" w:hAnsi="Book Antiqua" w:hint="eastAsia"/>
          <w:color w:val="000000" w:themeColor="text1"/>
        </w:rPr>
        <w:t>非保險業且有資本適足要求之產業、</w:t>
      </w:r>
      <w:r w:rsidRPr="00E224E9">
        <w:rPr>
          <w:rFonts w:ascii="Book Antiqua" w:hAnsi="Book Antiqua" w:hint="eastAsia"/>
          <w:color w:val="000000" w:themeColor="text1"/>
        </w:rPr>
        <w:t>C3.</w:t>
      </w:r>
      <w:r w:rsidRPr="00E224E9">
        <w:rPr>
          <w:rFonts w:ascii="Book Antiqua" w:hAnsi="Book Antiqua" w:hint="eastAsia"/>
          <w:color w:val="000000" w:themeColor="text1"/>
        </w:rPr>
        <w:t>投資保險相關事業</w:t>
      </w:r>
      <w:r w:rsidRPr="00E224E9">
        <w:rPr>
          <w:rFonts w:ascii="Book Antiqua" w:hAnsi="Book Antiqua" w:hint="eastAsia"/>
          <w:color w:val="000000" w:themeColor="text1"/>
        </w:rPr>
        <w:t>-</w:t>
      </w:r>
      <w:r w:rsidRPr="00E224E9">
        <w:rPr>
          <w:rFonts w:ascii="Book Antiqua" w:hAnsi="Book Antiqua" w:hint="eastAsia"/>
          <w:color w:val="000000" w:themeColor="text1"/>
        </w:rPr>
        <w:t>其他保險相關事業、</w:t>
      </w:r>
      <w:r w:rsidRPr="00E224E9">
        <w:rPr>
          <w:rFonts w:ascii="Book Antiqua" w:hAnsi="Book Antiqua" w:hint="eastAsia"/>
          <w:color w:val="000000" w:themeColor="text1"/>
        </w:rPr>
        <w:t>D.</w:t>
      </w:r>
      <w:r w:rsidRPr="00E224E9">
        <w:rPr>
          <w:rFonts w:ascii="Book Antiqua" w:hAnsi="Book Antiqua" w:hint="eastAsia"/>
          <w:color w:val="000000" w:themeColor="text1"/>
        </w:rPr>
        <w:t>政策性之專案運用、公共及社會福利事業投資</w:t>
      </w:r>
      <w:r w:rsidRPr="00E224E9">
        <w:rPr>
          <w:rFonts w:ascii="Book Antiqua" w:hAnsi="Book Antiqua" w:hint="eastAsia"/>
          <w:color w:val="000000" w:themeColor="text1"/>
        </w:rPr>
        <w:t>(</w:t>
      </w:r>
      <w:r w:rsidRPr="00E224E9">
        <w:rPr>
          <w:rFonts w:ascii="Book Antiqua" w:hAnsi="Book Antiqua" w:hint="eastAsia"/>
          <w:color w:val="000000" w:themeColor="text1"/>
        </w:rPr>
        <w:t>含長期照護產業</w:t>
      </w:r>
      <w:r w:rsidRPr="00E224E9">
        <w:rPr>
          <w:rFonts w:ascii="Book Antiqua" w:hAnsi="Book Antiqua" w:hint="eastAsia"/>
          <w:color w:val="000000" w:themeColor="text1"/>
        </w:rPr>
        <w:t>)</w:t>
      </w:r>
      <w:r w:rsidRPr="00E224E9">
        <w:rPr>
          <w:rFonts w:ascii="Book Antiqua" w:hAnsi="Book Antiqua" w:hint="eastAsia"/>
          <w:color w:val="000000" w:themeColor="text1"/>
        </w:rPr>
        <w:t>與其他主管機關核准項目、</w:t>
      </w:r>
      <w:r w:rsidRPr="00E224E9">
        <w:rPr>
          <w:rFonts w:ascii="Book Antiqua" w:hAnsi="Book Antiqua" w:hint="eastAsia"/>
          <w:color w:val="000000" w:themeColor="text1"/>
        </w:rPr>
        <w:t>E.</w:t>
      </w:r>
      <w:r w:rsidRPr="00E224E9">
        <w:rPr>
          <w:rFonts w:ascii="Book Antiqua" w:hAnsi="Book Antiqua" w:hint="eastAsia"/>
          <w:color w:val="000000" w:themeColor="text1"/>
        </w:rPr>
        <w:t>非政策性專案運用公共及社會福利事業投資、</w:t>
      </w:r>
      <w:r w:rsidRPr="00E224E9">
        <w:rPr>
          <w:rFonts w:ascii="Book Antiqua" w:hAnsi="Book Antiqua" w:hint="eastAsia"/>
          <w:color w:val="000000" w:themeColor="text1"/>
        </w:rPr>
        <w:t>F.</w:t>
      </w:r>
      <w:r w:rsidRPr="00E224E9">
        <w:rPr>
          <w:rFonts w:ascii="Book Antiqua" w:hAnsi="Book Antiqua" w:hint="eastAsia"/>
          <w:color w:val="000000" w:themeColor="text1"/>
        </w:rPr>
        <w:t>其他</w:t>
      </w:r>
    </w:p>
    <w:p w14:paraId="2BD9483C" w14:textId="77777777" w:rsidR="009942EA" w:rsidRPr="00E224E9" w:rsidRDefault="009942EA" w:rsidP="00BA2996">
      <w:pPr>
        <w:spacing w:line="440" w:lineRule="exact"/>
        <w:ind w:left="520" w:hangingChars="200" w:hanging="520"/>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11</w:t>
      </w:r>
      <w:r w:rsidRPr="00E224E9">
        <w:rPr>
          <w:rFonts w:ascii="Book Antiqua" w:hAnsi="標楷體"/>
          <w:color w:val="000000" w:themeColor="text1"/>
        </w:rPr>
        <w:t>欄－</w:t>
      </w:r>
      <w:r w:rsidR="00E1748B" w:rsidRPr="00E224E9">
        <w:rPr>
          <w:rFonts w:ascii="Book Antiqua" w:hAnsi="標楷體" w:hint="eastAsia"/>
          <w:color w:val="000000" w:themeColor="text1"/>
        </w:rPr>
        <w:t>是否屬實質互相投資之負債型特別股</w:t>
      </w:r>
    </w:p>
    <w:p w14:paraId="3DCBB864" w14:textId="6303571C" w:rsidR="009F24D7" w:rsidRPr="00E224E9" w:rsidRDefault="009942EA" w:rsidP="009F24D7">
      <w:pPr>
        <w:spacing w:line="440" w:lineRule="exact"/>
        <w:ind w:left="520" w:hangingChars="200" w:hanging="520"/>
        <w:jc w:val="both"/>
        <w:rPr>
          <w:rFonts w:ascii="Book Antiqua" w:hAnsi="Book Antiqua"/>
          <w:b/>
          <w:bCs/>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本欄係判別</w:t>
      </w:r>
      <w:r w:rsidR="009F24D7" w:rsidRPr="00E224E9">
        <w:rPr>
          <w:rFonts w:ascii="Book Antiqua" w:hAnsi="標楷體" w:hint="eastAsia"/>
          <w:color w:val="000000" w:themeColor="text1"/>
        </w:rPr>
        <w:t>是否屬實質互相投資之負債型特別股，請填列</w:t>
      </w:r>
      <w:r w:rsidR="006A42BD" w:rsidRPr="00E224E9">
        <w:rPr>
          <w:rFonts w:ascii="Book Antiqua" w:hAnsi="標楷體" w:hint="eastAsia"/>
          <w:color w:val="000000" w:themeColor="text1"/>
        </w:rPr>
        <w:t>A</w:t>
      </w:r>
      <w:r w:rsidR="009F24D7" w:rsidRPr="00E224E9">
        <w:rPr>
          <w:rFonts w:ascii="Book Antiqua" w:hAnsi="標楷體" w:hint="eastAsia"/>
          <w:color w:val="000000" w:themeColor="text1"/>
        </w:rPr>
        <w:t>.</w:t>
      </w:r>
      <w:r w:rsidR="009F24D7" w:rsidRPr="00E224E9">
        <w:rPr>
          <w:rFonts w:ascii="Book Antiqua" w:hAnsi="標楷體" w:hint="eastAsia"/>
          <w:color w:val="000000" w:themeColor="text1"/>
        </w:rPr>
        <w:t>屬實質互相投資之負債型特別股</w:t>
      </w:r>
      <w:r w:rsidR="009F24D7" w:rsidRPr="00E224E9">
        <w:rPr>
          <w:rFonts w:ascii="Book Antiqua" w:hAnsi="標楷體" w:hint="eastAsia"/>
          <w:color w:val="000000" w:themeColor="text1"/>
        </w:rPr>
        <w:t xml:space="preserve">, </w:t>
      </w:r>
      <w:r w:rsidR="006A42BD" w:rsidRPr="00E224E9">
        <w:rPr>
          <w:rFonts w:ascii="Book Antiqua" w:hAnsi="標楷體" w:hint="eastAsia"/>
          <w:color w:val="000000" w:themeColor="text1"/>
        </w:rPr>
        <w:t>B</w:t>
      </w:r>
      <w:r w:rsidR="009F24D7" w:rsidRPr="00E224E9">
        <w:rPr>
          <w:rFonts w:ascii="Book Antiqua" w:hAnsi="標楷體" w:hint="eastAsia"/>
          <w:color w:val="000000" w:themeColor="text1"/>
        </w:rPr>
        <w:t>.</w:t>
      </w:r>
      <w:r w:rsidR="009F24D7" w:rsidRPr="00E224E9">
        <w:rPr>
          <w:rFonts w:ascii="Book Antiqua" w:hAnsi="標楷體" w:hint="eastAsia"/>
          <w:color w:val="000000" w:themeColor="text1"/>
        </w:rPr>
        <w:t>非屬實質互相投資之負債型特別股</w:t>
      </w:r>
      <w:r w:rsidR="006A42BD" w:rsidRPr="00E224E9">
        <w:rPr>
          <w:rFonts w:ascii="Book Antiqua" w:hAnsi="標楷體" w:hint="eastAsia"/>
          <w:color w:val="000000" w:themeColor="text1"/>
        </w:rPr>
        <w:t>,</w:t>
      </w:r>
      <w:r w:rsidR="006A42BD" w:rsidRPr="00E224E9">
        <w:rPr>
          <w:rFonts w:ascii="Book Antiqua" w:hAnsi="標楷體"/>
          <w:color w:val="000000" w:themeColor="text1"/>
        </w:rPr>
        <w:t>C.</w:t>
      </w:r>
      <w:r w:rsidR="006A42BD" w:rsidRPr="00E224E9">
        <w:rPr>
          <w:rFonts w:ascii="Book Antiqua" w:hAnsi="標楷體" w:hint="eastAsia"/>
          <w:color w:val="000000" w:themeColor="text1"/>
        </w:rPr>
        <w:t>非負債型特別股</w:t>
      </w:r>
      <w:r w:rsidR="009F24D7" w:rsidRPr="00E224E9">
        <w:rPr>
          <w:rFonts w:ascii="Book Antiqua" w:hAnsi="標楷體" w:hint="eastAsia"/>
          <w:color w:val="000000" w:themeColor="text1"/>
        </w:rPr>
        <w:t>。是否屬實質互相投資請參考</w:t>
      </w:r>
      <w:r w:rsidR="007D1E80" w:rsidRPr="00E224E9">
        <w:rPr>
          <w:rFonts w:ascii="Book Antiqua" w:hAnsi="標楷體" w:hint="eastAsia"/>
          <w:color w:val="000000" w:themeColor="text1"/>
        </w:rPr>
        <w:t>「</w:t>
      </w:r>
      <w:r w:rsidR="003B21B9" w:rsidRPr="00E224E9">
        <w:rPr>
          <w:rFonts w:ascii="Book Antiqua" w:hAnsi="標楷體" w:hint="eastAsia"/>
          <w:color w:val="000000" w:themeColor="text1"/>
        </w:rPr>
        <w:t>臺灣集中保管結算所</w:t>
      </w:r>
      <w:r w:rsidR="007D1E80" w:rsidRPr="00E224E9">
        <w:rPr>
          <w:rFonts w:ascii="Book Antiqua" w:hAnsi="標楷體" w:hint="eastAsia"/>
          <w:color w:val="000000" w:themeColor="text1"/>
        </w:rPr>
        <w:t>」的「保險業投資資本工具查詢平台」</w:t>
      </w:r>
      <w:r w:rsidR="009F24D7" w:rsidRPr="00E224E9">
        <w:rPr>
          <w:rFonts w:ascii="Book Antiqua" w:hAnsi="標楷體" w:hint="eastAsia"/>
          <w:color w:val="000000" w:themeColor="text1"/>
        </w:rPr>
        <w:t>。</w:t>
      </w:r>
      <w:r w:rsidR="009F24D7" w:rsidRPr="00E224E9">
        <w:rPr>
          <w:rFonts w:ascii="Book Antiqua" w:hAnsi="Book Antiqua" w:hint="eastAsia"/>
          <w:color w:val="000000" w:themeColor="text1"/>
        </w:rPr>
        <w:t>所稱屬實質互相投資，係指依金管保財字第</w:t>
      </w:r>
      <w:r w:rsidR="009F24D7" w:rsidRPr="00E224E9">
        <w:rPr>
          <w:rFonts w:ascii="Book Antiqua" w:hAnsi="Book Antiqua"/>
          <w:color w:val="000000" w:themeColor="text1"/>
        </w:rPr>
        <w:t>10804277130</w:t>
      </w:r>
      <w:r w:rsidR="009F24D7" w:rsidRPr="00E224E9">
        <w:rPr>
          <w:rFonts w:ascii="Book Antiqua" w:hAnsi="Book Antiqua" w:hint="eastAsia"/>
          <w:color w:val="000000" w:themeColor="text1"/>
        </w:rPr>
        <w:t>號函附件項目</w:t>
      </w:r>
      <w:r w:rsidR="009F24D7" w:rsidRPr="00E224E9">
        <w:rPr>
          <w:rFonts w:ascii="Book Antiqua" w:hAnsi="Book Antiqua"/>
          <w:color w:val="000000" w:themeColor="text1"/>
        </w:rPr>
        <w:t>2</w:t>
      </w:r>
      <w:r w:rsidR="009F24D7" w:rsidRPr="00E224E9">
        <w:rPr>
          <w:rFonts w:ascii="Book Antiqua" w:hAnsi="Book Antiqua" w:hint="eastAsia"/>
          <w:color w:val="000000" w:themeColor="text1"/>
        </w:rPr>
        <w:t>：</w:t>
      </w:r>
      <w:r w:rsidR="009F24D7" w:rsidRPr="00E224E9">
        <w:rPr>
          <w:rFonts w:ascii="新細明體" w:eastAsia="新細明體" w:hAnsi="新細明體" w:cs="新細明體" w:hint="eastAsia"/>
          <w:color w:val="000000" w:themeColor="text1"/>
        </w:rPr>
        <w:t>①</w:t>
      </w:r>
      <w:r w:rsidR="009F24D7" w:rsidRPr="00E224E9">
        <w:rPr>
          <w:rFonts w:ascii="標楷體" w:hAnsi="標楷體" w:cs="標楷體" w:hint="eastAsia"/>
          <w:color w:val="000000" w:themeColor="text1"/>
        </w:rPr>
        <w:t>保險業實質互相投資於「國內保險業」發行之負債型特別股；或</w:t>
      </w:r>
      <w:r w:rsidR="009F24D7" w:rsidRPr="00E224E9">
        <w:rPr>
          <w:rFonts w:ascii="新細明體" w:eastAsia="新細明體" w:hAnsi="新細明體" w:cs="新細明體" w:hint="eastAsia"/>
          <w:color w:val="000000" w:themeColor="text1"/>
        </w:rPr>
        <w:t>②</w:t>
      </w:r>
      <w:r w:rsidR="009F24D7" w:rsidRPr="00E224E9">
        <w:rPr>
          <w:rFonts w:ascii="標楷體" w:hAnsi="標楷體" w:cs="標楷體" w:hint="eastAsia"/>
          <w:color w:val="000000" w:themeColor="text1"/>
        </w:rPr>
        <w:t>自</w:t>
      </w:r>
      <w:r w:rsidR="009F24D7" w:rsidRPr="00E224E9">
        <w:rPr>
          <w:rFonts w:ascii="Book Antiqua" w:hAnsi="Book Antiqua"/>
          <w:color w:val="000000" w:themeColor="text1"/>
        </w:rPr>
        <w:t>108</w:t>
      </w:r>
      <w:r w:rsidR="009F24D7" w:rsidRPr="00E224E9">
        <w:rPr>
          <w:rFonts w:ascii="Book Antiqua" w:hAnsi="Book Antiqua" w:hint="eastAsia"/>
          <w:color w:val="000000" w:themeColor="text1"/>
        </w:rPr>
        <w:t>年</w:t>
      </w:r>
      <w:r w:rsidR="009F24D7" w:rsidRPr="00E224E9">
        <w:rPr>
          <w:rFonts w:ascii="Book Antiqua" w:hAnsi="Book Antiqua"/>
          <w:color w:val="000000" w:themeColor="text1"/>
        </w:rPr>
        <w:t>11</w:t>
      </w:r>
      <w:r w:rsidR="009F24D7" w:rsidRPr="00E224E9">
        <w:rPr>
          <w:rFonts w:ascii="Book Antiqua" w:hAnsi="Book Antiqua" w:hint="eastAsia"/>
          <w:color w:val="000000" w:themeColor="text1"/>
        </w:rPr>
        <w:t>月</w:t>
      </w:r>
      <w:r w:rsidR="009F24D7" w:rsidRPr="00E224E9">
        <w:rPr>
          <w:rFonts w:ascii="Book Antiqua" w:hAnsi="Book Antiqua"/>
          <w:color w:val="000000" w:themeColor="text1"/>
        </w:rPr>
        <w:t>1</w:t>
      </w:r>
      <w:r w:rsidR="009F24D7" w:rsidRPr="00E224E9">
        <w:rPr>
          <w:rFonts w:ascii="Book Antiqua" w:hAnsi="Book Antiqua" w:hint="eastAsia"/>
          <w:color w:val="000000" w:themeColor="text1"/>
        </w:rPr>
        <w:t>日起保險業新增實質互相投資於「國內金控公司」發行之負債型特別股。</w:t>
      </w:r>
    </w:p>
    <w:p w14:paraId="4B6DA1E1" w14:textId="77777777" w:rsidR="009942EA" w:rsidRPr="00E224E9" w:rsidRDefault="009942EA" w:rsidP="00C74DED">
      <w:pPr>
        <w:spacing w:line="440" w:lineRule="exact"/>
        <w:ind w:left="520" w:hangingChars="200" w:hanging="520"/>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12</w:t>
      </w:r>
      <w:r w:rsidRPr="00E224E9">
        <w:rPr>
          <w:rFonts w:ascii="Book Antiqua" w:hAnsi="標楷體"/>
          <w:color w:val="000000" w:themeColor="text1"/>
        </w:rPr>
        <w:t>欄－發行公司隸屬國家</w:t>
      </w:r>
    </w:p>
    <w:p w14:paraId="47E80E81" w14:textId="77777777" w:rsidR="009942EA" w:rsidRPr="00E224E9" w:rsidRDefault="009942EA" w:rsidP="00066335">
      <w:pPr>
        <w:spacing w:line="440" w:lineRule="exact"/>
        <w:ind w:left="520" w:hangingChars="200" w:hanging="520"/>
        <w:jc w:val="both"/>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係指發行公司隸屬之國家。</w:t>
      </w:r>
    </w:p>
    <w:p w14:paraId="2C813591" w14:textId="77777777" w:rsidR="009942EA" w:rsidRPr="00E224E9" w:rsidRDefault="009942EA" w:rsidP="008F1CA5">
      <w:pPr>
        <w:spacing w:line="440" w:lineRule="exact"/>
        <w:ind w:left="520" w:hangingChars="200" w:hanging="520"/>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13</w:t>
      </w:r>
      <w:r w:rsidRPr="00E224E9">
        <w:rPr>
          <w:rFonts w:ascii="Book Antiqua" w:hAnsi="標楷體"/>
          <w:color w:val="000000" w:themeColor="text1"/>
        </w:rPr>
        <w:t>欄－交易市場型態</w:t>
      </w:r>
    </w:p>
    <w:p w14:paraId="73F0D92F" w14:textId="77777777" w:rsidR="009942EA" w:rsidRPr="00E224E9" w:rsidRDefault="009942EA" w:rsidP="00BC7FC0">
      <w:pPr>
        <w:spacing w:line="440" w:lineRule="exact"/>
        <w:ind w:left="520" w:hangingChars="200" w:hanging="520"/>
        <w:jc w:val="both"/>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所稱交易市場型態請依序填列代號</w:t>
      </w:r>
      <w:r w:rsidRPr="00E224E9">
        <w:rPr>
          <w:rFonts w:ascii="Book Antiqua" w:hAnsi="Book Antiqua"/>
          <w:color w:val="000000" w:themeColor="text1"/>
        </w:rPr>
        <w:t>(A</w:t>
      </w:r>
      <w:r w:rsidRPr="00E224E9">
        <w:rPr>
          <w:rFonts w:ascii="Book Antiqua" w:hAnsi="標楷體"/>
          <w:color w:val="000000" w:themeColor="text1"/>
        </w:rPr>
        <w:t>、</w:t>
      </w:r>
      <w:r w:rsidRPr="00E224E9">
        <w:rPr>
          <w:rFonts w:ascii="Book Antiqua" w:hAnsi="Book Antiqua"/>
          <w:color w:val="000000" w:themeColor="text1"/>
        </w:rPr>
        <w:t>B</w:t>
      </w:r>
      <w:r w:rsidRPr="00E224E9">
        <w:rPr>
          <w:rFonts w:ascii="Book Antiqua" w:hAnsi="標楷體"/>
          <w:color w:val="000000" w:themeColor="text1"/>
        </w:rPr>
        <w:t>、</w:t>
      </w:r>
      <w:r w:rsidRPr="00E224E9">
        <w:rPr>
          <w:rFonts w:ascii="Book Antiqua" w:hAnsi="Book Antiqua"/>
          <w:color w:val="000000" w:themeColor="text1"/>
        </w:rPr>
        <w:t>C)</w:t>
      </w:r>
      <w:r w:rsidRPr="00E224E9">
        <w:rPr>
          <w:rFonts w:ascii="Book Antiqua" w:hAnsi="標楷體"/>
          <w:color w:val="000000" w:themeColor="text1"/>
        </w:rPr>
        <w:t>即可。如</w:t>
      </w:r>
      <w:r w:rsidRPr="00E224E9">
        <w:rPr>
          <w:rFonts w:ascii="Book Antiqua" w:hAnsi="Book Antiqua"/>
          <w:color w:val="000000" w:themeColor="text1"/>
        </w:rPr>
        <w:t>A.</w:t>
      </w:r>
      <w:r w:rsidRPr="00E224E9">
        <w:rPr>
          <w:rFonts w:ascii="Book Antiqua" w:hAnsi="標楷體"/>
          <w:color w:val="000000" w:themeColor="text1"/>
        </w:rPr>
        <w:t>集中、</w:t>
      </w:r>
      <w:r w:rsidRPr="00E224E9">
        <w:rPr>
          <w:rFonts w:ascii="Book Antiqua" w:hAnsi="Book Antiqua"/>
          <w:color w:val="000000" w:themeColor="text1"/>
        </w:rPr>
        <w:t>B.</w:t>
      </w:r>
      <w:r w:rsidRPr="00E224E9">
        <w:rPr>
          <w:rFonts w:ascii="Book Antiqua" w:hAnsi="標楷體"/>
          <w:color w:val="000000" w:themeColor="text1"/>
        </w:rPr>
        <w:t>店頭、</w:t>
      </w:r>
      <w:r w:rsidRPr="00E224E9">
        <w:rPr>
          <w:rFonts w:ascii="Book Antiqua" w:hAnsi="Book Antiqua"/>
          <w:color w:val="000000" w:themeColor="text1"/>
        </w:rPr>
        <w:t>C.</w:t>
      </w:r>
      <w:r w:rsidRPr="00E224E9">
        <w:rPr>
          <w:rFonts w:ascii="Book Antiqua" w:hAnsi="標楷體"/>
          <w:color w:val="000000" w:themeColor="text1"/>
        </w:rPr>
        <w:t>其他。</w:t>
      </w:r>
    </w:p>
    <w:p w14:paraId="79C8D449" w14:textId="77777777" w:rsidR="009942EA" w:rsidRPr="00E224E9" w:rsidRDefault="009942EA" w:rsidP="00BE6FC3">
      <w:pPr>
        <w:spacing w:line="440" w:lineRule="exact"/>
        <w:ind w:left="520" w:hangingChars="200" w:hanging="520"/>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14</w:t>
      </w:r>
      <w:r w:rsidRPr="00E224E9">
        <w:rPr>
          <w:rFonts w:ascii="Book Antiqua" w:hAnsi="標楷體"/>
          <w:color w:val="000000" w:themeColor="text1"/>
        </w:rPr>
        <w:t>欄－持有資產幣別</w:t>
      </w:r>
      <w:r w:rsidRPr="00E224E9">
        <w:rPr>
          <w:rFonts w:ascii="Book Antiqua" w:hAnsi="Book Antiqua"/>
          <w:color w:val="000000" w:themeColor="text1"/>
        </w:rPr>
        <w:tab/>
      </w:r>
    </w:p>
    <w:p w14:paraId="2884EA3C" w14:textId="77777777" w:rsidR="009942EA" w:rsidRPr="00E224E9" w:rsidRDefault="009942EA" w:rsidP="00F3152E">
      <w:pPr>
        <w:spacing w:line="440" w:lineRule="exact"/>
        <w:ind w:leftChars="171" w:left="445" w:firstLineChars="7" w:firstLine="18"/>
        <w:rPr>
          <w:rFonts w:ascii="Book Antiqua" w:hAnsi="Book Antiqua"/>
          <w:color w:val="000000" w:themeColor="text1"/>
        </w:rPr>
      </w:pPr>
      <w:r w:rsidRPr="00E224E9">
        <w:rPr>
          <w:rFonts w:ascii="Book Antiqua" w:hAnsi="標楷體"/>
          <w:color w:val="000000" w:themeColor="text1"/>
        </w:rPr>
        <w:t>本表均含國內外投資。若屬國外投資者，於持有資產幣別請填該幣別代號，如</w:t>
      </w:r>
      <w:r w:rsidRPr="00E224E9">
        <w:rPr>
          <w:rFonts w:ascii="Book Antiqua" w:hAnsi="Book Antiqua"/>
          <w:color w:val="000000" w:themeColor="text1"/>
        </w:rPr>
        <w:t>USD</w:t>
      </w:r>
      <w:r w:rsidRPr="00E224E9">
        <w:rPr>
          <w:rFonts w:ascii="Book Antiqua" w:hAnsi="標楷體" w:hint="eastAsia"/>
          <w:color w:val="000000" w:themeColor="text1"/>
        </w:rPr>
        <w:t>，</w:t>
      </w:r>
      <w:r w:rsidRPr="00E224E9">
        <w:rPr>
          <w:rFonts w:ascii="Book Antiqua" w:hAnsi="標楷體"/>
          <w:color w:val="000000" w:themeColor="text1"/>
        </w:rPr>
        <w:t>若投資</w:t>
      </w:r>
      <w:r w:rsidRPr="00E224E9">
        <w:rPr>
          <w:rFonts w:ascii="Book Antiqua" w:hAnsi="標楷體" w:hint="eastAsia"/>
          <w:color w:val="000000" w:themeColor="text1"/>
        </w:rPr>
        <w:t>新興市場</w:t>
      </w:r>
      <w:r w:rsidRPr="00E224E9">
        <w:rPr>
          <w:rFonts w:ascii="Book Antiqua" w:hAnsi="標楷體"/>
          <w:color w:val="000000" w:themeColor="text1"/>
        </w:rPr>
        <w:t>而按</w:t>
      </w:r>
      <w:r w:rsidRPr="00E224E9">
        <w:rPr>
          <w:rFonts w:ascii="Book Antiqua" w:hAnsi="標楷體" w:hint="eastAsia"/>
          <w:color w:val="000000" w:themeColor="text1"/>
        </w:rPr>
        <w:t>已開發國家</w:t>
      </w:r>
      <w:r w:rsidRPr="00E224E9">
        <w:rPr>
          <w:rFonts w:ascii="Book Antiqua" w:hAnsi="標楷體"/>
          <w:color w:val="000000" w:themeColor="text1"/>
        </w:rPr>
        <w:t>幣別計價者，請將該幣別增加一碼</w:t>
      </w:r>
      <w:r w:rsidRPr="00E224E9">
        <w:rPr>
          <w:rFonts w:ascii="Book Antiqua" w:hAnsi="標楷體"/>
          <w:color w:val="000000" w:themeColor="text1"/>
        </w:rPr>
        <w:lastRenderedPageBreak/>
        <w:t>如</w:t>
      </w:r>
      <w:r w:rsidRPr="00E224E9">
        <w:rPr>
          <w:rFonts w:ascii="Book Antiqua" w:hAnsi="Book Antiqua"/>
          <w:color w:val="000000" w:themeColor="text1"/>
        </w:rPr>
        <w:t>USD-1</w:t>
      </w:r>
      <w:r w:rsidRPr="00E224E9">
        <w:rPr>
          <w:rFonts w:ascii="Book Antiqua" w:hAnsi="標楷體"/>
          <w:color w:val="000000" w:themeColor="text1"/>
        </w:rPr>
        <w:t>。</w:t>
      </w:r>
    </w:p>
    <w:p w14:paraId="0E1AC110"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15</w:t>
      </w:r>
      <w:r w:rsidRPr="00E224E9">
        <w:rPr>
          <w:rFonts w:ascii="Book Antiqua" w:hAnsi="標楷體"/>
          <w:color w:val="000000" w:themeColor="text1"/>
        </w:rPr>
        <w:t>欄－占有董監事席次比率</w:t>
      </w:r>
    </w:p>
    <w:p w14:paraId="336D3E4F"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係指填表時，本</w:t>
      </w:r>
      <w:r w:rsidRPr="00E224E9">
        <w:rPr>
          <w:rFonts w:ascii="Book Antiqua" w:hAnsi="Book Antiqua"/>
          <w:color w:val="000000" w:themeColor="text1"/>
        </w:rPr>
        <w:t>(</w:t>
      </w:r>
      <w:r w:rsidRPr="00E224E9">
        <w:rPr>
          <w:rFonts w:ascii="Book Antiqua" w:hAnsi="標楷體"/>
          <w:color w:val="000000" w:themeColor="text1"/>
        </w:rPr>
        <w:t>分</w:t>
      </w:r>
      <w:r w:rsidRPr="00E224E9">
        <w:rPr>
          <w:rFonts w:ascii="Book Antiqua" w:hAnsi="Book Antiqua"/>
          <w:color w:val="000000" w:themeColor="text1"/>
        </w:rPr>
        <w:t>)</w:t>
      </w:r>
      <w:r w:rsidRPr="00E224E9">
        <w:rPr>
          <w:rFonts w:ascii="Book Antiqua" w:hAnsi="標楷體"/>
          <w:color w:val="000000" w:themeColor="text1"/>
        </w:rPr>
        <w:t>公司所指派董監事占該被投資公司所有席次比率。</w:t>
      </w:r>
    </w:p>
    <w:p w14:paraId="00FC18B9"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16</w:t>
      </w:r>
      <w:r w:rsidRPr="00E224E9">
        <w:rPr>
          <w:rFonts w:ascii="Book Antiqua" w:hAnsi="標楷體"/>
          <w:color w:val="000000" w:themeColor="text1"/>
        </w:rPr>
        <w:t>欄－持有股數</w:t>
      </w:r>
    </w:p>
    <w:p w14:paraId="624D1146"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為持有股票之股數。</w:t>
      </w:r>
    </w:p>
    <w:p w14:paraId="419CA0BE"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17</w:t>
      </w:r>
      <w:r w:rsidRPr="00E224E9">
        <w:rPr>
          <w:rFonts w:ascii="Book Antiqua" w:hAnsi="標楷體"/>
          <w:color w:val="000000" w:themeColor="text1"/>
        </w:rPr>
        <w:t>欄－持股比率</w:t>
      </w:r>
    </w:p>
    <w:p w14:paraId="30CF770F" w14:textId="3B47EF3A" w:rsidR="009942EA" w:rsidRPr="00E224E9" w:rsidRDefault="009942EA" w:rsidP="00F3152E">
      <w:pPr>
        <w:spacing w:line="440" w:lineRule="exact"/>
        <w:ind w:left="520" w:hangingChars="200" w:hanging="520"/>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為持有股票佔該發行公司發行股數之比率。</w:t>
      </w:r>
      <w:r w:rsidR="00402DB0" w:rsidRPr="00E224E9">
        <w:rPr>
          <w:rFonts w:ascii="Book Antiqua" w:hAnsi="標楷體"/>
          <w:color w:val="000000" w:themeColor="text1"/>
          <w:szCs w:val="26"/>
        </w:rPr>
        <w:t>為持有股票佔該發行公司發行股數之比率。特別股持股比率為持有該發行公司特別股</w:t>
      </w:r>
      <w:r w:rsidR="00402DB0" w:rsidRPr="00E224E9">
        <w:rPr>
          <w:rFonts w:ascii="Book Antiqua" w:hAnsi="標楷體" w:hint="eastAsia"/>
          <w:color w:val="000000" w:themeColor="text1"/>
          <w:szCs w:val="26"/>
        </w:rPr>
        <w:t>股數</w:t>
      </w:r>
      <w:r w:rsidR="00402DB0" w:rsidRPr="00E224E9">
        <w:rPr>
          <w:rFonts w:ascii="Book Antiqua" w:hAnsi="Book Antiqua"/>
          <w:color w:val="000000" w:themeColor="text1"/>
          <w:szCs w:val="26"/>
        </w:rPr>
        <w:t>/</w:t>
      </w:r>
      <w:r w:rsidR="00402DB0" w:rsidRPr="00E224E9">
        <w:rPr>
          <w:rFonts w:ascii="Book Antiqua" w:hAnsi="標楷體"/>
          <w:color w:val="000000" w:themeColor="text1"/>
          <w:szCs w:val="26"/>
        </w:rPr>
        <w:t>發行公司</w:t>
      </w:r>
      <w:r w:rsidR="00402DB0" w:rsidRPr="00E224E9">
        <w:rPr>
          <w:rFonts w:ascii="Book Antiqua" w:hAnsi="標楷體" w:hint="eastAsia"/>
          <w:color w:val="000000" w:themeColor="text1"/>
          <w:szCs w:val="26"/>
        </w:rPr>
        <w:t>已發行股份總數</w:t>
      </w:r>
      <w:r w:rsidR="00402DB0" w:rsidRPr="00E224E9">
        <w:rPr>
          <w:rFonts w:ascii="Book Antiqua" w:hAnsi="標楷體"/>
          <w:color w:val="000000" w:themeColor="text1"/>
          <w:szCs w:val="26"/>
        </w:rPr>
        <w:t>計算之比率；所稱特別股</w:t>
      </w:r>
      <w:r w:rsidR="00402DB0" w:rsidRPr="00E224E9">
        <w:rPr>
          <w:rFonts w:ascii="Book Antiqua" w:hAnsi="標楷體" w:hint="eastAsia"/>
          <w:color w:val="000000" w:themeColor="text1"/>
          <w:szCs w:val="26"/>
        </w:rPr>
        <w:t>已發行股份總數</w:t>
      </w:r>
      <w:r w:rsidR="00402DB0" w:rsidRPr="00E224E9">
        <w:rPr>
          <w:rFonts w:ascii="Book Antiqua" w:hAnsi="標楷體"/>
          <w:color w:val="000000" w:themeColor="text1"/>
          <w:szCs w:val="26"/>
        </w:rPr>
        <w:t>包含普通股與特別股。</w:t>
      </w:r>
    </w:p>
    <w:p w14:paraId="221752B8" w14:textId="77777777" w:rsidR="009942EA" w:rsidRPr="00E224E9" w:rsidRDefault="009942EA" w:rsidP="000E250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18</w:t>
      </w:r>
      <w:r w:rsidRPr="00E224E9">
        <w:rPr>
          <w:rFonts w:ascii="Book Antiqua" w:hAnsi="標楷體"/>
          <w:color w:val="000000" w:themeColor="text1"/>
        </w:rPr>
        <w:t>欄－本期增加</w:t>
      </w:r>
      <w:r w:rsidRPr="00E224E9">
        <w:rPr>
          <w:rFonts w:ascii="Book Antiqua" w:hAnsi="Book Antiqua"/>
          <w:color w:val="000000" w:themeColor="text1"/>
        </w:rPr>
        <w:tab/>
      </w:r>
    </w:p>
    <w:p w14:paraId="73CD0F45" w14:textId="77777777" w:rsidR="009942EA" w:rsidRPr="00E224E9" w:rsidRDefault="009942EA" w:rsidP="009C74BA">
      <w:pPr>
        <w:spacing w:line="440" w:lineRule="exact"/>
        <w:ind w:leftChars="184" w:left="738" w:hangingChars="100" w:hanging="260"/>
        <w:jc w:val="both"/>
        <w:rPr>
          <w:rFonts w:ascii="Book Antiqua" w:hAnsi="Book Antiqua"/>
          <w:color w:val="000000" w:themeColor="text1"/>
        </w:rPr>
      </w:pPr>
      <w:r w:rsidRPr="00E224E9">
        <w:rPr>
          <w:rFonts w:ascii="Book Antiqua" w:hAnsi="標楷體"/>
          <w:color w:val="000000" w:themeColor="text1"/>
        </w:rPr>
        <w:t>為相對應本期增加之帳載金額。國外投資以期末匯率換算為新台幣帳面</w:t>
      </w:r>
    </w:p>
    <w:p w14:paraId="1CCFAD46" w14:textId="77777777" w:rsidR="009942EA" w:rsidRPr="00E224E9" w:rsidRDefault="009942EA" w:rsidP="00BA2996">
      <w:pPr>
        <w:spacing w:line="440" w:lineRule="exact"/>
        <w:ind w:leftChars="184" w:left="738" w:hangingChars="100" w:hanging="260"/>
        <w:jc w:val="both"/>
        <w:rPr>
          <w:rFonts w:ascii="Book Antiqua" w:hAnsi="Book Antiqua"/>
          <w:color w:val="000000" w:themeColor="text1"/>
        </w:rPr>
      </w:pPr>
      <w:r w:rsidRPr="00E224E9">
        <w:rPr>
          <w:rFonts w:ascii="Book Antiqua" w:hAnsi="標楷體"/>
          <w:color w:val="000000" w:themeColor="text1"/>
        </w:rPr>
        <w:t>價值。</w:t>
      </w:r>
    </w:p>
    <w:p w14:paraId="66371CC9"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19</w:t>
      </w:r>
      <w:r w:rsidRPr="00E224E9">
        <w:rPr>
          <w:rFonts w:ascii="Book Antiqua" w:hAnsi="標楷體"/>
          <w:color w:val="000000" w:themeColor="text1"/>
        </w:rPr>
        <w:t>欄－本期減少</w:t>
      </w:r>
      <w:r w:rsidRPr="00E224E9">
        <w:rPr>
          <w:rFonts w:ascii="Book Antiqua" w:hAnsi="Book Antiqua"/>
          <w:color w:val="000000" w:themeColor="text1"/>
        </w:rPr>
        <w:tab/>
      </w:r>
    </w:p>
    <w:p w14:paraId="6B583A5C" w14:textId="77777777" w:rsidR="009942EA" w:rsidRPr="00E224E9" w:rsidRDefault="009942EA" w:rsidP="00C74DED">
      <w:pPr>
        <w:tabs>
          <w:tab w:val="left" w:pos="7093"/>
        </w:tabs>
        <w:spacing w:line="440" w:lineRule="exact"/>
        <w:ind w:leftChars="184" w:left="933" w:hangingChars="175" w:hanging="455"/>
        <w:jc w:val="both"/>
        <w:rPr>
          <w:rFonts w:ascii="Book Antiqua" w:hAnsi="Book Antiqua"/>
          <w:color w:val="000000" w:themeColor="text1"/>
        </w:rPr>
      </w:pPr>
      <w:r w:rsidRPr="00E224E9">
        <w:rPr>
          <w:rFonts w:ascii="Book Antiqua" w:hAnsi="標楷體"/>
          <w:color w:val="000000" w:themeColor="text1"/>
        </w:rPr>
        <w:t>為相對應本期減少之帳載金額。國外投資以期末匯率換算為新台幣帳面</w:t>
      </w:r>
    </w:p>
    <w:p w14:paraId="32C3D87A" w14:textId="77777777" w:rsidR="009942EA" w:rsidRPr="00E224E9" w:rsidRDefault="009942EA" w:rsidP="00066335">
      <w:pPr>
        <w:tabs>
          <w:tab w:val="left" w:pos="7093"/>
        </w:tabs>
        <w:spacing w:line="440" w:lineRule="exact"/>
        <w:ind w:leftChars="184" w:left="933" w:hangingChars="175" w:hanging="455"/>
        <w:jc w:val="both"/>
        <w:rPr>
          <w:rFonts w:ascii="Book Antiqua" w:hAnsi="Book Antiqua"/>
          <w:color w:val="000000" w:themeColor="text1"/>
        </w:rPr>
      </w:pPr>
      <w:r w:rsidRPr="00E224E9">
        <w:rPr>
          <w:rFonts w:ascii="Book Antiqua" w:hAnsi="標楷體"/>
          <w:color w:val="000000" w:themeColor="text1"/>
        </w:rPr>
        <w:t>價值。</w:t>
      </w:r>
    </w:p>
    <w:p w14:paraId="1E54A04E" w14:textId="77777777" w:rsidR="009942EA" w:rsidRPr="00E224E9" w:rsidRDefault="009942EA" w:rsidP="008F1CA5">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20</w:t>
      </w:r>
      <w:r w:rsidRPr="00E224E9">
        <w:rPr>
          <w:rFonts w:ascii="Book Antiqua" w:hAnsi="標楷體"/>
          <w:color w:val="000000" w:themeColor="text1"/>
        </w:rPr>
        <w:t>欄－帳載金額</w:t>
      </w:r>
      <w:r w:rsidRPr="00E224E9">
        <w:rPr>
          <w:rFonts w:ascii="Book Antiqua" w:hAnsi="Book Antiqua"/>
          <w:color w:val="000000" w:themeColor="text1"/>
        </w:rPr>
        <w:t>(</w:t>
      </w:r>
      <w:r w:rsidRPr="00E224E9">
        <w:rPr>
          <w:rFonts w:ascii="Book Antiqua" w:hAnsi="標楷體"/>
          <w:color w:val="000000" w:themeColor="text1"/>
        </w:rPr>
        <w:t>主排序</w:t>
      </w:r>
      <w:r w:rsidRPr="00E224E9">
        <w:rPr>
          <w:rFonts w:ascii="Book Antiqua" w:hAnsi="Book Antiqua"/>
          <w:color w:val="000000" w:themeColor="text1"/>
        </w:rPr>
        <w:t>-</w:t>
      </w:r>
      <w:r w:rsidRPr="00E224E9">
        <w:rPr>
          <w:rFonts w:ascii="Book Antiqua" w:hAnsi="標楷體"/>
          <w:color w:val="000000" w:themeColor="text1"/>
        </w:rPr>
        <w:t>遞減</w:t>
      </w:r>
      <w:r w:rsidRPr="00E224E9">
        <w:rPr>
          <w:rFonts w:ascii="Book Antiqua" w:hAnsi="Book Antiqua"/>
          <w:color w:val="000000" w:themeColor="text1"/>
        </w:rPr>
        <w:t>)</w:t>
      </w:r>
    </w:p>
    <w:p w14:paraId="2F969DF7" w14:textId="77777777" w:rsidR="009942EA" w:rsidRPr="00E224E9" w:rsidRDefault="009942EA" w:rsidP="00BC7FC0">
      <w:pPr>
        <w:tabs>
          <w:tab w:val="left" w:pos="7093"/>
        </w:tabs>
        <w:spacing w:line="440" w:lineRule="exact"/>
        <w:ind w:leftChars="200" w:left="520"/>
        <w:jc w:val="both"/>
        <w:rPr>
          <w:rFonts w:ascii="Book Antiqua" w:hAnsi="Book Antiqua"/>
          <w:color w:val="000000" w:themeColor="text1"/>
        </w:rPr>
      </w:pPr>
      <w:r w:rsidRPr="00E224E9">
        <w:rPr>
          <w:rFonts w:ascii="Book Antiqua" w:hAnsi="標楷體"/>
          <w:color w:val="000000" w:themeColor="text1"/>
        </w:rPr>
        <w:t>係指保險業總帳及明細分類帳所紀錄之各資金運用項目的金額並以帳載金額大小做主排序－遞減。國外投資以期末匯率換算為新台幣帳面價值。</w:t>
      </w:r>
    </w:p>
    <w:p w14:paraId="4036C71A" w14:textId="77777777" w:rsidR="009942EA" w:rsidRPr="00E224E9" w:rsidRDefault="009942EA" w:rsidP="00BE6FC3">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21</w:t>
      </w:r>
      <w:r w:rsidRPr="00E224E9">
        <w:rPr>
          <w:rFonts w:ascii="Book Antiqua" w:hAnsi="標楷體"/>
          <w:color w:val="000000" w:themeColor="text1"/>
        </w:rPr>
        <w:t>欄－最近公允價值</w:t>
      </w:r>
      <w:r w:rsidR="000E250A" w:rsidRPr="00E224E9">
        <w:rPr>
          <w:rFonts w:ascii="Book Antiqua" w:hAnsi="標楷體" w:hint="eastAsia"/>
          <w:color w:val="000000" w:themeColor="text1"/>
        </w:rPr>
        <w:t>/</w:t>
      </w:r>
      <w:r w:rsidRPr="00E224E9">
        <w:rPr>
          <w:rFonts w:ascii="Book Antiqua" w:hAnsi="標楷體"/>
          <w:color w:val="000000" w:themeColor="text1"/>
        </w:rPr>
        <w:t>淨值總金額</w:t>
      </w:r>
      <w:r w:rsidR="000E250A" w:rsidRPr="00E224E9">
        <w:rPr>
          <w:rFonts w:ascii="Book Antiqua" w:hAnsi="標楷體" w:hint="eastAsia"/>
          <w:color w:val="000000" w:themeColor="text1"/>
        </w:rPr>
        <w:t>(</w:t>
      </w:r>
      <w:r w:rsidR="000E250A" w:rsidRPr="00E224E9">
        <w:rPr>
          <w:rFonts w:ascii="Book Antiqua" w:hAnsi="標楷體" w:hint="eastAsia"/>
          <w:color w:val="000000" w:themeColor="text1"/>
        </w:rPr>
        <w:t>註</w:t>
      </w:r>
      <w:r w:rsidR="000E250A" w:rsidRPr="00E224E9">
        <w:rPr>
          <w:rFonts w:ascii="Book Antiqua" w:hAnsi="標楷體" w:hint="eastAsia"/>
          <w:color w:val="000000" w:themeColor="text1"/>
        </w:rPr>
        <w:t>:</w:t>
      </w:r>
      <w:r w:rsidR="000E250A" w:rsidRPr="00E224E9">
        <w:rPr>
          <w:rFonts w:ascii="Book Antiqua" w:hAnsi="標楷體" w:hint="eastAsia"/>
          <w:color w:val="000000" w:themeColor="text1"/>
        </w:rPr>
        <w:t>未上市</w:t>
      </w:r>
      <w:r w:rsidR="008C6741" w:rsidRPr="00E224E9">
        <w:rPr>
          <w:rFonts w:ascii="Book Antiqua" w:hAnsi="標楷體" w:hint="eastAsia"/>
          <w:color w:val="000000" w:themeColor="text1"/>
        </w:rPr>
        <w:t>櫃</w:t>
      </w:r>
      <w:r w:rsidR="000E250A" w:rsidRPr="00E224E9">
        <w:rPr>
          <w:rFonts w:ascii="Book Antiqua" w:hAnsi="標楷體" w:hint="eastAsia"/>
          <w:color w:val="000000" w:themeColor="text1"/>
        </w:rPr>
        <w:t>股填淨值</w:t>
      </w:r>
      <w:r w:rsidR="000E250A" w:rsidRPr="00E224E9">
        <w:rPr>
          <w:rFonts w:ascii="Book Antiqua" w:hAnsi="標楷體" w:hint="eastAsia"/>
          <w:color w:val="000000" w:themeColor="text1"/>
        </w:rPr>
        <w:t>)</w:t>
      </w:r>
    </w:p>
    <w:p w14:paraId="1080F708" w14:textId="77777777" w:rsidR="009942EA" w:rsidRPr="00E224E9" w:rsidRDefault="00066335" w:rsidP="00066335">
      <w:pPr>
        <w:tabs>
          <w:tab w:val="left" w:pos="7093"/>
        </w:tabs>
        <w:spacing w:line="440" w:lineRule="exact"/>
        <w:ind w:leftChars="200" w:left="520"/>
        <w:jc w:val="both"/>
        <w:rPr>
          <w:rFonts w:ascii="Book Antiqua" w:hAnsi="標楷體"/>
          <w:color w:val="000000" w:themeColor="text1"/>
        </w:rPr>
      </w:pPr>
      <w:r w:rsidRPr="00E224E9">
        <w:rPr>
          <w:rFonts w:ascii="Book Antiqua" w:hAnsi="標楷體" w:hint="eastAsia"/>
          <w:color w:val="000000" w:themeColor="text1"/>
        </w:rPr>
        <w:t>上市櫃股票請填</w:t>
      </w:r>
      <w:r w:rsidR="009942EA" w:rsidRPr="00E224E9">
        <w:rPr>
          <w:rFonts w:ascii="Book Antiqua" w:hAnsi="標楷體"/>
          <w:color w:val="000000" w:themeColor="text1"/>
        </w:rPr>
        <w:t>資產負債表日之收盤價</w:t>
      </w:r>
      <w:r w:rsidRPr="00E224E9">
        <w:rPr>
          <w:rFonts w:ascii="Book Antiqua" w:hAnsi="標楷體" w:hint="eastAsia"/>
          <w:color w:val="000000" w:themeColor="text1"/>
        </w:rPr>
        <w:t>乘上持有股數之金額</w:t>
      </w:r>
      <w:r w:rsidR="009942EA" w:rsidRPr="00E224E9">
        <w:rPr>
          <w:rFonts w:ascii="Book Antiqua" w:hAnsi="標楷體"/>
          <w:color w:val="000000" w:themeColor="text1"/>
        </w:rPr>
        <w:t>；</w:t>
      </w:r>
      <w:r w:rsidRPr="00E224E9">
        <w:rPr>
          <w:rFonts w:ascii="Book Antiqua" w:hAnsi="標楷體" w:hint="eastAsia"/>
          <w:color w:val="000000" w:themeColor="text1"/>
        </w:rPr>
        <w:t>未上市櫃股票</w:t>
      </w:r>
      <w:r w:rsidR="009942EA" w:rsidRPr="00E224E9">
        <w:rPr>
          <w:rFonts w:ascii="Book Antiqua" w:hAnsi="標楷體"/>
          <w:color w:val="000000" w:themeColor="text1"/>
        </w:rPr>
        <w:t>請填被投資公司最新取得財務簽證</w:t>
      </w:r>
      <w:r w:rsidR="009942EA" w:rsidRPr="00E224E9">
        <w:rPr>
          <w:rFonts w:ascii="Book Antiqua" w:hAnsi="標楷體" w:hint="eastAsia"/>
          <w:color w:val="000000" w:themeColor="text1"/>
        </w:rPr>
        <w:t>或核閱</w:t>
      </w:r>
      <w:r w:rsidR="009942EA" w:rsidRPr="00E224E9">
        <w:rPr>
          <w:rFonts w:ascii="Book Antiqua" w:hAnsi="標楷體"/>
          <w:color w:val="000000" w:themeColor="text1"/>
        </w:rPr>
        <w:t>報告決算每股平均淨值</w:t>
      </w:r>
      <w:r w:rsidRPr="00E224E9">
        <w:rPr>
          <w:rFonts w:ascii="Book Antiqua" w:hAnsi="標楷體" w:hint="eastAsia"/>
          <w:color w:val="000000" w:themeColor="text1"/>
        </w:rPr>
        <w:t>乘上持有股數之金額</w:t>
      </w:r>
      <w:r w:rsidR="009942EA" w:rsidRPr="00E224E9">
        <w:rPr>
          <w:rFonts w:ascii="Book Antiqua" w:hAnsi="標楷體"/>
          <w:color w:val="000000" w:themeColor="text1"/>
        </w:rPr>
        <w:t>。國外投資以期末匯率換算為新台幣市值。</w:t>
      </w:r>
    </w:p>
    <w:p w14:paraId="3E91A56E" w14:textId="77777777" w:rsidR="009942EA" w:rsidRPr="00E224E9" w:rsidRDefault="009942EA" w:rsidP="00066335">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22</w:t>
      </w:r>
      <w:r w:rsidRPr="00E224E9">
        <w:rPr>
          <w:rFonts w:ascii="Book Antiqua" w:hAnsi="標楷體"/>
          <w:color w:val="000000" w:themeColor="text1"/>
        </w:rPr>
        <w:t>欄－未實現損益</w:t>
      </w:r>
      <w:r w:rsidR="008C6741" w:rsidRPr="00E224E9">
        <w:rPr>
          <w:rFonts w:ascii="Book Antiqua" w:hAnsi="標楷體" w:hint="eastAsia"/>
          <w:color w:val="000000" w:themeColor="text1"/>
        </w:rPr>
        <w:t>-</w:t>
      </w:r>
      <w:r w:rsidR="008C6741" w:rsidRPr="00E224E9">
        <w:rPr>
          <w:rFonts w:ascii="Book Antiqua" w:hAnsi="標楷體" w:hint="eastAsia"/>
          <w:color w:val="000000" w:themeColor="text1"/>
        </w:rPr>
        <w:t>非以公允價值評價者</w:t>
      </w:r>
    </w:p>
    <w:p w14:paraId="74843749" w14:textId="77777777" w:rsidR="009942EA" w:rsidRPr="00E224E9" w:rsidRDefault="009942EA" w:rsidP="00066335">
      <w:pPr>
        <w:tabs>
          <w:tab w:val="left" w:pos="7093"/>
        </w:tabs>
        <w:spacing w:line="440" w:lineRule="exact"/>
        <w:ind w:leftChars="200" w:left="520"/>
        <w:jc w:val="both"/>
        <w:rPr>
          <w:rFonts w:ascii="Book Antiqua" w:hAnsi="標楷體"/>
          <w:color w:val="000000" w:themeColor="text1"/>
        </w:rPr>
      </w:pPr>
      <w:r w:rsidRPr="00E224E9">
        <w:rPr>
          <w:rFonts w:ascii="Book Antiqua" w:hAnsi="標楷體"/>
          <w:color w:val="000000" w:themeColor="text1"/>
        </w:rPr>
        <w:t>為第</w:t>
      </w:r>
      <w:r w:rsidRPr="00E224E9">
        <w:rPr>
          <w:rFonts w:ascii="Book Antiqua" w:hAnsi="標楷體" w:hint="eastAsia"/>
          <w:color w:val="000000" w:themeColor="text1"/>
        </w:rPr>
        <w:t>21</w:t>
      </w:r>
      <w:r w:rsidRPr="00E224E9">
        <w:rPr>
          <w:rFonts w:ascii="Book Antiqua" w:hAnsi="標楷體"/>
          <w:color w:val="000000" w:themeColor="text1"/>
        </w:rPr>
        <w:t>欄－最近公允價值</w:t>
      </w:r>
      <w:r w:rsidR="008C6741" w:rsidRPr="00E224E9">
        <w:rPr>
          <w:rFonts w:ascii="Book Antiqua" w:hAnsi="標楷體" w:hint="eastAsia"/>
          <w:color w:val="000000" w:themeColor="text1"/>
        </w:rPr>
        <w:t>/</w:t>
      </w:r>
      <w:r w:rsidRPr="00E224E9">
        <w:rPr>
          <w:rFonts w:ascii="Book Antiqua" w:hAnsi="標楷體"/>
          <w:color w:val="000000" w:themeColor="text1"/>
        </w:rPr>
        <w:t>淨值總金額</w:t>
      </w:r>
      <w:r w:rsidR="008C6741" w:rsidRPr="00E224E9">
        <w:rPr>
          <w:rFonts w:ascii="Book Antiqua" w:hAnsi="標楷體" w:hint="eastAsia"/>
          <w:color w:val="000000" w:themeColor="text1"/>
        </w:rPr>
        <w:t>(</w:t>
      </w:r>
      <w:r w:rsidR="008C6741" w:rsidRPr="00E224E9">
        <w:rPr>
          <w:rFonts w:ascii="Book Antiqua" w:hAnsi="標楷體" w:hint="eastAsia"/>
          <w:color w:val="000000" w:themeColor="text1"/>
        </w:rPr>
        <w:t>註</w:t>
      </w:r>
      <w:r w:rsidR="008C6741" w:rsidRPr="00E224E9">
        <w:rPr>
          <w:rFonts w:ascii="Book Antiqua" w:hAnsi="標楷體" w:hint="eastAsia"/>
          <w:color w:val="000000" w:themeColor="text1"/>
        </w:rPr>
        <w:t>:</w:t>
      </w:r>
      <w:r w:rsidR="008C6741" w:rsidRPr="00E224E9">
        <w:rPr>
          <w:rFonts w:ascii="Book Antiqua" w:hAnsi="標楷體" w:hint="eastAsia"/>
          <w:color w:val="000000" w:themeColor="text1"/>
        </w:rPr>
        <w:t>未上市櫃股填淨值</w:t>
      </w:r>
      <w:r w:rsidR="008C6741" w:rsidRPr="00E224E9">
        <w:rPr>
          <w:rFonts w:ascii="Book Antiqua" w:hAnsi="標楷體" w:hint="eastAsia"/>
          <w:color w:val="000000" w:themeColor="text1"/>
        </w:rPr>
        <w:t>)</w:t>
      </w:r>
      <w:r w:rsidRPr="00E224E9">
        <w:rPr>
          <w:rFonts w:ascii="Book Antiqua" w:hAnsi="標楷體"/>
          <w:color w:val="000000" w:themeColor="text1"/>
        </w:rPr>
        <w:t>減去第</w:t>
      </w:r>
      <w:r w:rsidRPr="00E224E9">
        <w:rPr>
          <w:rFonts w:ascii="Book Antiqua" w:hAnsi="標楷體" w:hint="eastAsia"/>
          <w:color w:val="000000" w:themeColor="text1"/>
        </w:rPr>
        <w:t>20</w:t>
      </w:r>
      <w:r w:rsidRPr="00E224E9">
        <w:rPr>
          <w:rFonts w:ascii="Book Antiqua" w:hAnsi="標楷體"/>
          <w:color w:val="000000" w:themeColor="text1"/>
        </w:rPr>
        <w:t>欄－期末帳載金額之金額。</w:t>
      </w:r>
    </w:p>
    <w:p w14:paraId="0F49F2EB" w14:textId="77777777" w:rsidR="009C74BA" w:rsidRPr="00E224E9" w:rsidRDefault="009C74BA" w:rsidP="009C74B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23</w:t>
      </w:r>
      <w:r w:rsidRPr="00E224E9">
        <w:rPr>
          <w:rFonts w:ascii="Book Antiqua" w:hAnsi="標楷體"/>
          <w:color w:val="000000" w:themeColor="text1"/>
        </w:rPr>
        <w:t>欄－未實現損益</w:t>
      </w:r>
      <w:r w:rsidRPr="00E224E9">
        <w:rPr>
          <w:rFonts w:ascii="Book Antiqua" w:hAnsi="標楷體" w:hint="eastAsia"/>
          <w:color w:val="000000" w:themeColor="text1"/>
        </w:rPr>
        <w:t>-</w:t>
      </w:r>
      <w:r w:rsidRPr="00E224E9">
        <w:rPr>
          <w:rFonts w:ascii="Book Antiqua" w:hAnsi="標楷體" w:hint="eastAsia"/>
          <w:color w:val="000000" w:themeColor="text1"/>
        </w:rPr>
        <w:t>以公允價值評價者</w:t>
      </w:r>
    </w:p>
    <w:p w14:paraId="22F8DD8A" w14:textId="77777777" w:rsidR="009C74BA" w:rsidRPr="00E224E9" w:rsidRDefault="009C74BA" w:rsidP="00F3152E">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標楷體"/>
          <w:color w:val="000000" w:themeColor="text1"/>
        </w:rPr>
        <w:t>為第</w:t>
      </w:r>
      <w:r w:rsidRPr="00E224E9">
        <w:rPr>
          <w:rFonts w:ascii="Book Antiqua" w:hAnsi="Book Antiqua"/>
          <w:color w:val="000000" w:themeColor="text1"/>
        </w:rPr>
        <w:t>20</w:t>
      </w:r>
      <w:r w:rsidRPr="00E224E9">
        <w:rPr>
          <w:rFonts w:ascii="Book Antiqua" w:hAnsi="標楷體"/>
          <w:color w:val="000000" w:themeColor="text1"/>
        </w:rPr>
        <w:t>欄－</w:t>
      </w:r>
      <w:r w:rsidRPr="00E224E9">
        <w:rPr>
          <w:rFonts w:ascii="Book Antiqua" w:hAnsi="標楷體" w:hint="eastAsia"/>
          <w:color w:val="000000" w:themeColor="text1"/>
        </w:rPr>
        <w:t>帳載金額</w:t>
      </w:r>
      <w:r w:rsidRPr="00E224E9">
        <w:rPr>
          <w:rFonts w:ascii="Book Antiqua" w:hAnsi="標楷體"/>
          <w:color w:val="000000" w:themeColor="text1"/>
        </w:rPr>
        <w:t>減去第</w:t>
      </w:r>
      <w:r w:rsidRPr="00E224E9">
        <w:rPr>
          <w:rFonts w:ascii="Book Antiqua" w:hAnsi="Book Antiqua"/>
          <w:color w:val="000000" w:themeColor="text1"/>
        </w:rPr>
        <w:t>26</w:t>
      </w:r>
      <w:r w:rsidRPr="00E224E9">
        <w:rPr>
          <w:rFonts w:ascii="Book Antiqua" w:hAnsi="標楷體"/>
          <w:color w:val="000000" w:themeColor="text1"/>
        </w:rPr>
        <w:t>欄－</w:t>
      </w:r>
      <w:r w:rsidRPr="00E224E9">
        <w:rPr>
          <w:rFonts w:ascii="Book Antiqua" w:hAnsi="標楷體" w:hint="eastAsia"/>
          <w:color w:val="000000" w:themeColor="text1"/>
        </w:rPr>
        <w:t>取得成本</w:t>
      </w:r>
      <w:r w:rsidRPr="00E224E9">
        <w:rPr>
          <w:rFonts w:ascii="Book Antiqua" w:hAnsi="標楷體"/>
          <w:color w:val="000000" w:themeColor="text1"/>
        </w:rPr>
        <w:t>之金額。</w:t>
      </w:r>
    </w:p>
    <w:p w14:paraId="4057CB81" w14:textId="77777777" w:rsidR="009942EA" w:rsidRPr="00E224E9" w:rsidRDefault="009942EA" w:rsidP="009C74B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9C74BA" w:rsidRPr="00E224E9">
        <w:rPr>
          <w:rFonts w:ascii="Book Antiqua" w:hAnsi="Book Antiqua"/>
          <w:color w:val="000000" w:themeColor="text1"/>
        </w:rPr>
        <w:t>4</w:t>
      </w:r>
      <w:r w:rsidRPr="00E224E9">
        <w:rPr>
          <w:rFonts w:ascii="Book Antiqua" w:hAnsi="標楷體"/>
          <w:color w:val="000000" w:themeColor="text1"/>
        </w:rPr>
        <w:t>欄－占資金總額比率</w:t>
      </w:r>
      <w:r w:rsidRPr="00E224E9">
        <w:rPr>
          <w:rFonts w:ascii="Book Antiqua" w:hAnsi="Book Antiqua"/>
          <w:color w:val="000000" w:themeColor="text1"/>
        </w:rPr>
        <w:t>%</w:t>
      </w:r>
    </w:p>
    <w:p w14:paraId="0326DB93" w14:textId="77777777" w:rsidR="009942EA" w:rsidRPr="00E224E9" w:rsidRDefault="009942EA" w:rsidP="009C74BA">
      <w:pPr>
        <w:tabs>
          <w:tab w:val="left" w:pos="7093"/>
        </w:tabs>
        <w:spacing w:line="440" w:lineRule="exact"/>
        <w:ind w:left="520" w:hangingChars="200" w:hanging="520"/>
        <w:jc w:val="both"/>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為第</w:t>
      </w:r>
      <w:r w:rsidRPr="00E224E9">
        <w:rPr>
          <w:rFonts w:ascii="Book Antiqua" w:hAnsi="Book Antiqua"/>
          <w:color w:val="000000" w:themeColor="text1"/>
        </w:rPr>
        <w:t>2</w:t>
      </w:r>
      <w:r w:rsidRPr="00E224E9">
        <w:rPr>
          <w:rFonts w:ascii="Book Antiqua" w:hAnsi="Book Antiqua" w:hint="eastAsia"/>
          <w:color w:val="000000" w:themeColor="text1"/>
        </w:rPr>
        <w:t>0</w:t>
      </w:r>
      <w:r w:rsidRPr="00E224E9">
        <w:rPr>
          <w:rFonts w:ascii="Book Antiqua" w:hAnsi="標楷體"/>
          <w:color w:val="000000" w:themeColor="text1"/>
        </w:rPr>
        <w:t>欄－帳載金額之金額除以</w:t>
      </w:r>
      <w:r w:rsidR="001D451B" w:rsidRPr="00E224E9">
        <w:rPr>
          <w:rFonts w:ascii="Book Antiqua" w:hAnsi="標楷體" w:hint="eastAsia"/>
          <w:color w:val="000000" w:themeColor="text1"/>
        </w:rPr>
        <w:t>「</w:t>
      </w:r>
      <w:r w:rsidRPr="00E224E9">
        <w:rPr>
          <w:rFonts w:ascii="Book Antiqua" w:hAnsi="標楷體"/>
          <w:color w:val="000000" w:themeColor="text1"/>
        </w:rPr>
        <w:t>表</w:t>
      </w:r>
      <w:r w:rsidRPr="00E224E9">
        <w:rPr>
          <w:rFonts w:ascii="Book Antiqua" w:hAnsi="Book Antiqua"/>
          <w:color w:val="000000" w:themeColor="text1"/>
        </w:rPr>
        <w:t>05-1</w:t>
      </w:r>
      <w:r w:rsidR="009C74BA" w:rsidRPr="00E224E9">
        <w:rPr>
          <w:rFonts w:ascii="Book Antiqua" w:hAnsi="Book Antiqua" w:hint="eastAsia"/>
          <w:color w:val="000000" w:themeColor="text1"/>
        </w:rPr>
        <w:t>：</w:t>
      </w:r>
      <w:r w:rsidRPr="00E224E9">
        <w:rPr>
          <w:rFonts w:ascii="Book Antiqua" w:hAnsi="標楷體"/>
          <w:color w:val="000000" w:themeColor="text1"/>
        </w:rPr>
        <w:t>資金運用表</w:t>
      </w:r>
      <w:r w:rsidR="001D451B" w:rsidRPr="00E224E9">
        <w:rPr>
          <w:rFonts w:ascii="Book Antiqua" w:hAnsi="標楷體" w:hint="eastAsia"/>
          <w:color w:val="000000" w:themeColor="text1"/>
        </w:rPr>
        <w:t>」</w:t>
      </w: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欄第</w:t>
      </w:r>
      <w:r w:rsidRPr="00E224E9">
        <w:rPr>
          <w:rFonts w:ascii="Book Antiqua" w:hAnsi="Book Antiqua"/>
          <w:color w:val="000000" w:themeColor="text1"/>
        </w:rPr>
        <w:t>2</w:t>
      </w:r>
      <w:r w:rsidR="009F24D7" w:rsidRPr="00E224E9">
        <w:rPr>
          <w:rFonts w:ascii="Book Antiqua" w:hAnsi="Book Antiqua" w:hint="eastAsia"/>
          <w:color w:val="000000" w:themeColor="text1"/>
        </w:rPr>
        <w:t>52</w:t>
      </w:r>
      <w:r w:rsidRPr="00E224E9">
        <w:rPr>
          <w:rFonts w:ascii="Book Antiqua" w:hAnsi="標楷體"/>
          <w:color w:val="000000" w:themeColor="text1"/>
        </w:rPr>
        <w:t>列資金來源總計。</w:t>
      </w:r>
    </w:p>
    <w:p w14:paraId="04C2435D" w14:textId="77777777" w:rsidR="009942EA" w:rsidRPr="00E224E9" w:rsidRDefault="009942EA" w:rsidP="009C74B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9C74BA" w:rsidRPr="00E224E9">
        <w:rPr>
          <w:rFonts w:ascii="Book Antiqua" w:hAnsi="Book Antiqua" w:hint="eastAsia"/>
          <w:color w:val="000000" w:themeColor="text1"/>
        </w:rPr>
        <w:t>5</w:t>
      </w:r>
      <w:r w:rsidRPr="00E224E9">
        <w:rPr>
          <w:rFonts w:ascii="Book Antiqua" w:hAnsi="標楷體"/>
          <w:color w:val="000000" w:themeColor="text1"/>
        </w:rPr>
        <w:t>欄－保管情形</w:t>
      </w:r>
      <w:r w:rsidRPr="00E224E9">
        <w:rPr>
          <w:rFonts w:ascii="Book Antiqua" w:hAnsi="Book Antiqua"/>
          <w:color w:val="000000" w:themeColor="text1"/>
        </w:rPr>
        <w:tab/>
      </w:r>
    </w:p>
    <w:p w14:paraId="2B9EF9AA" w14:textId="77777777" w:rsidR="009942EA" w:rsidRPr="00E224E9" w:rsidRDefault="009942EA" w:rsidP="00BA2996">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標楷體"/>
          <w:color w:val="000000" w:themeColor="text1"/>
        </w:rPr>
        <w:lastRenderedPageBreak/>
        <w:t>保管情形請填保管機構名稱及帳號；若屬集保帳戶，請填集保。</w:t>
      </w:r>
    </w:p>
    <w:p w14:paraId="0CDCC60B" w14:textId="77777777" w:rsidR="009942EA" w:rsidRPr="00E224E9" w:rsidRDefault="009942EA" w:rsidP="00BA2996">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Pr="00E224E9">
        <w:rPr>
          <w:rFonts w:ascii="Book Antiqua" w:hAnsi="Book Antiqua"/>
          <w:color w:val="000000" w:themeColor="text1"/>
        </w:rPr>
        <w:t>2</w:t>
      </w:r>
      <w:r w:rsidR="009C74BA" w:rsidRPr="00E224E9">
        <w:rPr>
          <w:rFonts w:ascii="Book Antiqua" w:hAnsi="Book Antiqua" w:hint="eastAsia"/>
          <w:color w:val="000000" w:themeColor="text1"/>
        </w:rPr>
        <w:t>6</w:t>
      </w:r>
      <w:r w:rsidRPr="00E224E9">
        <w:rPr>
          <w:rFonts w:ascii="Book Antiqua" w:hAnsi="Book Antiqua"/>
          <w:color w:val="000000" w:themeColor="text1"/>
        </w:rPr>
        <w:t>欄－取得成本</w:t>
      </w:r>
    </w:p>
    <w:p w14:paraId="0CA64FAE" w14:textId="77777777" w:rsidR="009942EA" w:rsidRPr="00E224E9" w:rsidRDefault="009942EA" w:rsidP="005D67C7">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Book Antiqua"/>
          <w:color w:val="000000" w:themeColor="text1"/>
        </w:rPr>
        <w:t>為購買標的之原始取得成本。</w:t>
      </w:r>
    </w:p>
    <w:p w14:paraId="634B8077" w14:textId="77777777" w:rsidR="009942EA" w:rsidRPr="00E224E9" w:rsidRDefault="009942EA" w:rsidP="00C74DED">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Pr="00E224E9">
        <w:rPr>
          <w:rFonts w:ascii="Book Antiqua" w:hAnsi="Book Antiqua"/>
          <w:color w:val="000000" w:themeColor="text1"/>
        </w:rPr>
        <w:t>2</w:t>
      </w:r>
      <w:r w:rsidR="009C74BA" w:rsidRPr="00E224E9">
        <w:rPr>
          <w:rFonts w:ascii="Book Antiqua" w:hAnsi="Book Antiqua" w:hint="eastAsia"/>
          <w:color w:val="000000" w:themeColor="text1"/>
        </w:rPr>
        <w:t>7</w:t>
      </w:r>
      <w:r w:rsidRPr="00E224E9">
        <w:rPr>
          <w:rFonts w:ascii="Book Antiqua" w:hAnsi="Book Antiqua"/>
          <w:color w:val="000000" w:themeColor="text1"/>
        </w:rPr>
        <w:t>欄－半年收盤平均價</w:t>
      </w:r>
    </w:p>
    <w:p w14:paraId="628C4AE7" w14:textId="77777777" w:rsidR="009942EA" w:rsidRPr="00E224E9" w:rsidRDefault="009942EA" w:rsidP="00066335">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Book Antiqua"/>
          <w:color w:val="000000" w:themeColor="text1"/>
        </w:rPr>
        <w:t>係指依資產負債表日前半年每日收盤價計算之算術平均價格。</w:t>
      </w:r>
    </w:p>
    <w:p w14:paraId="3B227734" w14:textId="77777777" w:rsidR="009942EA" w:rsidRPr="00E224E9" w:rsidRDefault="009942EA" w:rsidP="00066335">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2</w:t>
      </w:r>
      <w:r w:rsidR="009C74BA" w:rsidRPr="00E224E9">
        <w:rPr>
          <w:rFonts w:ascii="Book Antiqua" w:hAnsi="Book Antiqua" w:hint="eastAsia"/>
          <w:color w:val="000000" w:themeColor="text1"/>
        </w:rPr>
        <w:t>8</w:t>
      </w:r>
      <w:r w:rsidRPr="00E224E9">
        <w:rPr>
          <w:rFonts w:ascii="Book Antiqua" w:hAnsi="標楷體"/>
          <w:color w:val="000000" w:themeColor="text1"/>
        </w:rPr>
        <w:t>欄－備註</w:t>
      </w:r>
      <w:r w:rsidRPr="00E224E9">
        <w:rPr>
          <w:rFonts w:ascii="Book Antiqua" w:hAnsi="Book Antiqua"/>
          <w:color w:val="000000" w:themeColor="text1"/>
        </w:rPr>
        <w:tab/>
      </w:r>
    </w:p>
    <w:p w14:paraId="3443E653" w14:textId="77777777" w:rsidR="009942EA" w:rsidRPr="00E224E9" w:rsidRDefault="009942EA" w:rsidP="00627051">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持股比率超過</w:t>
      </w:r>
      <w:r w:rsidRPr="00E224E9">
        <w:rPr>
          <w:rFonts w:ascii="Book Antiqua" w:hAnsi="Book Antiqua"/>
          <w:color w:val="000000" w:themeColor="text1"/>
        </w:rPr>
        <w:t>10%</w:t>
      </w:r>
      <w:r w:rsidRPr="00E224E9">
        <w:rPr>
          <w:rFonts w:ascii="Book Antiqua" w:hAnsi="標楷體"/>
          <w:color w:val="000000" w:themeColor="text1"/>
        </w:rPr>
        <w:t>以上者，請於備註欄填具主管機關最近核定日期及文號。</w:t>
      </w:r>
    </w:p>
    <w:p w14:paraId="2BE7CF3A" w14:textId="77777777" w:rsidR="009942EA" w:rsidRPr="00E224E9" w:rsidRDefault="009942EA" w:rsidP="009942EA">
      <w:pPr>
        <w:pStyle w:val="1"/>
        <w:spacing w:after="120" w:line="440" w:lineRule="exact"/>
        <w:rPr>
          <w:color w:val="000000" w:themeColor="text1"/>
        </w:rPr>
      </w:pPr>
      <w:r w:rsidRPr="00E224E9">
        <w:rPr>
          <w:rFonts w:ascii="Book Antiqua" w:hAnsi="Book Antiqua"/>
          <w:color w:val="000000" w:themeColor="text1"/>
        </w:rPr>
        <w:br w:type="page"/>
      </w:r>
      <w:bookmarkStart w:id="35" w:name="_Toc219109732"/>
      <w:bookmarkStart w:id="36" w:name="_Toc219109804"/>
      <w:bookmarkStart w:id="37" w:name="_Toc221524773"/>
      <w:bookmarkStart w:id="38" w:name="_Toc296928218"/>
      <w:bookmarkStart w:id="39" w:name="_Toc437450249"/>
      <w:bookmarkStart w:id="40" w:name="_Toc200468519"/>
      <w:r w:rsidRPr="00E224E9">
        <w:rPr>
          <w:color w:val="000000" w:themeColor="text1"/>
        </w:rPr>
        <w:lastRenderedPageBreak/>
        <w:t>表10-2：股票餘額明細表(總計)</w:t>
      </w:r>
      <w:bookmarkEnd w:id="35"/>
      <w:bookmarkEnd w:id="36"/>
      <w:bookmarkEnd w:id="37"/>
      <w:bookmarkEnd w:id="38"/>
      <w:bookmarkEnd w:id="39"/>
      <w:bookmarkEnd w:id="40"/>
    </w:p>
    <w:p w14:paraId="7705AC13" w14:textId="77777777" w:rsidR="009942EA" w:rsidRPr="00E224E9" w:rsidRDefault="009942EA" w:rsidP="009942EA">
      <w:pPr>
        <w:spacing w:line="440" w:lineRule="exact"/>
        <w:ind w:firstLineChars="200" w:firstLine="520"/>
        <w:jc w:val="both"/>
        <w:rPr>
          <w:rFonts w:ascii="Book Antiqua" w:hAnsi="Book Antiqua"/>
          <w:color w:val="000000" w:themeColor="text1"/>
        </w:rPr>
      </w:pPr>
      <w:r w:rsidRPr="00E224E9">
        <w:rPr>
          <w:rFonts w:ascii="Book Antiqua" w:hAnsi="標楷體"/>
          <w:color w:val="000000" w:themeColor="text1"/>
        </w:rPr>
        <w:t>本報表填列的目的在於統計保險業國內外股票之使用及配置情形。</w:t>
      </w:r>
    </w:p>
    <w:p w14:paraId="2FA74419" w14:textId="77777777" w:rsidR="009942EA" w:rsidRPr="00E224E9" w:rsidRDefault="009942EA" w:rsidP="009942EA">
      <w:pPr>
        <w:spacing w:line="440" w:lineRule="exact"/>
        <w:ind w:firstLineChars="207" w:firstLine="538"/>
        <w:jc w:val="both"/>
        <w:rPr>
          <w:rFonts w:ascii="Book Antiqua" w:hAnsi="Book Antiqua"/>
          <w:color w:val="000000" w:themeColor="text1"/>
        </w:rPr>
      </w:pPr>
      <w:r w:rsidRPr="00E224E9">
        <w:rPr>
          <w:rFonts w:ascii="Book Antiqua" w:hAnsi="標楷體"/>
          <w:color w:val="000000" w:themeColor="text1"/>
        </w:rPr>
        <w:t>各項資產之欄位說明如下：</w:t>
      </w:r>
    </w:p>
    <w:p w14:paraId="3EEC3BD6" w14:textId="77777777" w:rsidR="009942EA" w:rsidRPr="00E224E9" w:rsidRDefault="009942EA" w:rsidP="009942EA">
      <w:pPr>
        <w:spacing w:line="440" w:lineRule="exact"/>
        <w:ind w:firstLineChars="207" w:firstLine="539"/>
        <w:jc w:val="both"/>
        <w:rPr>
          <w:rFonts w:ascii="Book Antiqua" w:hAnsi="Book Antiqua"/>
          <w:b/>
          <w:bCs/>
          <w:color w:val="000000" w:themeColor="text1"/>
        </w:rPr>
      </w:pPr>
      <w:r w:rsidRPr="00E224E9">
        <w:rPr>
          <w:rFonts w:ascii="Book Antiqua" w:hAnsi="標楷體"/>
          <w:b/>
          <w:bCs/>
          <w:color w:val="000000" w:themeColor="text1"/>
        </w:rPr>
        <w:t>國內外投資</w:t>
      </w:r>
    </w:p>
    <w:p w14:paraId="07C068E5"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w:t>
      </w:r>
      <w:r w:rsidR="009C74BA" w:rsidRPr="00E224E9">
        <w:rPr>
          <w:rFonts w:ascii="Book Antiqua" w:hAnsi="Book Antiqua" w:hint="eastAsia"/>
          <w:color w:val="000000" w:themeColor="text1"/>
        </w:rPr>
        <w:t>6</w:t>
      </w:r>
      <w:r w:rsidRPr="00E224E9">
        <w:rPr>
          <w:rFonts w:ascii="Book Antiqua" w:hAnsi="標楷體"/>
          <w:color w:val="000000" w:themeColor="text1"/>
        </w:rPr>
        <w:t>欄－帳載金額</w:t>
      </w:r>
    </w:p>
    <w:p w14:paraId="7B84DF19" w14:textId="77777777" w:rsidR="009942EA" w:rsidRPr="00E224E9" w:rsidRDefault="009942EA" w:rsidP="009942EA">
      <w:pPr>
        <w:tabs>
          <w:tab w:val="left" w:pos="7093"/>
        </w:tabs>
        <w:spacing w:line="440" w:lineRule="exact"/>
        <w:ind w:leftChars="200" w:left="520"/>
        <w:jc w:val="both"/>
        <w:rPr>
          <w:rFonts w:ascii="Book Antiqua" w:hAnsi="Book Antiqua"/>
          <w:color w:val="000000" w:themeColor="text1"/>
        </w:rPr>
      </w:pPr>
      <w:r w:rsidRPr="00E224E9">
        <w:rPr>
          <w:rFonts w:ascii="Book Antiqua" w:hAnsi="標楷體"/>
          <w:color w:val="000000" w:themeColor="text1"/>
        </w:rPr>
        <w:t>係指保險業總帳及明細分類帳所紀錄之各資金運用項目的金額。國外投資以期末匯率換算為新台幣帳面價值。</w:t>
      </w:r>
    </w:p>
    <w:p w14:paraId="336FADFB"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w:t>
      </w:r>
      <w:r w:rsidR="009C74BA" w:rsidRPr="00E224E9">
        <w:rPr>
          <w:rFonts w:ascii="Book Antiqua" w:hAnsi="Book Antiqua" w:hint="eastAsia"/>
          <w:color w:val="000000" w:themeColor="text1"/>
        </w:rPr>
        <w:t>7</w:t>
      </w:r>
      <w:r w:rsidRPr="00E224E9">
        <w:rPr>
          <w:rFonts w:ascii="Book Antiqua" w:hAnsi="標楷體"/>
          <w:color w:val="000000" w:themeColor="text1"/>
        </w:rPr>
        <w:t>欄－最近公允價值</w:t>
      </w:r>
      <w:r w:rsidRPr="00E224E9">
        <w:rPr>
          <w:rFonts w:ascii="Book Antiqua" w:hAnsi="標楷體" w:hint="eastAsia"/>
          <w:color w:val="000000" w:themeColor="text1"/>
        </w:rPr>
        <w:t>或</w:t>
      </w:r>
      <w:r w:rsidRPr="00E224E9">
        <w:rPr>
          <w:rFonts w:ascii="Book Antiqua" w:hAnsi="標楷體"/>
          <w:color w:val="000000" w:themeColor="text1"/>
        </w:rPr>
        <w:t>淨值總金額</w:t>
      </w:r>
    </w:p>
    <w:p w14:paraId="5E723F3D" w14:textId="77777777" w:rsidR="009942EA" w:rsidRPr="00E224E9" w:rsidRDefault="00066335" w:rsidP="009942EA">
      <w:pPr>
        <w:tabs>
          <w:tab w:val="left" w:pos="7093"/>
        </w:tabs>
        <w:spacing w:line="440" w:lineRule="exact"/>
        <w:ind w:leftChars="200" w:left="520"/>
        <w:jc w:val="both"/>
        <w:rPr>
          <w:rFonts w:ascii="Book Antiqua" w:hAnsi="標楷體"/>
          <w:color w:val="000000" w:themeColor="text1"/>
        </w:rPr>
      </w:pPr>
      <w:r w:rsidRPr="00E224E9">
        <w:rPr>
          <w:rFonts w:ascii="Book Antiqua" w:hAnsi="標楷體" w:hint="eastAsia"/>
          <w:color w:val="000000" w:themeColor="text1"/>
        </w:rPr>
        <w:t>上市櫃股票請填</w:t>
      </w:r>
      <w:r w:rsidR="009942EA" w:rsidRPr="00E224E9">
        <w:rPr>
          <w:rFonts w:ascii="Book Antiqua" w:hAnsi="標楷體"/>
          <w:color w:val="000000" w:themeColor="text1"/>
        </w:rPr>
        <w:t>資產負債表日之收盤價</w:t>
      </w:r>
      <w:r w:rsidRPr="00E224E9">
        <w:rPr>
          <w:rFonts w:ascii="Book Antiqua" w:hAnsi="標楷體" w:hint="eastAsia"/>
          <w:color w:val="000000" w:themeColor="text1"/>
        </w:rPr>
        <w:t>乘上持有股數之金額</w:t>
      </w:r>
      <w:r w:rsidR="009942EA" w:rsidRPr="00E224E9">
        <w:rPr>
          <w:rFonts w:ascii="Book Antiqua" w:hAnsi="標楷體"/>
          <w:color w:val="000000" w:themeColor="text1"/>
        </w:rPr>
        <w:t>；</w:t>
      </w:r>
      <w:r w:rsidR="009C74BA" w:rsidRPr="00E224E9">
        <w:rPr>
          <w:rFonts w:ascii="Book Antiqua" w:hAnsi="標楷體" w:hint="eastAsia"/>
          <w:color w:val="000000" w:themeColor="text1"/>
        </w:rPr>
        <w:t>未上市、未上櫃之股票</w:t>
      </w:r>
      <w:r w:rsidR="009942EA" w:rsidRPr="00E224E9">
        <w:rPr>
          <w:rFonts w:ascii="Book Antiqua" w:hAnsi="標楷體"/>
          <w:color w:val="000000" w:themeColor="text1"/>
        </w:rPr>
        <w:t>，請填被投資公司最新取得財務簽證</w:t>
      </w:r>
      <w:r w:rsidR="009942EA" w:rsidRPr="00E224E9">
        <w:rPr>
          <w:rFonts w:ascii="Book Antiqua" w:hAnsi="標楷體" w:hint="eastAsia"/>
          <w:color w:val="000000" w:themeColor="text1"/>
        </w:rPr>
        <w:t>或核閱</w:t>
      </w:r>
      <w:r w:rsidR="009942EA" w:rsidRPr="00E224E9">
        <w:rPr>
          <w:rFonts w:ascii="Book Antiqua" w:hAnsi="標楷體"/>
          <w:color w:val="000000" w:themeColor="text1"/>
        </w:rPr>
        <w:t>報告決算每股平均淨值</w:t>
      </w:r>
      <w:r w:rsidRPr="00E224E9">
        <w:rPr>
          <w:rFonts w:ascii="Book Antiqua" w:hAnsi="標楷體" w:hint="eastAsia"/>
          <w:color w:val="000000" w:themeColor="text1"/>
        </w:rPr>
        <w:t>乘上持有股數之金額</w:t>
      </w:r>
      <w:r w:rsidR="009942EA" w:rsidRPr="00E224E9">
        <w:rPr>
          <w:rFonts w:ascii="Book Antiqua" w:hAnsi="標楷體"/>
          <w:color w:val="000000" w:themeColor="text1"/>
        </w:rPr>
        <w:t>。國外投資以期末匯率換算為新台幣市值。</w:t>
      </w:r>
    </w:p>
    <w:p w14:paraId="5FF0E4D2"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w:t>
      </w:r>
      <w:r w:rsidR="009C74BA" w:rsidRPr="00E224E9">
        <w:rPr>
          <w:rFonts w:ascii="Book Antiqua" w:hAnsi="Book Antiqua"/>
          <w:color w:val="000000" w:themeColor="text1"/>
        </w:rPr>
        <w:t>8</w:t>
      </w:r>
      <w:r w:rsidRPr="00E224E9">
        <w:rPr>
          <w:rFonts w:ascii="Book Antiqua" w:hAnsi="標楷體"/>
          <w:color w:val="000000" w:themeColor="text1"/>
        </w:rPr>
        <w:t>欄－未實現損益</w:t>
      </w:r>
      <w:r w:rsidR="009C74BA" w:rsidRPr="00E224E9">
        <w:rPr>
          <w:rFonts w:ascii="Book Antiqua" w:hAnsi="標楷體" w:hint="eastAsia"/>
          <w:color w:val="000000" w:themeColor="text1"/>
        </w:rPr>
        <w:t>-</w:t>
      </w:r>
      <w:r w:rsidR="009C74BA" w:rsidRPr="00E224E9">
        <w:rPr>
          <w:rFonts w:ascii="Book Antiqua" w:hAnsi="標楷體" w:hint="eastAsia"/>
          <w:color w:val="000000" w:themeColor="text1"/>
        </w:rPr>
        <w:t>非以公允價值評價者</w:t>
      </w:r>
    </w:p>
    <w:p w14:paraId="37872814" w14:textId="77777777" w:rsidR="009942EA" w:rsidRPr="00E224E9" w:rsidRDefault="009942EA" w:rsidP="009942EA">
      <w:pPr>
        <w:tabs>
          <w:tab w:val="left" w:pos="7093"/>
        </w:tabs>
        <w:spacing w:line="440" w:lineRule="exact"/>
        <w:ind w:leftChars="200" w:left="520"/>
        <w:jc w:val="both"/>
        <w:rPr>
          <w:rFonts w:ascii="Book Antiqua" w:hAnsi="標楷體"/>
          <w:color w:val="000000" w:themeColor="text1"/>
        </w:rPr>
      </w:pPr>
      <w:r w:rsidRPr="00E224E9">
        <w:rPr>
          <w:rFonts w:ascii="Book Antiqua" w:hAnsi="標楷體"/>
          <w:color w:val="000000" w:themeColor="text1"/>
        </w:rPr>
        <w:t>為第</w:t>
      </w:r>
      <w:r w:rsidRPr="00E224E9">
        <w:rPr>
          <w:rFonts w:ascii="Book Antiqua" w:hAnsi="標楷體" w:hint="eastAsia"/>
          <w:color w:val="000000" w:themeColor="text1"/>
        </w:rPr>
        <w:t>3</w:t>
      </w:r>
      <w:r w:rsidRPr="00E224E9">
        <w:rPr>
          <w:rFonts w:ascii="Book Antiqua" w:hAnsi="標楷體"/>
          <w:color w:val="000000" w:themeColor="text1"/>
        </w:rPr>
        <w:t>、</w:t>
      </w:r>
      <w:r w:rsidR="009C74BA" w:rsidRPr="00E224E9">
        <w:rPr>
          <w:rFonts w:ascii="Book Antiqua" w:hAnsi="標楷體"/>
          <w:color w:val="000000" w:themeColor="text1"/>
        </w:rPr>
        <w:t>7</w:t>
      </w:r>
      <w:r w:rsidRPr="00E224E9">
        <w:rPr>
          <w:rFonts w:ascii="Book Antiqua" w:hAnsi="標楷體"/>
          <w:color w:val="000000" w:themeColor="text1"/>
        </w:rPr>
        <w:t>欄－最近公允價值或淨值總金額減去第</w:t>
      </w:r>
      <w:r w:rsidRPr="00E224E9">
        <w:rPr>
          <w:rFonts w:ascii="Book Antiqua" w:hAnsi="標楷體" w:hint="eastAsia"/>
          <w:color w:val="000000" w:themeColor="text1"/>
        </w:rPr>
        <w:t>2</w:t>
      </w:r>
      <w:r w:rsidRPr="00E224E9">
        <w:rPr>
          <w:rFonts w:ascii="Book Antiqua" w:hAnsi="標楷體"/>
          <w:color w:val="000000" w:themeColor="text1"/>
        </w:rPr>
        <w:t>、</w:t>
      </w:r>
      <w:r w:rsidR="009C74BA" w:rsidRPr="00E224E9">
        <w:rPr>
          <w:rFonts w:ascii="Book Antiqua" w:hAnsi="標楷體"/>
          <w:color w:val="000000" w:themeColor="text1"/>
        </w:rPr>
        <w:t>6</w:t>
      </w:r>
      <w:r w:rsidRPr="00E224E9">
        <w:rPr>
          <w:rFonts w:ascii="Book Antiqua" w:hAnsi="標楷體"/>
          <w:color w:val="000000" w:themeColor="text1"/>
        </w:rPr>
        <w:t>欄－帳載金額之金額。</w:t>
      </w:r>
    </w:p>
    <w:p w14:paraId="57194E4C" w14:textId="77777777" w:rsidR="00BA2996" w:rsidRPr="00E224E9" w:rsidRDefault="00BA2996" w:rsidP="00BA2996">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5</w:t>
      </w:r>
      <w:r w:rsidRPr="00E224E9">
        <w:rPr>
          <w:rFonts w:ascii="Book Antiqua" w:hAnsi="標楷體"/>
          <w:color w:val="000000" w:themeColor="text1"/>
        </w:rPr>
        <w:t>、</w:t>
      </w:r>
      <w:r w:rsidRPr="00E224E9">
        <w:rPr>
          <w:rFonts w:ascii="Book Antiqua" w:hAnsi="Book Antiqua"/>
          <w:color w:val="000000" w:themeColor="text1"/>
        </w:rPr>
        <w:t>9</w:t>
      </w:r>
      <w:r w:rsidRPr="00E224E9">
        <w:rPr>
          <w:rFonts w:ascii="Book Antiqua" w:hAnsi="標楷體"/>
          <w:color w:val="000000" w:themeColor="text1"/>
        </w:rPr>
        <w:t>欄－未實現損益</w:t>
      </w:r>
      <w:r w:rsidRPr="00E224E9">
        <w:rPr>
          <w:rFonts w:ascii="Book Antiqua" w:hAnsi="標楷體" w:hint="eastAsia"/>
          <w:color w:val="000000" w:themeColor="text1"/>
        </w:rPr>
        <w:t>-</w:t>
      </w:r>
      <w:r w:rsidRPr="00E224E9">
        <w:rPr>
          <w:rFonts w:ascii="Book Antiqua" w:hAnsi="標楷體" w:hint="eastAsia"/>
          <w:color w:val="000000" w:themeColor="text1"/>
        </w:rPr>
        <w:t>以公允價值評價者</w:t>
      </w:r>
    </w:p>
    <w:p w14:paraId="00DD9AF2" w14:textId="77777777" w:rsidR="00BA2996" w:rsidRPr="00E224E9" w:rsidRDefault="00BA2996" w:rsidP="009942EA">
      <w:pPr>
        <w:tabs>
          <w:tab w:val="left" w:pos="7093"/>
        </w:tabs>
        <w:spacing w:line="440" w:lineRule="exact"/>
        <w:ind w:leftChars="200" w:left="520"/>
        <w:jc w:val="both"/>
        <w:rPr>
          <w:rFonts w:ascii="Book Antiqua" w:hAnsi="Book Antiqua"/>
          <w:color w:val="000000" w:themeColor="text1"/>
        </w:rPr>
      </w:pPr>
      <w:r w:rsidRPr="00E224E9">
        <w:rPr>
          <w:rFonts w:ascii="Book Antiqua" w:hAnsi="標楷體"/>
          <w:color w:val="000000" w:themeColor="text1"/>
        </w:rPr>
        <w:t>為第</w:t>
      </w:r>
      <w:r w:rsidRPr="00E224E9">
        <w:rPr>
          <w:rFonts w:ascii="Book Antiqua" w:hAnsi="標楷體" w:hint="eastAsia"/>
          <w:color w:val="000000" w:themeColor="text1"/>
        </w:rPr>
        <w:t>2</w:t>
      </w:r>
      <w:r w:rsidRPr="00E224E9">
        <w:rPr>
          <w:rFonts w:ascii="Book Antiqua" w:hAnsi="標楷體"/>
          <w:color w:val="000000" w:themeColor="text1"/>
        </w:rPr>
        <w:t>、</w:t>
      </w:r>
      <w:r w:rsidRPr="00E224E9">
        <w:rPr>
          <w:rFonts w:ascii="Book Antiqua" w:hAnsi="標楷體"/>
          <w:color w:val="000000" w:themeColor="text1"/>
        </w:rPr>
        <w:t>6</w:t>
      </w:r>
      <w:r w:rsidRPr="00E224E9">
        <w:rPr>
          <w:rFonts w:ascii="Book Antiqua" w:hAnsi="標楷體"/>
          <w:color w:val="000000" w:themeColor="text1"/>
        </w:rPr>
        <w:t>欄－帳載金額減去</w:t>
      </w:r>
      <w:r w:rsidRPr="00E224E9">
        <w:rPr>
          <w:rFonts w:ascii="Book Antiqua" w:hAnsi="標楷體" w:hint="eastAsia"/>
          <w:color w:val="000000" w:themeColor="text1"/>
        </w:rPr>
        <w:t>取得成本</w:t>
      </w:r>
      <w:r w:rsidRPr="00E224E9">
        <w:rPr>
          <w:rFonts w:ascii="Book Antiqua" w:hAnsi="標楷體"/>
          <w:color w:val="000000" w:themeColor="text1"/>
        </w:rPr>
        <w:t>之金額。</w:t>
      </w:r>
    </w:p>
    <w:p w14:paraId="508DE784"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b/>
          <w:bCs/>
          <w:color w:val="000000" w:themeColor="text1"/>
        </w:rPr>
        <w:t>國內外投資合計</w:t>
      </w:r>
    </w:p>
    <w:p w14:paraId="6EF7963B"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Book Antiqua"/>
          <w:color w:val="000000" w:themeColor="text1"/>
        </w:rPr>
        <w:t>第</w:t>
      </w:r>
      <w:r w:rsidR="00BA2996" w:rsidRPr="00E224E9">
        <w:rPr>
          <w:rFonts w:ascii="Book Antiqua" w:hAnsi="Book Antiqua"/>
          <w:color w:val="000000" w:themeColor="text1"/>
        </w:rPr>
        <w:t>10</w:t>
      </w:r>
      <w:r w:rsidRPr="00E224E9">
        <w:rPr>
          <w:rFonts w:ascii="Book Antiqua" w:hAnsi="Book Antiqua"/>
          <w:color w:val="000000" w:themeColor="text1"/>
        </w:rPr>
        <w:t>欄－帳載金額</w:t>
      </w:r>
    </w:p>
    <w:p w14:paraId="2B4B5497" w14:textId="77777777" w:rsidR="009942EA" w:rsidRPr="00E224E9" w:rsidRDefault="009942EA" w:rsidP="009942EA">
      <w:pPr>
        <w:tabs>
          <w:tab w:val="left" w:pos="7093"/>
        </w:tabs>
        <w:spacing w:line="440" w:lineRule="exact"/>
        <w:ind w:leftChars="200" w:left="520"/>
        <w:jc w:val="both"/>
        <w:rPr>
          <w:rFonts w:ascii="Book Antiqua" w:hAnsi="Book Antiqua"/>
          <w:color w:val="000000" w:themeColor="text1"/>
        </w:rPr>
      </w:pPr>
      <w:r w:rsidRPr="00E224E9">
        <w:rPr>
          <w:rFonts w:ascii="Book Antiqua" w:hAnsi="Book Antiqua"/>
          <w:color w:val="000000" w:themeColor="text1"/>
        </w:rPr>
        <w:t>係指保險業總帳及明細分類帳所紀錄之各資金運用項目的金額。國外投資以期末匯率換算為新台幣帳面價值。為第</w:t>
      </w:r>
      <w:r w:rsidR="00BA2996" w:rsidRPr="00E224E9">
        <w:rPr>
          <w:rFonts w:ascii="Book Antiqua" w:hAnsi="Book Antiqua" w:hint="eastAsia"/>
          <w:color w:val="000000" w:themeColor="text1"/>
        </w:rPr>
        <w:t>(</w:t>
      </w:r>
      <w:r w:rsidRPr="00E224E9">
        <w:rPr>
          <w:rFonts w:ascii="Book Antiqua" w:hAnsi="Book Antiqua"/>
          <w:color w:val="000000" w:themeColor="text1"/>
        </w:rPr>
        <w:t>2</w:t>
      </w:r>
      <w:r w:rsidR="00BA2996" w:rsidRPr="00E224E9">
        <w:rPr>
          <w:rFonts w:ascii="Book Antiqua" w:hAnsi="Book Antiqua" w:hint="eastAsia"/>
          <w:color w:val="000000" w:themeColor="text1"/>
        </w:rPr>
        <w:t>)</w:t>
      </w:r>
      <w:r w:rsidRPr="00E224E9">
        <w:rPr>
          <w:rFonts w:ascii="Book Antiqua" w:hAnsi="Book Antiqua"/>
          <w:color w:val="000000" w:themeColor="text1"/>
        </w:rPr>
        <w:t>欄</w:t>
      </w:r>
      <w:r w:rsidRPr="00E224E9">
        <w:rPr>
          <w:rFonts w:ascii="Book Antiqua" w:hAnsi="Book Antiqua"/>
          <w:color w:val="000000" w:themeColor="text1"/>
        </w:rPr>
        <w:t>+</w:t>
      </w:r>
      <w:r w:rsidRPr="00E224E9">
        <w:rPr>
          <w:rFonts w:ascii="Book Antiqua" w:hAnsi="Book Antiqua"/>
          <w:color w:val="000000" w:themeColor="text1"/>
        </w:rPr>
        <w:t>第</w:t>
      </w:r>
      <w:r w:rsidR="00BA2996" w:rsidRPr="00E224E9">
        <w:rPr>
          <w:rFonts w:ascii="Book Antiqua" w:hAnsi="Book Antiqua" w:hint="eastAsia"/>
          <w:color w:val="000000" w:themeColor="text1"/>
        </w:rPr>
        <w:t>(</w:t>
      </w:r>
      <w:r w:rsidR="00BA2996" w:rsidRPr="00E224E9">
        <w:rPr>
          <w:rFonts w:ascii="Book Antiqua" w:hAnsi="Book Antiqua"/>
          <w:color w:val="000000" w:themeColor="text1"/>
        </w:rPr>
        <w:t>6</w:t>
      </w:r>
      <w:r w:rsidR="00BA2996" w:rsidRPr="00E224E9">
        <w:rPr>
          <w:rFonts w:ascii="Book Antiqua" w:hAnsi="Book Antiqua" w:hint="eastAsia"/>
          <w:color w:val="000000" w:themeColor="text1"/>
        </w:rPr>
        <w:t>)</w:t>
      </w:r>
      <w:r w:rsidRPr="00E224E9">
        <w:rPr>
          <w:rFonts w:ascii="Book Antiqua" w:hAnsi="Book Antiqua"/>
          <w:color w:val="000000" w:themeColor="text1"/>
        </w:rPr>
        <w:t>欄之合計數。</w:t>
      </w:r>
    </w:p>
    <w:p w14:paraId="03F8E1C7"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00BA2996" w:rsidRPr="00E224E9">
        <w:rPr>
          <w:rFonts w:ascii="Book Antiqua" w:hAnsi="Book Antiqua"/>
          <w:color w:val="000000" w:themeColor="text1"/>
        </w:rPr>
        <w:t>11</w:t>
      </w:r>
      <w:r w:rsidRPr="00E224E9">
        <w:rPr>
          <w:rFonts w:ascii="Book Antiqua" w:hAnsi="Book Antiqua"/>
          <w:color w:val="000000" w:themeColor="text1"/>
        </w:rPr>
        <w:t>欄－最近公允價值或淨值總金額</w:t>
      </w:r>
    </w:p>
    <w:p w14:paraId="7DFA3641" w14:textId="77777777" w:rsidR="009942EA" w:rsidRPr="00E224E9" w:rsidRDefault="009942EA" w:rsidP="009942EA">
      <w:pPr>
        <w:tabs>
          <w:tab w:val="left" w:pos="7093"/>
        </w:tabs>
        <w:spacing w:line="440" w:lineRule="exact"/>
        <w:ind w:leftChars="200" w:left="520"/>
        <w:jc w:val="both"/>
        <w:rPr>
          <w:rFonts w:ascii="Book Antiqua" w:hAnsi="標楷體"/>
          <w:color w:val="000000" w:themeColor="text1"/>
        </w:rPr>
      </w:pPr>
      <w:r w:rsidRPr="00E224E9">
        <w:rPr>
          <w:rFonts w:ascii="Book Antiqua" w:hAnsi="標楷體"/>
          <w:color w:val="000000" w:themeColor="text1"/>
        </w:rPr>
        <w:t>所稱公允價值，係指資產負債表日之收盤價；若無公開市場之公允價值者，請填被投資公司最新取得財務簽證</w:t>
      </w:r>
      <w:r w:rsidRPr="00E224E9">
        <w:rPr>
          <w:rFonts w:ascii="Book Antiqua" w:hAnsi="標楷體" w:hint="eastAsia"/>
          <w:color w:val="000000" w:themeColor="text1"/>
        </w:rPr>
        <w:t>或核閱</w:t>
      </w:r>
      <w:r w:rsidRPr="00E224E9">
        <w:rPr>
          <w:rFonts w:ascii="Book Antiqua" w:hAnsi="標楷體"/>
          <w:color w:val="000000" w:themeColor="text1"/>
        </w:rPr>
        <w:t>報告決算每股平均淨值。國外投資以期末匯率換算為新台幣市值。為第</w:t>
      </w:r>
      <w:r w:rsidR="00BA2996" w:rsidRPr="00E224E9">
        <w:rPr>
          <w:rFonts w:ascii="Book Antiqua" w:hAnsi="標楷體" w:hint="eastAsia"/>
          <w:color w:val="000000" w:themeColor="text1"/>
        </w:rPr>
        <w:t>(</w:t>
      </w:r>
      <w:r w:rsidRPr="00E224E9">
        <w:rPr>
          <w:rFonts w:ascii="Book Antiqua" w:hAnsi="標楷體"/>
          <w:color w:val="000000" w:themeColor="text1"/>
        </w:rPr>
        <w:t>3</w:t>
      </w:r>
      <w:r w:rsidR="00BA2996" w:rsidRPr="00E224E9">
        <w:rPr>
          <w:rFonts w:ascii="Book Antiqua" w:hAnsi="標楷體"/>
          <w:color w:val="000000" w:themeColor="text1"/>
        </w:rPr>
        <w:t>)</w:t>
      </w:r>
      <w:r w:rsidRPr="00E224E9">
        <w:rPr>
          <w:rFonts w:ascii="Book Antiqua" w:hAnsi="標楷體"/>
          <w:color w:val="000000" w:themeColor="text1"/>
        </w:rPr>
        <w:t>欄</w:t>
      </w:r>
      <w:r w:rsidRPr="00E224E9">
        <w:rPr>
          <w:rFonts w:ascii="Book Antiqua" w:hAnsi="標楷體"/>
          <w:color w:val="000000" w:themeColor="text1"/>
        </w:rPr>
        <w:t>+</w:t>
      </w:r>
      <w:r w:rsidRPr="00E224E9">
        <w:rPr>
          <w:rFonts w:ascii="Book Antiqua" w:hAnsi="標楷體"/>
          <w:color w:val="000000" w:themeColor="text1"/>
        </w:rPr>
        <w:t>第</w:t>
      </w:r>
      <w:r w:rsidR="00BA2996" w:rsidRPr="00E224E9">
        <w:rPr>
          <w:rFonts w:ascii="Book Antiqua" w:hAnsi="標楷體" w:hint="eastAsia"/>
          <w:color w:val="000000" w:themeColor="text1"/>
        </w:rPr>
        <w:t>(</w:t>
      </w:r>
      <w:r w:rsidR="00BA2996" w:rsidRPr="00E224E9">
        <w:rPr>
          <w:rFonts w:ascii="Book Antiqua" w:hAnsi="標楷體"/>
          <w:color w:val="000000" w:themeColor="text1"/>
        </w:rPr>
        <w:t>7</w:t>
      </w:r>
      <w:r w:rsidR="00BA2996" w:rsidRPr="00E224E9">
        <w:rPr>
          <w:rFonts w:ascii="Book Antiqua" w:hAnsi="標楷體" w:hint="eastAsia"/>
          <w:color w:val="000000" w:themeColor="text1"/>
        </w:rPr>
        <w:t>)</w:t>
      </w:r>
      <w:r w:rsidRPr="00E224E9">
        <w:rPr>
          <w:rFonts w:ascii="Book Antiqua" w:hAnsi="標楷體"/>
          <w:color w:val="000000" w:themeColor="text1"/>
        </w:rPr>
        <w:t>欄之合計數。</w:t>
      </w:r>
    </w:p>
    <w:p w14:paraId="030046D7"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Pr="00E224E9">
        <w:rPr>
          <w:rFonts w:ascii="Book Antiqua" w:hAnsi="Book Antiqua"/>
          <w:color w:val="000000" w:themeColor="text1"/>
        </w:rPr>
        <w:t>1</w:t>
      </w:r>
      <w:r w:rsidR="00BA2996" w:rsidRPr="00E224E9">
        <w:rPr>
          <w:rFonts w:ascii="Book Antiqua" w:hAnsi="Book Antiqua"/>
          <w:color w:val="000000" w:themeColor="text1"/>
        </w:rPr>
        <w:t>2</w:t>
      </w:r>
      <w:r w:rsidRPr="00E224E9">
        <w:rPr>
          <w:rFonts w:ascii="Book Antiqua" w:hAnsi="Book Antiqua"/>
          <w:color w:val="000000" w:themeColor="text1"/>
        </w:rPr>
        <w:t>欄－未實現損益</w:t>
      </w:r>
      <w:r w:rsidR="00BA2996" w:rsidRPr="00E224E9">
        <w:rPr>
          <w:rFonts w:ascii="Book Antiqua" w:hAnsi="標楷體" w:hint="eastAsia"/>
          <w:color w:val="000000" w:themeColor="text1"/>
        </w:rPr>
        <w:t>-</w:t>
      </w:r>
      <w:r w:rsidR="00BA2996" w:rsidRPr="00E224E9">
        <w:rPr>
          <w:rFonts w:ascii="Book Antiqua" w:hAnsi="標楷體" w:hint="eastAsia"/>
          <w:color w:val="000000" w:themeColor="text1"/>
        </w:rPr>
        <w:t>非以公允價值評價者</w:t>
      </w:r>
    </w:p>
    <w:p w14:paraId="3CAA56E2" w14:textId="77777777" w:rsidR="009942EA" w:rsidRPr="00E224E9" w:rsidRDefault="009942EA" w:rsidP="009942EA">
      <w:pPr>
        <w:tabs>
          <w:tab w:val="left" w:pos="7093"/>
        </w:tabs>
        <w:spacing w:line="440" w:lineRule="exact"/>
        <w:ind w:leftChars="200" w:left="520"/>
        <w:jc w:val="both"/>
        <w:rPr>
          <w:rFonts w:ascii="Book Antiqua" w:hAnsi="Book Antiqua"/>
          <w:color w:val="000000" w:themeColor="text1"/>
        </w:rPr>
      </w:pPr>
      <w:r w:rsidRPr="00E224E9">
        <w:rPr>
          <w:rFonts w:ascii="Book Antiqua" w:hAnsi="Book Antiqua"/>
          <w:color w:val="000000" w:themeColor="text1"/>
        </w:rPr>
        <w:t>為第</w:t>
      </w:r>
      <w:r w:rsidR="00BA2996" w:rsidRPr="00E224E9">
        <w:rPr>
          <w:rFonts w:ascii="Book Antiqua" w:hAnsi="Book Antiqua"/>
          <w:color w:val="000000" w:themeColor="text1"/>
        </w:rPr>
        <w:t>11</w:t>
      </w:r>
      <w:r w:rsidRPr="00E224E9">
        <w:rPr>
          <w:rFonts w:ascii="Book Antiqua" w:hAnsi="Book Antiqua"/>
          <w:color w:val="000000" w:themeColor="text1"/>
        </w:rPr>
        <w:t>欄－最近公允價值或淨值總金額減去第</w:t>
      </w:r>
      <w:r w:rsidR="00BA2996" w:rsidRPr="00E224E9">
        <w:rPr>
          <w:rFonts w:ascii="Book Antiqua" w:hAnsi="Book Antiqua"/>
          <w:color w:val="000000" w:themeColor="text1"/>
        </w:rPr>
        <w:t>10</w:t>
      </w:r>
      <w:r w:rsidRPr="00E224E9">
        <w:rPr>
          <w:rFonts w:ascii="Book Antiqua" w:hAnsi="Book Antiqua"/>
          <w:color w:val="000000" w:themeColor="text1"/>
        </w:rPr>
        <w:t>欄－帳載金額之金額。為第</w:t>
      </w:r>
      <w:r w:rsidR="00BA2996" w:rsidRPr="00E224E9">
        <w:rPr>
          <w:rFonts w:ascii="Book Antiqua" w:hAnsi="Book Antiqua" w:hint="eastAsia"/>
          <w:color w:val="000000" w:themeColor="text1"/>
        </w:rPr>
        <w:t>(</w:t>
      </w:r>
      <w:r w:rsidRPr="00E224E9">
        <w:rPr>
          <w:rFonts w:ascii="Book Antiqua" w:hAnsi="Book Antiqua"/>
          <w:color w:val="000000" w:themeColor="text1"/>
        </w:rPr>
        <w:t>4</w:t>
      </w:r>
      <w:r w:rsidR="00BA2996" w:rsidRPr="00E224E9">
        <w:rPr>
          <w:rFonts w:ascii="Book Antiqua" w:hAnsi="Book Antiqua" w:hint="eastAsia"/>
          <w:color w:val="000000" w:themeColor="text1"/>
        </w:rPr>
        <w:t>)</w:t>
      </w:r>
      <w:r w:rsidRPr="00E224E9">
        <w:rPr>
          <w:rFonts w:ascii="Book Antiqua" w:hAnsi="Book Antiqua"/>
          <w:color w:val="000000" w:themeColor="text1"/>
        </w:rPr>
        <w:t>欄</w:t>
      </w:r>
      <w:r w:rsidRPr="00E224E9">
        <w:rPr>
          <w:rFonts w:ascii="Book Antiqua" w:hAnsi="Book Antiqua"/>
          <w:color w:val="000000" w:themeColor="text1"/>
        </w:rPr>
        <w:t>+</w:t>
      </w:r>
      <w:r w:rsidRPr="00E224E9">
        <w:rPr>
          <w:rFonts w:ascii="Book Antiqua" w:hAnsi="Book Antiqua"/>
          <w:color w:val="000000" w:themeColor="text1"/>
        </w:rPr>
        <w:t>第</w:t>
      </w:r>
      <w:r w:rsidR="00BA2996" w:rsidRPr="00E224E9">
        <w:rPr>
          <w:rFonts w:ascii="Book Antiqua" w:hAnsi="Book Antiqua" w:hint="eastAsia"/>
          <w:color w:val="000000" w:themeColor="text1"/>
        </w:rPr>
        <w:t>(</w:t>
      </w:r>
      <w:r w:rsidR="00BA2996" w:rsidRPr="00E224E9">
        <w:rPr>
          <w:rFonts w:ascii="Book Antiqua" w:hAnsi="Book Antiqua"/>
          <w:color w:val="000000" w:themeColor="text1"/>
        </w:rPr>
        <w:t>8</w:t>
      </w:r>
      <w:r w:rsidR="00BA2996" w:rsidRPr="00E224E9">
        <w:rPr>
          <w:rFonts w:ascii="Book Antiqua" w:hAnsi="Book Antiqua" w:hint="eastAsia"/>
          <w:color w:val="000000" w:themeColor="text1"/>
        </w:rPr>
        <w:t>)</w:t>
      </w:r>
      <w:r w:rsidRPr="00E224E9">
        <w:rPr>
          <w:rFonts w:ascii="Book Antiqua" w:hAnsi="Book Antiqua"/>
          <w:color w:val="000000" w:themeColor="text1"/>
        </w:rPr>
        <w:t>欄之合計數。</w:t>
      </w:r>
    </w:p>
    <w:p w14:paraId="6DD3FF75" w14:textId="77777777" w:rsidR="00BA2996" w:rsidRPr="00E224E9" w:rsidRDefault="00BA2996" w:rsidP="00BA2996">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Pr="00E224E9">
        <w:rPr>
          <w:rFonts w:ascii="Book Antiqua" w:hAnsi="Book Antiqua"/>
          <w:color w:val="000000" w:themeColor="text1"/>
        </w:rPr>
        <w:t>13</w:t>
      </w:r>
      <w:r w:rsidRPr="00E224E9">
        <w:rPr>
          <w:rFonts w:ascii="Book Antiqua" w:hAnsi="Book Antiqua"/>
          <w:color w:val="000000" w:themeColor="text1"/>
        </w:rPr>
        <w:t>欄－未實現損益</w:t>
      </w:r>
      <w:r w:rsidRPr="00E224E9">
        <w:rPr>
          <w:rFonts w:ascii="Book Antiqua" w:hAnsi="標楷體" w:hint="eastAsia"/>
          <w:color w:val="000000" w:themeColor="text1"/>
        </w:rPr>
        <w:t>-</w:t>
      </w:r>
      <w:r w:rsidRPr="00E224E9">
        <w:rPr>
          <w:rFonts w:ascii="Book Antiqua" w:hAnsi="標楷體" w:hint="eastAsia"/>
          <w:color w:val="000000" w:themeColor="text1"/>
        </w:rPr>
        <w:t>以公允價值評價者</w:t>
      </w:r>
    </w:p>
    <w:p w14:paraId="78FC16CC" w14:textId="77777777" w:rsidR="00BA2996" w:rsidRPr="00E224E9" w:rsidRDefault="00BA2996" w:rsidP="009942EA">
      <w:pPr>
        <w:tabs>
          <w:tab w:val="left" w:pos="7093"/>
        </w:tabs>
        <w:spacing w:line="440" w:lineRule="exact"/>
        <w:ind w:leftChars="200" w:left="520"/>
        <w:jc w:val="both"/>
        <w:rPr>
          <w:rFonts w:ascii="Book Antiqua" w:hAnsi="Book Antiqua"/>
          <w:color w:val="000000" w:themeColor="text1"/>
        </w:rPr>
      </w:pPr>
      <w:r w:rsidRPr="00E224E9">
        <w:rPr>
          <w:rFonts w:ascii="Book Antiqua" w:hAnsi="Book Antiqua"/>
          <w:color w:val="000000" w:themeColor="text1"/>
        </w:rPr>
        <w:t>為第</w:t>
      </w:r>
      <w:r w:rsidRPr="00E224E9">
        <w:rPr>
          <w:rFonts w:ascii="Book Antiqua" w:hAnsi="Book Antiqua" w:hint="eastAsia"/>
          <w:color w:val="000000" w:themeColor="text1"/>
        </w:rPr>
        <w:t>(</w:t>
      </w:r>
      <w:r w:rsidRPr="00E224E9">
        <w:rPr>
          <w:rFonts w:ascii="Book Antiqua" w:hAnsi="Book Antiqua"/>
          <w:color w:val="000000" w:themeColor="text1"/>
        </w:rPr>
        <w:t>5</w:t>
      </w:r>
      <w:r w:rsidRPr="00E224E9">
        <w:rPr>
          <w:rFonts w:ascii="Book Antiqua" w:hAnsi="Book Antiqua" w:hint="eastAsia"/>
          <w:color w:val="000000" w:themeColor="text1"/>
        </w:rPr>
        <w:t>)</w:t>
      </w:r>
      <w:r w:rsidRPr="00E224E9">
        <w:rPr>
          <w:rFonts w:ascii="Book Antiqua" w:hAnsi="Book Antiqua"/>
          <w:color w:val="000000" w:themeColor="text1"/>
        </w:rPr>
        <w:t>欄</w:t>
      </w:r>
      <w:r w:rsidRPr="00E224E9">
        <w:rPr>
          <w:rFonts w:ascii="Book Antiqua" w:hAnsi="Book Antiqua"/>
          <w:color w:val="000000" w:themeColor="text1"/>
        </w:rPr>
        <w:t>+</w:t>
      </w:r>
      <w:r w:rsidRPr="00E224E9">
        <w:rPr>
          <w:rFonts w:ascii="Book Antiqua" w:hAnsi="Book Antiqua"/>
          <w:color w:val="000000" w:themeColor="text1"/>
        </w:rPr>
        <w:t>第</w:t>
      </w:r>
      <w:r w:rsidRPr="00E224E9">
        <w:rPr>
          <w:rFonts w:ascii="Book Antiqua" w:hAnsi="Book Antiqua" w:hint="eastAsia"/>
          <w:color w:val="000000" w:themeColor="text1"/>
        </w:rPr>
        <w:t>(</w:t>
      </w:r>
      <w:r w:rsidRPr="00E224E9">
        <w:rPr>
          <w:rFonts w:ascii="Book Antiqua" w:hAnsi="Book Antiqua"/>
          <w:color w:val="000000" w:themeColor="text1"/>
        </w:rPr>
        <w:t>9</w:t>
      </w:r>
      <w:r w:rsidRPr="00E224E9">
        <w:rPr>
          <w:rFonts w:ascii="Book Antiqua" w:hAnsi="Book Antiqua" w:hint="eastAsia"/>
          <w:color w:val="000000" w:themeColor="text1"/>
        </w:rPr>
        <w:t>)</w:t>
      </w:r>
      <w:r w:rsidRPr="00E224E9">
        <w:rPr>
          <w:rFonts w:ascii="Book Antiqua" w:hAnsi="Book Antiqua"/>
          <w:color w:val="000000" w:themeColor="text1"/>
        </w:rPr>
        <w:t>欄之合計數。</w:t>
      </w:r>
    </w:p>
    <w:p w14:paraId="7A039481" w14:textId="77777777" w:rsidR="009942EA" w:rsidRPr="00E224E9" w:rsidRDefault="009942EA" w:rsidP="009942EA">
      <w:pPr>
        <w:tabs>
          <w:tab w:val="left" w:pos="7093"/>
        </w:tabs>
        <w:spacing w:line="440" w:lineRule="exact"/>
        <w:jc w:val="both"/>
        <w:rPr>
          <w:rFonts w:ascii="Book Antiqua" w:hAnsi="標楷體"/>
          <w:color w:val="000000" w:themeColor="text1"/>
        </w:rPr>
      </w:pPr>
      <w:r w:rsidRPr="00E224E9">
        <w:rPr>
          <w:rFonts w:ascii="Book Antiqua" w:hAnsi="標楷體"/>
          <w:color w:val="000000" w:themeColor="text1"/>
        </w:rPr>
        <w:t>第</w:t>
      </w:r>
      <w:r w:rsidRPr="00E224E9">
        <w:rPr>
          <w:rFonts w:ascii="Book Antiqua" w:hAnsi="標楷體"/>
          <w:color w:val="000000" w:themeColor="text1"/>
        </w:rPr>
        <w:t>1</w:t>
      </w:r>
      <w:r w:rsidR="00BA2996" w:rsidRPr="00E224E9">
        <w:rPr>
          <w:rFonts w:ascii="Book Antiqua" w:hAnsi="標楷體"/>
          <w:color w:val="000000" w:themeColor="text1"/>
        </w:rPr>
        <w:t>4</w:t>
      </w:r>
      <w:r w:rsidRPr="00E224E9">
        <w:rPr>
          <w:rFonts w:ascii="Book Antiqua" w:hAnsi="標楷體"/>
          <w:color w:val="000000" w:themeColor="text1"/>
        </w:rPr>
        <w:t>欄－</w:t>
      </w:r>
      <w:r w:rsidRPr="00E224E9">
        <w:rPr>
          <w:rFonts w:ascii="Book Antiqua" w:hAnsi="標楷體" w:hint="eastAsia"/>
          <w:color w:val="000000" w:themeColor="text1"/>
        </w:rPr>
        <w:t>半年收盤平均價</w:t>
      </w:r>
    </w:p>
    <w:p w14:paraId="76651790" w14:textId="77777777" w:rsidR="009942EA" w:rsidRPr="00E224E9" w:rsidRDefault="009942EA" w:rsidP="00664571">
      <w:pPr>
        <w:tabs>
          <w:tab w:val="left" w:pos="7093"/>
        </w:tabs>
        <w:spacing w:line="440" w:lineRule="exact"/>
        <w:ind w:leftChars="200" w:left="520"/>
        <w:jc w:val="both"/>
        <w:rPr>
          <w:rFonts w:ascii="Book Antiqua" w:hAnsi="標楷體"/>
          <w:color w:val="000000" w:themeColor="text1"/>
        </w:rPr>
      </w:pPr>
      <w:r w:rsidRPr="00E224E9">
        <w:rPr>
          <w:rFonts w:ascii="Book Antiqua" w:hAnsi="Book Antiqua" w:hint="eastAsia"/>
          <w:color w:val="000000" w:themeColor="text1"/>
        </w:rPr>
        <w:t>係指依資產負債表日前半年每日收盤價計算之算術平均價格</w:t>
      </w:r>
      <w:r w:rsidRPr="00E224E9">
        <w:rPr>
          <w:rFonts w:ascii="Book Antiqua" w:hAnsi="標楷體"/>
          <w:color w:val="000000" w:themeColor="text1"/>
        </w:rPr>
        <w:t>。</w:t>
      </w:r>
    </w:p>
    <w:p w14:paraId="1F45F583" w14:textId="77777777" w:rsidR="00664571" w:rsidRPr="00E224E9" w:rsidRDefault="00664571" w:rsidP="00664571">
      <w:pPr>
        <w:tabs>
          <w:tab w:val="left" w:pos="7093"/>
        </w:tabs>
        <w:spacing w:line="440" w:lineRule="exact"/>
        <w:ind w:leftChars="200" w:left="520"/>
        <w:jc w:val="both"/>
        <w:rPr>
          <w:rFonts w:ascii="Book Antiqua" w:hAnsi="Book Antiqua"/>
          <w:color w:val="000000" w:themeColor="text1"/>
        </w:rPr>
      </w:pPr>
    </w:p>
    <w:p w14:paraId="59E8625A" w14:textId="77777777" w:rsidR="00065C53" w:rsidRPr="00E224E9" w:rsidRDefault="00065C53" w:rsidP="00664571">
      <w:pPr>
        <w:pStyle w:val="1"/>
        <w:pageBreakBefore/>
        <w:spacing w:afterLines="0" w:line="440" w:lineRule="exact"/>
        <w:jc w:val="both"/>
        <w:rPr>
          <w:color w:val="000000" w:themeColor="text1"/>
        </w:rPr>
      </w:pPr>
      <w:bookmarkStart w:id="41" w:name="_Toc200468520"/>
      <w:r w:rsidRPr="00E224E9">
        <w:rPr>
          <w:color w:val="000000" w:themeColor="text1"/>
          <w:szCs w:val="24"/>
        </w:rPr>
        <w:lastRenderedPageBreak/>
        <w:t>表</w:t>
      </w:r>
      <w:r w:rsidRPr="00E224E9">
        <w:rPr>
          <w:color w:val="000000" w:themeColor="text1"/>
        </w:rPr>
        <w:t>10-3：關係人股票投資明細表</w:t>
      </w:r>
      <w:bookmarkEnd w:id="25"/>
      <w:bookmarkEnd w:id="26"/>
      <w:bookmarkEnd w:id="41"/>
    </w:p>
    <w:p w14:paraId="431206A3"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本表係配合資本適足性報告有關股票投資之分類方式，表達關係人各類股票投資帳載金額與淨值之明細，以利資本適足性報告填報。本表所稱關係人之定義及範圍準用表03</w:t>
      </w:r>
      <w:r w:rsidR="001A36A1" w:rsidRPr="00E224E9">
        <w:rPr>
          <w:rFonts w:ascii="標楷體" w:hAnsi="標楷體" w:hint="eastAsia"/>
          <w:color w:val="000000" w:themeColor="text1"/>
          <w:sz w:val="24"/>
        </w:rPr>
        <w:t>：資產負債表「三</w:t>
      </w:r>
      <w:r w:rsidRPr="00E224E9">
        <w:rPr>
          <w:rFonts w:ascii="標楷體" w:hAnsi="標楷體" w:hint="eastAsia"/>
          <w:color w:val="000000" w:themeColor="text1"/>
          <w:sz w:val="24"/>
        </w:rPr>
        <w:t>、關係人之定義及分類說明」之規定。</w:t>
      </w:r>
    </w:p>
    <w:p w14:paraId="2595834B"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各列股票投資之金額茲以下列6欄表示：</w:t>
      </w:r>
    </w:p>
    <w:p w14:paraId="73DA932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第2、3欄－帳載金額</w:t>
      </w:r>
    </w:p>
    <w:p w14:paraId="234D6218" w14:textId="77777777" w:rsidR="00065C53" w:rsidRPr="00E224E9" w:rsidRDefault="00065C53">
      <w:pPr>
        <w:spacing w:line="440" w:lineRule="exact"/>
        <w:ind w:leftChars="225" w:left="585"/>
        <w:jc w:val="both"/>
        <w:rPr>
          <w:rFonts w:ascii="標楷體" w:hAnsi="標楷體"/>
          <w:color w:val="000000" w:themeColor="text1"/>
          <w:sz w:val="24"/>
        </w:rPr>
      </w:pPr>
      <w:r w:rsidRPr="00E224E9">
        <w:rPr>
          <w:rFonts w:ascii="標楷體" w:hAnsi="標楷體" w:hint="eastAsia"/>
          <w:color w:val="000000" w:themeColor="text1"/>
          <w:sz w:val="24"/>
        </w:rPr>
        <w:t>依據資本適足性報告之「保險業計算資本適足率相關認許資產之評價準則」規範，帳載金額分為第2欄上市上櫃股票及第3欄非上市上櫃股票兩類。</w:t>
      </w:r>
    </w:p>
    <w:p w14:paraId="6AB8FB79" w14:textId="77777777" w:rsidR="00065C53" w:rsidRPr="00E224E9" w:rsidRDefault="00065C53">
      <w:pPr>
        <w:spacing w:line="440" w:lineRule="exact"/>
        <w:ind w:leftChars="225" w:left="585"/>
        <w:jc w:val="both"/>
        <w:rPr>
          <w:rFonts w:ascii="標楷體" w:hAnsi="標楷體"/>
          <w:color w:val="000000" w:themeColor="text1"/>
          <w:sz w:val="24"/>
        </w:rPr>
      </w:pPr>
      <w:r w:rsidRPr="00E224E9">
        <w:rPr>
          <w:rFonts w:ascii="標楷體" w:hAnsi="標楷體" w:hint="eastAsia"/>
          <w:color w:val="000000" w:themeColor="text1"/>
          <w:sz w:val="24"/>
        </w:rPr>
        <w:t>各列關係人股票投資之帳載金額係指保險業總帳及明細分類帳所紀錄之金額。</w:t>
      </w:r>
    </w:p>
    <w:p w14:paraId="5594391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第4、5欄－淨值</w:t>
      </w:r>
    </w:p>
    <w:p w14:paraId="325FAD15" w14:textId="77777777" w:rsidR="00065C53" w:rsidRPr="00E224E9" w:rsidRDefault="00065C53">
      <w:pPr>
        <w:spacing w:line="440" w:lineRule="exact"/>
        <w:ind w:leftChars="225" w:left="585"/>
        <w:jc w:val="both"/>
        <w:rPr>
          <w:rFonts w:ascii="標楷體" w:hAnsi="標楷體"/>
          <w:color w:val="000000" w:themeColor="text1"/>
          <w:sz w:val="24"/>
        </w:rPr>
      </w:pPr>
      <w:r w:rsidRPr="00E224E9">
        <w:rPr>
          <w:rFonts w:ascii="標楷體" w:hAnsi="標楷體" w:hint="eastAsia"/>
          <w:color w:val="000000" w:themeColor="text1"/>
          <w:sz w:val="24"/>
        </w:rPr>
        <w:t>依據資本適足性報告之「保險業計算資本適足率相關認許資產之評價準則」規範，帳載金額分為第4欄上市上櫃股票及第5欄非上市上櫃股票兩類。各類股權投資之淨值，係指被投資公司資產負債表日之</w:t>
      </w:r>
      <w:r w:rsidR="00880167" w:rsidRPr="00E224E9">
        <w:rPr>
          <w:rFonts w:ascii="標楷體" w:hAnsi="標楷體" w:hint="eastAsia"/>
          <w:color w:val="000000" w:themeColor="text1"/>
          <w:sz w:val="24"/>
        </w:rPr>
        <w:t>每股平均</w:t>
      </w:r>
      <w:r w:rsidRPr="00E224E9">
        <w:rPr>
          <w:rFonts w:ascii="標楷體" w:hAnsi="標楷體" w:hint="eastAsia"/>
          <w:color w:val="000000" w:themeColor="text1"/>
          <w:sz w:val="24"/>
        </w:rPr>
        <w:t>淨值</w:t>
      </w:r>
      <w:r w:rsidR="00880167" w:rsidRPr="00E224E9">
        <w:rPr>
          <w:rFonts w:ascii="標楷體" w:hAnsi="標楷體" w:hint="eastAsia"/>
          <w:color w:val="000000" w:themeColor="text1"/>
          <w:sz w:val="24"/>
        </w:rPr>
        <w:t>乘上持有股數之金額</w:t>
      </w:r>
      <w:r w:rsidRPr="00E224E9">
        <w:rPr>
          <w:rFonts w:ascii="標楷體" w:hAnsi="標楷體" w:hint="eastAsia"/>
          <w:color w:val="000000" w:themeColor="text1"/>
          <w:sz w:val="24"/>
        </w:rPr>
        <w:t>。</w:t>
      </w:r>
    </w:p>
    <w:p w14:paraId="1B7FC42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第6欄－帳載金額與淨值孰低</w:t>
      </w:r>
    </w:p>
    <w:p w14:paraId="0F954851" w14:textId="77777777" w:rsidR="00065C53" w:rsidRPr="00E224E9" w:rsidRDefault="00065C53">
      <w:pPr>
        <w:spacing w:line="440" w:lineRule="exact"/>
        <w:ind w:leftChars="225" w:left="585"/>
        <w:jc w:val="both"/>
        <w:rPr>
          <w:rFonts w:ascii="標楷體" w:hAnsi="標楷體"/>
          <w:color w:val="000000" w:themeColor="text1"/>
          <w:sz w:val="24"/>
        </w:rPr>
      </w:pPr>
      <w:r w:rsidRPr="00E224E9">
        <w:rPr>
          <w:rFonts w:ascii="標楷體" w:hAnsi="標楷體" w:hint="eastAsia"/>
          <w:color w:val="000000" w:themeColor="text1"/>
          <w:sz w:val="24"/>
        </w:rPr>
        <w:t>依「保險業計算資本適足率之資產認許標準及評價原則」規定，採權益法評價之非上市上櫃股票之自有資本額係以每股淨值與</w:t>
      </w:r>
      <w:r w:rsidR="00880167" w:rsidRPr="00E224E9">
        <w:rPr>
          <w:rFonts w:ascii="標楷體" w:hAnsi="標楷體" w:hint="eastAsia"/>
          <w:color w:val="000000" w:themeColor="text1"/>
          <w:sz w:val="24"/>
        </w:rPr>
        <w:t>帳面金額</w:t>
      </w:r>
      <w:r w:rsidRPr="00E224E9">
        <w:rPr>
          <w:rFonts w:ascii="標楷體" w:hAnsi="標楷體" w:hint="eastAsia"/>
          <w:color w:val="000000" w:themeColor="text1"/>
          <w:sz w:val="24"/>
        </w:rPr>
        <w:t>孰低認列，為使其風險資本額與自有資本額之計算基礎一致，採權益法評價之非上市上櫃股票之風險資本額應取其帳載金額與淨值孰低者計算之。</w:t>
      </w:r>
    </w:p>
    <w:p w14:paraId="6D0402B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第7欄－半年收盤平均價</w:t>
      </w:r>
    </w:p>
    <w:p w14:paraId="4DE94EFE" w14:textId="77777777" w:rsidR="00065C53" w:rsidRPr="00E224E9" w:rsidRDefault="00065C53">
      <w:pPr>
        <w:spacing w:line="440" w:lineRule="exact"/>
        <w:ind w:leftChars="225" w:left="585"/>
        <w:jc w:val="both"/>
        <w:rPr>
          <w:rFonts w:ascii="標楷體" w:hAnsi="標楷體"/>
          <w:color w:val="000000" w:themeColor="text1"/>
          <w:sz w:val="24"/>
        </w:rPr>
      </w:pPr>
      <w:r w:rsidRPr="00E224E9">
        <w:rPr>
          <w:rFonts w:ascii="標楷體" w:hAnsi="標楷體" w:hint="eastAsia"/>
          <w:color w:val="000000" w:themeColor="text1"/>
          <w:sz w:val="24"/>
        </w:rPr>
        <w:t>係指依資產負債表日前半年每日收盤價計算之算術平均價格</w:t>
      </w:r>
    </w:p>
    <w:p w14:paraId="0A8853BF" w14:textId="77777777" w:rsidR="00065C53" w:rsidRPr="00E224E9" w:rsidRDefault="00065C53">
      <w:pPr>
        <w:spacing w:line="440" w:lineRule="exact"/>
        <w:ind w:leftChars="225" w:left="585"/>
        <w:jc w:val="both"/>
        <w:rPr>
          <w:rFonts w:ascii="標楷體" w:hAnsi="標楷體"/>
          <w:color w:val="000000" w:themeColor="text1"/>
          <w:sz w:val="24"/>
        </w:rPr>
      </w:pPr>
    </w:p>
    <w:p w14:paraId="2B018853" w14:textId="77777777" w:rsidR="00065C53" w:rsidRPr="00E224E9" w:rsidRDefault="00065C53">
      <w:pPr>
        <w:spacing w:line="440" w:lineRule="exact"/>
        <w:ind w:leftChars="225" w:left="585"/>
        <w:jc w:val="both"/>
        <w:rPr>
          <w:rFonts w:ascii="標楷體" w:hAnsi="標楷體"/>
          <w:color w:val="000000" w:themeColor="text1"/>
          <w:sz w:val="24"/>
        </w:rPr>
      </w:pPr>
      <w:r w:rsidRPr="00E224E9">
        <w:rPr>
          <w:rFonts w:ascii="標楷體" w:hAnsi="標楷體" w:hint="eastAsia"/>
          <w:color w:val="000000" w:themeColor="text1"/>
          <w:sz w:val="24"/>
        </w:rPr>
        <w:t>依據資本適足性報告之分類，茲將關係人股票投資依被投資公司所在地，區分為國內關係人股票投資與國外關係人股票投資。以下為主要列之說明：</w:t>
      </w:r>
    </w:p>
    <w:p w14:paraId="74D7ABF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第2列－具控制與從屬關係(採權益法評價)</w:t>
      </w:r>
    </w:p>
    <w:p w14:paraId="10EE394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E224E9">
        <w:rPr>
          <w:rFonts w:ascii="標楷體" w:hAnsi="標楷體" w:hint="eastAsia"/>
          <w:color w:val="000000" w:themeColor="text1"/>
          <w:sz w:val="24"/>
        </w:rPr>
        <w:t>專案運用、公共及社會福利事業投資(含長期照護產業)與其他主管機關核准項目</w:t>
      </w:r>
      <w:r w:rsidRPr="00E224E9">
        <w:rPr>
          <w:rFonts w:ascii="標楷體" w:hAnsi="標楷體" w:hint="eastAsia"/>
          <w:color w:val="000000" w:themeColor="text1"/>
          <w:sz w:val="24"/>
        </w:rPr>
        <w:t>、(2)採權益法評價之創業投資、(3)以股票方式投資之專案運用公共及社會福利事業投資、(4)其他。</w:t>
      </w:r>
    </w:p>
    <w:p w14:paraId="1E18BC34" w14:textId="77777777" w:rsidR="00065C53" w:rsidRPr="00E224E9" w:rsidRDefault="00065C53">
      <w:pPr>
        <w:spacing w:line="440" w:lineRule="exact"/>
        <w:ind w:leftChars="300" w:left="780"/>
        <w:jc w:val="both"/>
        <w:rPr>
          <w:rFonts w:ascii="標楷體" w:hAnsi="標楷體"/>
          <w:color w:val="000000" w:themeColor="text1"/>
          <w:sz w:val="24"/>
        </w:rPr>
      </w:pPr>
    </w:p>
    <w:p w14:paraId="2613575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lastRenderedPageBreak/>
        <w:t>第1</w:t>
      </w:r>
      <w:r w:rsidR="008D044A" w:rsidRPr="00E224E9">
        <w:rPr>
          <w:rFonts w:ascii="標楷體" w:hAnsi="標楷體" w:hint="eastAsia"/>
          <w:color w:val="000000" w:themeColor="text1"/>
          <w:sz w:val="24"/>
        </w:rPr>
        <w:t>2</w:t>
      </w:r>
      <w:r w:rsidRPr="00E224E9">
        <w:rPr>
          <w:rFonts w:ascii="標楷體" w:hAnsi="標楷體" w:hint="eastAsia"/>
          <w:color w:val="000000" w:themeColor="text1"/>
          <w:sz w:val="24"/>
        </w:rPr>
        <w:t>列－非控制與從屬關係</w:t>
      </w:r>
    </w:p>
    <w:p w14:paraId="4F09FD0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E224E9">
        <w:rPr>
          <w:rFonts w:ascii="標楷體" w:hAnsi="標楷體" w:hint="eastAsia"/>
          <w:color w:val="000000" w:themeColor="text1"/>
          <w:sz w:val="24"/>
        </w:rPr>
        <w:t>專案運用、公共及社會福利事業投資(含長期照護產業)與其他主管機關核准項目</w:t>
      </w:r>
      <w:r w:rsidRPr="00E224E9">
        <w:rPr>
          <w:rFonts w:ascii="標楷體" w:hAnsi="標楷體" w:hint="eastAsia"/>
          <w:color w:val="000000" w:themeColor="text1"/>
          <w:sz w:val="24"/>
        </w:rPr>
        <w:t>(2)採權益法評價之創業投資、(3)非採權益法評價之創業投資、(4)以股票方式投資之專案運用公共及社會福利事業投資、(5)其他。</w:t>
      </w:r>
    </w:p>
    <w:p w14:paraId="4D3D6C6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第1類第1項到第3項之填報方式準用「表05-1：資金運用表」第1</w:t>
      </w:r>
      <w:r w:rsidR="005E1082" w:rsidRPr="00E224E9">
        <w:rPr>
          <w:rFonts w:ascii="標楷體" w:hAnsi="標楷體" w:hint="eastAsia"/>
          <w:color w:val="000000" w:themeColor="text1"/>
          <w:sz w:val="24"/>
        </w:rPr>
        <w:t>99</w:t>
      </w:r>
      <w:r w:rsidRPr="00E224E9">
        <w:rPr>
          <w:rFonts w:ascii="標楷體" w:hAnsi="標楷體" w:hint="eastAsia"/>
          <w:color w:val="000000" w:themeColor="text1"/>
          <w:sz w:val="24"/>
        </w:rPr>
        <w:t>列及第</w:t>
      </w:r>
      <w:r w:rsidR="005E1082" w:rsidRPr="00E224E9">
        <w:rPr>
          <w:rFonts w:ascii="標楷體" w:hAnsi="標楷體" w:hint="eastAsia"/>
          <w:color w:val="000000" w:themeColor="text1"/>
          <w:sz w:val="24"/>
        </w:rPr>
        <w:t>200</w:t>
      </w:r>
      <w:r w:rsidRPr="00E224E9">
        <w:rPr>
          <w:rFonts w:ascii="標楷體" w:hAnsi="標楷體" w:hint="eastAsia"/>
          <w:color w:val="000000" w:themeColor="text1"/>
          <w:sz w:val="24"/>
        </w:rPr>
        <w:t>列之說明。</w:t>
      </w:r>
    </w:p>
    <w:p w14:paraId="4875A535" w14:textId="77777777" w:rsidR="00065C53" w:rsidRPr="00E224E9" w:rsidRDefault="00065C53" w:rsidP="005E1082">
      <w:pPr>
        <w:tabs>
          <w:tab w:val="left" w:pos="8025"/>
        </w:tabs>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w:t>
      </w:r>
      <w:r w:rsidR="008D044A" w:rsidRPr="00E224E9">
        <w:rPr>
          <w:rFonts w:ascii="標楷體" w:hAnsi="標楷體" w:hint="eastAsia"/>
          <w:color w:val="000000" w:themeColor="text1"/>
          <w:sz w:val="24"/>
        </w:rPr>
        <w:t>3</w:t>
      </w:r>
      <w:r w:rsidRPr="00E224E9">
        <w:rPr>
          <w:rFonts w:ascii="標楷體" w:hAnsi="標楷體" w:hint="eastAsia"/>
          <w:color w:val="000000" w:themeColor="text1"/>
          <w:sz w:val="24"/>
        </w:rPr>
        <w:t>列－國內關係人股票投資小計</w:t>
      </w:r>
      <w:r w:rsidR="005E1082" w:rsidRPr="00E224E9">
        <w:rPr>
          <w:rFonts w:ascii="標楷體" w:hAnsi="標楷體"/>
          <w:color w:val="000000" w:themeColor="text1"/>
          <w:sz w:val="24"/>
        </w:rPr>
        <w:tab/>
      </w:r>
    </w:p>
    <w:p w14:paraId="644FB5A6"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本列之金額為第2列國內關係人股票投資-具控制與從屬關係與第1</w:t>
      </w:r>
      <w:r w:rsidR="008D044A" w:rsidRPr="00E224E9">
        <w:rPr>
          <w:rFonts w:ascii="標楷體" w:hAnsi="標楷體" w:hint="eastAsia"/>
          <w:color w:val="000000" w:themeColor="text1"/>
          <w:sz w:val="24"/>
        </w:rPr>
        <w:t>2</w:t>
      </w:r>
      <w:r w:rsidRPr="00E224E9">
        <w:rPr>
          <w:rFonts w:ascii="標楷體" w:hAnsi="標楷體" w:hint="eastAsia"/>
          <w:color w:val="000000" w:themeColor="text1"/>
          <w:sz w:val="24"/>
        </w:rPr>
        <w:t>列國內關係人股票投資-非控制與從屬關係兩列之加總。</w:t>
      </w:r>
    </w:p>
    <w:p w14:paraId="60F8818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8D044A" w:rsidRPr="00E224E9">
        <w:rPr>
          <w:rFonts w:ascii="標楷體" w:hAnsi="標楷體" w:hint="eastAsia"/>
          <w:color w:val="000000" w:themeColor="text1"/>
          <w:sz w:val="24"/>
        </w:rPr>
        <w:t>36</w:t>
      </w:r>
      <w:r w:rsidRPr="00E224E9">
        <w:rPr>
          <w:rFonts w:ascii="標楷體" w:hAnsi="標楷體" w:hint="eastAsia"/>
          <w:color w:val="000000" w:themeColor="text1"/>
          <w:sz w:val="24"/>
        </w:rPr>
        <w:t>列－國外關係人股票投資小計</w:t>
      </w:r>
    </w:p>
    <w:p w14:paraId="388D611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本列之金額為第</w:t>
      </w:r>
      <w:r w:rsidR="008D044A" w:rsidRPr="00E224E9">
        <w:rPr>
          <w:rFonts w:ascii="標楷體" w:hAnsi="標楷體" w:hint="eastAsia"/>
          <w:color w:val="000000" w:themeColor="text1"/>
          <w:sz w:val="24"/>
        </w:rPr>
        <w:t>26</w:t>
      </w:r>
      <w:r w:rsidRPr="00E224E9">
        <w:rPr>
          <w:rFonts w:ascii="標楷體" w:hAnsi="標楷體" w:hint="eastAsia"/>
          <w:color w:val="000000" w:themeColor="text1"/>
          <w:sz w:val="24"/>
        </w:rPr>
        <w:t>列國外關係人股票投資-具控制與從屬關係與第3</w:t>
      </w:r>
      <w:r w:rsidR="008D044A" w:rsidRPr="00E224E9">
        <w:rPr>
          <w:rFonts w:ascii="標楷體" w:hAnsi="標楷體" w:hint="eastAsia"/>
          <w:color w:val="000000" w:themeColor="text1"/>
          <w:sz w:val="24"/>
        </w:rPr>
        <w:t>3</w:t>
      </w:r>
      <w:r w:rsidRPr="00E224E9">
        <w:rPr>
          <w:rFonts w:ascii="標楷體" w:hAnsi="標楷體" w:hint="eastAsia"/>
          <w:color w:val="000000" w:themeColor="text1"/>
          <w:sz w:val="24"/>
        </w:rPr>
        <w:t>列國外關係人股票投資-非控制與從屬關係兩列之加總。</w:t>
      </w:r>
    </w:p>
    <w:p w14:paraId="22D3B6A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8D044A" w:rsidRPr="00E224E9">
        <w:rPr>
          <w:rFonts w:ascii="標楷體" w:hAnsi="標楷體" w:hint="eastAsia"/>
          <w:color w:val="000000" w:themeColor="text1"/>
          <w:sz w:val="24"/>
        </w:rPr>
        <w:t>37</w:t>
      </w:r>
      <w:r w:rsidRPr="00E224E9">
        <w:rPr>
          <w:rFonts w:ascii="標楷體" w:hAnsi="標楷體" w:hint="eastAsia"/>
          <w:color w:val="000000" w:themeColor="text1"/>
          <w:sz w:val="24"/>
        </w:rPr>
        <w:t>列－關係人股票投資總計</w:t>
      </w:r>
    </w:p>
    <w:p w14:paraId="2F122C8F"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本列之金額為第2</w:t>
      </w:r>
      <w:r w:rsidR="008D044A" w:rsidRPr="00E224E9">
        <w:rPr>
          <w:rFonts w:ascii="標楷體" w:hAnsi="標楷體" w:hint="eastAsia"/>
          <w:color w:val="000000" w:themeColor="text1"/>
          <w:sz w:val="24"/>
        </w:rPr>
        <w:t>3</w:t>
      </w:r>
      <w:r w:rsidRPr="00E224E9">
        <w:rPr>
          <w:rFonts w:ascii="標楷體" w:hAnsi="標楷體" w:hint="eastAsia"/>
          <w:color w:val="000000" w:themeColor="text1"/>
          <w:sz w:val="24"/>
        </w:rPr>
        <w:t>列國內關係人股票投資小計與第</w:t>
      </w:r>
      <w:r w:rsidR="008D044A" w:rsidRPr="00E224E9">
        <w:rPr>
          <w:rFonts w:ascii="標楷體" w:hAnsi="標楷體" w:hint="eastAsia"/>
          <w:color w:val="000000" w:themeColor="text1"/>
          <w:sz w:val="24"/>
        </w:rPr>
        <w:t>36</w:t>
      </w:r>
      <w:r w:rsidRPr="00E224E9">
        <w:rPr>
          <w:rFonts w:ascii="標楷體" w:hAnsi="標楷體" w:hint="eastAsia"/>
          <w:color w:val="000000" w:themeColor="text1"/>
          <w:sz w:val="24"/>
        </w:rPr>
        <w:t>列國外關係人股票投資小計兩列之加總。</w:t>
      </w:r>
    </w:p>
    <w:p w14:paraId="6021C456" w14:textId="46ADF334" w:rsidR="00F51967" w:rsidRPr="00E224E9" w:rsidRDefault="00F51967" w:rsidP="00F51967">
      <w:pPr>
        <w:spacing w:line="440" w:lineRule="exact"/>
        <w:ind w:leftChars="32" w:left="83"/>
        <w:jc w:val="both"/>
        <w:rPr>
          <w:rFonts w:ascii="標楷體" w:hAnsi="標楷體"/>
          <w:color w:val="000000" w:themeColor="text1"/>
          <w:sz w:val="24"/>
        </w:rPr>
      </w:pPr>
      <w:r w:rsidRPr="00E224E9">
        <w:rPr>
          <w:rFonts w:ascii="標楷體" w:hAnsi="標楷體" w:hint="eastAsia"/>
          <w:color w:val="000000" w:themeColor="text1"/>
          <w:sz w:val="24"/>
        </w:rPr>
        <w:t>第38和39列-</w:t>
      </w:r>
    </w:p>
    <w:p w14:paraId="386144B9" w14:textId="56F5581F" w:rsidR="00F51967" w:rsidRPr="00E224E9" w:rsidRDefault="00F51967" w:rsidP="001C79B1">
      <w:pPr>
        <w:spacing w:line="440" w:lineRule="exact"/>
        <w:ind w:leftChars="290" w:left="754"/>
        <w:jc w:val="both"/>
        <w:rPr>
          <w:rFonts w:ascii="標楷體" w:hAnsi="標楷體"/>
          <w:color w:val="000000" w:themeColor="text1"/>
          <w:sz w:val="24"/>
        </w:rPr>
      </w:pPr>
      <w:r w:rsidRPr="00E224E9">
        <w:rPr>
          <w:rFonts w:ascii="標楷體" w:hAnsi="標楷體"/>
          <w:color w:val="000000" w:themeColor="text1"/>
          <w:sz w:val="24"/>
        </w:rPr>
        <w:t>113.1.1起，投資於關係人且屬於國外保險相關事業之相關部位</w:t>
      </w:r>
    </w:p>
    <w:p w14:paraId="67443D44" w14:textId="77777777" w:rsidR="00065C53" w:rsidRPr="00E224E9" w:rsidRDefault="00065C53">
      <w:pPr>
        <w:pStyle w:val="1"/>
        <w:spacing w:afterLines="0" w:line="440" w:lineRule="exact"/>
        <w:jc w:val="both"/>
        <w:rPr>
          <w:color w:val="000000" w:themeColor="text1"/>
        </w:rPr>
      </w:pPr>
      <w:bookmarkStart w:id="42" w:name="_Toc81303304"/>
      <w:r w:rsidRPr="00E224E9">
        <w:rPr>
          <w:color w:val="000000" w:themeColor="text1"/>
          <w:sz w:val="24"/>
          <w:szCs w:val="24"/>
        </w:rPr>
        <w:br w:type="page"/>
      </w:r>
      <w:bookmarkStart w:id="43" w:name="_Toc219262233"/>
      <w:bookmarkStart w:id="44" w:name="_Toc200468521"/>
      <w:bookmarkEnd w:id="42"/>
      <w:r w:rsidRPr="00E224E9">
        <w:rPr>
          <w:color w:val="000000" w:themeColor="text1"/>
        </w:rPr>
        <w:lastRenderedPageBreak/>
        <w:t>表10-4：非關係人股票投資明細表</w:t>
      </w:r>
      <w:bookmarkEnd w:id="43"/>
      <w:bookmarkEnd w:id="44"/>
    </w:p>
    <w:p w14:paraId="3FEF594E"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本表係配合資本適足性報告有關股票投資之分類方式，表達非關係人各類股票投資帳載金額、</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或淨值之明細，以利資本適足性報告填報。</w:t>
      </w:r>
    </w:p>
    <w:p w14:paraId="5C41EBFC"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各列股票投資之金額茲以下列</w:t>
      </w:r>
      <w:r w:rsidR="0042408B" w:rsidRPr="00E224E9">
        <w:rPr>
          <w:rFonts w:ascii="標楷體" w:hAnsi="標楷體" w:hint="eastAsia"/>
          <w:color w:val="000000" w:themeColor="text1"/>
          <w:sz w:val="24"/>
        </w:rPr>
        <w:t>六</w:t>
      </w:r>
      <w:r w:rsidRPr="00E224E9">
        <w:rPr>
          <w:rFonts w:ascii="標楷體" w:hAnsi="標楷體" w:hint="eastAsia"/>
          <w:color w:val="000000" w:themeColor="text1"/>
          <w:sz w:val="24"/>
        </w:rPr>
        <w:t>欄表示：</w:t>
      </w:r>
    </w:p>
    <w:p w14:paraId="68071CE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第2欄－帳載金額</w:t>
      </w:r>
    </w:p>
    <w:p w14:paraId="73ECBB82"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係指保險業總帳及明細分類帳所紀錄之各列非關係人股票投資金額。</w:t>
      </w:r>
    </w:p>
    <w:p w14:paraId="5BE2522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w:t>
      </w:r>
      <w:r w:rsidR="00A65DB4" w:rsidRPr="00E224E9">
        <w:rPr>
          <w:rFonts w:ascii="標楷體" w:hAnsi="標楷體" w:hint="eastAsia"/>
          <w:color w:val="000000" w:themeColor="text1"/>
          <w:sz w:val="24"/>
        </w:rPr>
        <w:t>公允價值</w:t>
      </w:r>
    </w:p>
    <w:p w14:paraId="1476799D" w14:textId="77777777" w:rsidR="00065C53" w:rsidRPr="00E224E9" w:rsidRDefault="00A65DB4">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公允價值</w:t>
      </w:r>
      <w:r w:rsidR="00065C53" w:rsidRPr="00E224E9">
        <w:rPr>
          <w:rFonts w:ascii="標楷體" w:hAnsi="標楷體" w:hint="eastAsia"/>
          <w:color w:val="000000" w:themeColor="text1"/>
          <w:sz w:val="24"/>
        </w:rPr>
        <w:t>係指上市上櫃股票投資於資產負債表日之收盤價。</w:t>
      </w:r>
    </w:p>
    <w:p w14:paraId="20242E8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第4欄－淨值</w:t>
      </w:r>
    </w:p>
    <w:p w14:paraId="271A27F2"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係指非上市上櫃股票之被投資公司資產負債表日之淨值。</w:t>
      </w:r>
    </w:p>
    <w:p w14:paraId="317B3127" w14:textId="77777777" w:rsidR="0042408B" w:rsidRPr="00E224E9" w:rsidRDefault="0042408B" w:rsidP="0042408B">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第5欄－帳載金額與淨值孰低</w:t>
      </w:r>
    </w:p>
    <w:p w14:paraId="5E196E85" w14:textId="77777777" w:rsidR="0042408B" w:rsidRPr="00E224E9" w:rsidRDefault="0042408B" w:rsidP="00F3152E">
      <w:pPr>
        <w:spacing w:line="440" w:lineRule="exact"/>
        <w:ind w:leftChars="272" w:left="707" w:firstLine="1"/>
        <w:jc w:val="both"/>
        <w:rPr>
          <w:rFonts w:ascii="標楷體" w:hAnsi="標楷體"/>
          <w:color w:val="000000" w:themeColor="text1"/>
          <w:sz w:val="24"/>
        </w:rPr>
      </w:pPr>
      <w:r w:rsidRPr="00E224E9">
        <w:rPr>
          <w:rFonts w:ascii="標楷體" w:hAnsi="標楷體" w:hint="eastAsia"/>
          <w:color w:val="000000" w:themeColor="text1"/>
          <w:sz w:val="24"/>
        </w:rPr>
        <w:t>依「保險業計算資本適足率之資產認許標準及評價原則」規定，未上市、未上櫃之股票，以該發行股票公司每股淨值與帳面金額孰低評價。</w:t>
      </w:r>
    </w:p>
    <w:p w14:paraId="10B1DDD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42408B" w:rsidRPr="00E224E9">
        <w:rPr>
          <w:rFonts w:ascii="標楷體" w:hAnsi="標楷體" w:hint="eastAsia"/>
          <w:color w:val="000000" w:themeColor="text1"/>
          <w:sz w:val="24"/>
        </w:rPr>
        <w:t>6</w:t>
      </w:r>
      <w:r w:rsidRPr="00E224E9">
        <w:rPr>
          <w:rFonts w:ascii="標楷體" w:hAnsi="標楷體" w:hint="eastAsia"/>
          <w:color w:val="000000" w:themeColor="text1"/>
          <w:sz w:val="24"/>
        </w:rPr>
        <w:t>欄－半年收盤平均價</w:t>
      </w:r>
    </w:p>
    <w:p w14:paraId="1298BF80"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係指依資產負債表日前半年每日收盤價計算之算術平均價格。</w:t>
      </w:r>
    </w:p>
    <w:p w14:paraId="08F75A09" w14:textId="77777777" w:rsidR="00065C53" w:rsidRPr="00E224E9" w:rsidRDefault="00065C53">
      <w:pPr>
        <w:spacing w:line="440" w:lineRule="exact"/>
        <w:ind w:leftChars="300" w:left="780"/>
        <w:jc w:val="both"/>
        <w:rPr>
          <w:rFonts w:ascii="標楷體" w:hAnsi="標楷體"/>
          <w:color w:val="000000" w:themeColor="text1"/>
          <w:sz w:val="24"/>
        </w:rPr>
      </w:pPr>
    </w:p>
    <w:p w14:paraId="1445B828"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依據資本適足性報告之分類，茲將股票長期投資依被投資公司所在地，區分為國內非關係人股票投資與國外非關係人股票投資。以下為主要列之說明：</w:t>
      </w:r>
    </w:p>
    <w:p w14:paraId="51B68270" w14:textId="77777777" w:rsidR="00065C53" w:rsidRPr="00E224E9" w:rsidRDefault="00065C53">
      <w:pPr>
        <w:spacing w:line="440" w:lineRule="exact"/>
        <w:ind w:left="720" w:hangingChars="300" w:hanging="720"/>
        <w:jc w:val="both"/>
        <w:rPr>
          <w:rFonts w:ascii="標楷體" w:hAnsi="標楷體"/>
          <w:color w:val="000000" w:themeColor="text1"/>
          <w:sz w:val="24"/>
        </w:rPr>
      </w:pPr>
      <w:r w:rsidRPr="00E224E9">
        <w:rPr>
          <w:rFonts w:ascii="標楷體" w:hAnsi="標楷體" w:hint="eastAsia"/>
          <w:color w:val="000000" w:themeColor="text1"/>
          <w:sz w:val="24"/>
        </w:rPr>
        <w:t>第2列－上市普通股</w:t>
      </w:r>
    </w:p>
    <w:p w14:paraId="61B6ED75"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為配合資本適足性報告之分類，本列依保險業是否擔任被投資公司之董監事而區分為「擔任被投資公司之董監事」與「未擔任被投資公司之董監事」兩項。</w:t>
      </w:r>
    </w:p>
    <w:p w14:paraId="41C09B7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本列之金額為第3列及第4列之加總。</w:t>
      </w:r>
    </w:p>
    <w:p w14:paraId="1519D92A" w14:textId="77777777" w:rsidR="00065C53" w:rsidRPr="00E224E9" w:rsidRDefault="00065C53">
      <w:pPr>
        <w:spacing w:line="440" w:lineRule="exact"/>
        <w:ind w:left="718" w:hangingChars="299" w:hanging="718"/>
        <w:jc w:val="both"/>
        <w:rPr>
          <w:rFonts w:ascii="標楷體" w:hAnsi="標楷體"/>
          <w:color w:val="000000" w:themeColor="text1"/>
          <w:sz w:val="24"/>
        </w:rPr>
      </w:pPr>
      <w:r w:rsidRPr="00E224E9">
        <w:rPr>
          <w:rFonts w:ascii="標楷體" w:hAnsi="標楷體" w:hint="eastAsia"/>
          <w:color w:val="000000" w:themeColor="text1"/>
          <w:sz w:val="24"/>
        </w:rPr>
        <w:t>第3列－擔任被投資公司之董監事</w:t>
      </w:r>
    </w:p>
    <w:p w14:paraId="1BACD011" w14:textId="77777777" w:rsidR="00065C53" w:rsidRPr="00E224E9" w:rsidRDefault="00065C53">
      <w:pPr>
        <w:spacing w:line="440" w:lineRule="exact"/>
        <w:ind w:leftChars="276" w:left="718" w:firstLine="2"/>
        <w:jc w:val="both"/>
        <w:rPr>
          <w:rFonts w:ascii="標楷體" w:hAnsi="標楷體"/>
          <w:color w:val="000000" w:themeColor="text1"/>
          <w:sz w:val="24"/>
        </w:rPr>
      </w:pPr>
      <w:r w:rsidRPr="00E224E9">
        <w:rPr>
          <w:rFonts w:ascii="標楷體" w:hAnsi="標楷體" w:hint="eastAsia"/>
          <w:color w:val="000000" w:themeColor="text1"/>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10-3：關係人股票投資明細表」，並納入「表30-2：C0：資產風險--關係人風險計算表」計算風險資本額。</w:t>
      </w:r>
    </w:p>
    <w:p w14:paraId="4FB6CB4E" w14:textId="77777777" w:rsidR="00065C53" w:rsidRPr="00E224E9" w:rsidRDefault="00065C53">
      <w:pPr>
        <w:spacing w:line="440" w:lineRule="exact"/>
        <w:ind w:left="720" w:hangingChars="300" w:hanging="720"/>
        <w:jc w:val="both"/>
        <w:rPr>
          <w:rFonts w:ascii="標楷體" w:hAnsi="標楷體"/>
          <w:color w:val="000000" w:themeColor="text1"/>
          <w:sz w:val="24"/>
        </w:rPr>
      </w:pPr>
      <w:r w:rsidRPr="00E224E9">
        <w:rPr>
          <w:rFonts w:ascii="標楷體" w:hAnsi="標楷體" w:hint="eastAsia"/>
          <w:color w:val="000000" w:themeColor="text1"/>
          <w:sz w:val="24"/>
        </w:rPr>
        <w:t>第5列－上櫃普通股</w:t>
      </w:r>
    </w:p>
    <w:p w14:paraId="32A252D8"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填報方式請詳上述第2列及第3列之說明。</w:t>
      </w:r>
    </w:p>
    <w:p w14:paraId="1850E457"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本列之金額為第6列及第7列之加總。</w:t>
      </w:r>
    </w:p>
    <w:p w14:paraId="72549619" w14:textId="77777777" w:rsidR="00065C53" w:rsidRPr="00E224E9" w:rsidRDefault="00065C53">
      <w:pPr>
        <w:spacing w:line="440" w:lineRule="exact"/>
        <w:ind w:left="720" w:hangingChars="300" w:hanging="720"/>
        <w:jc w:val="both"/>
        <w:rPr>
          <w:rFonts w:ascii="標楷體" w:hAnsi="標楷體"/>
          <w:color w:val="000000" w:themeColor="text1"/>
          <w:sz w:val="24"/>
        </w:rPr>
      </w:pPr>
      <w:r w:rsidRPr="00E224E9">
        <w:rPr>
          <w:rFonts w:ascii="標楷體" w:hAnsi="標楷體" w:hint="eastAsia"/>
          <w:color w:val="000000" w:themeColor="text1"/>
          <w:sz w:val="24"/>
        </w:rPr>
        <w:lastRenderedPageBreak/>
        <w:t>第9列－特別股</w:t>
      </w:r>
    </w:p>
    <w:p w14:paraId="320F3BA3"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為配合資本適足性報告之分類，本列依特別股之收益特性區分為「固定收益特別股」及「非固定收益特別股」兩類。所稱「固定收益特別股」，請詳「表05-1：資 金運用表」第</w:t>
      </w:r>
      <w:r w:rsidR="00295BBD" w:rsidRPr="00E224E9">
        <w:rPr>
          <w:rFonts w:ascii="標楷體" w:hAnsi="標楷體" w:hint="eastAsia"/>
          <w:color w:val="000000" w:themeColor="text1"/>
          <w:sz w:val="24"/>
        </w:rPr>
        <w:t>40</w:t>
      </w:r>
      <w:r w:rsidRPr="00E224E9">
        <w:rPr>
          <w:rFonts w:ascii="標楷體" w:hAnsi="標楷體" w:hint="eastAsia"/>
          <w:color w:val="000000" w:themeColor="text1"/>
          <w:sz w:val="24"/>
        </w:rPr>
        <w:t>列之有關說明。</w:t>
      </w:r>
    </w:p>
    <w:p w14:paraId="0D6FAE1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本列之金額為第10列及第11列之加總。</w:t>
      </w:r>
    </w:p>
    <w:p w14:paraId="10775678" w14:textId="77777777" w:rsidR="00065C53" w:rsidRPr="00E224E9" w:rsidRDefault="00065C53">
      <w:pPr>
        <w:spacing w:line="440" w:lineRule="exact"/>
        <w:ind w:left="720" w:hangingChars="300" w:hanging="720"/>
        <w:jc w:val="both"/>
        <w:rPr>
          <w:rFonts w:ascii="標楷體" w:hAnsi="標楷體"/>
          <w:color w:val="000000" w:themeColor="text1"/>
          <w:sz w:val="24"/>
        </w:rPr>
      </w:pPr>
      <w:r w:rsidRPr="00E224E9">
        <w:rPr>
          <w:rFonts w:ascii="標楷體" w:hAnsi="標楷體" w:hint="eastAsia"/>
          <w:color w:val="000000" w:themeColor="text1"/>
          <w:sz w:val="24"/>
        </w:rPr>
        <w:t>第15列至第16列－專案運用公共及社會福利事業投資</w:t>
      </w:r>
    </w:p>
    <w:p w14:paraId="4D3CFB75"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此兩列之填報分類方式準用「表05-1：資金運用表」第1</w:t>
      </w:r>
      <w:r w:rsidR="00295BBD" w:rsidRPr="00E224E9">
        <w:rPr>
          <w:rFonts w:ascii="標楷體" w:hAnsi="標楷體" w:hint="eastAsia"/>
          <w:color w:val="000000" w:themeColor="text1"/>
          <w:sz w:val="24"/>
        </w:rPr>
        <w:t>99</w:t>
      </w:r>
      <w:r w:rsidRPr="00E224E9">
        <w:rPr>
          <w:rFonts w:ascii="標楷體" w:hAnsi="標楷體" w:hint="eastAsia"/>
          <w:color w:val="000000" w:themeColor="text1"/>
          <w:sz w:val="24"/>
        </w:rPr>
        <w:t>列及第</w:t>
      </w:r>
      <w:r w:rsidR="00295BBD" w:rsidRPr="00E224E9">
        <w:rPr>
          <w:rFonts w:ascii="標楷體" w:hAnsi="標楷體" w:hint="eastAsia"/>
          <w:color w:val="000000" w:themeColor="text1"/>
          <w:sz w:val="24"/>
        </w:rPr>
        <w:t>200</w:t>
      </w:r>
      <w:r w:rsidRPr="00E224E9">
        <w:rPr>
          <w:rFonts w:ascii="標楷體" w:hAnsi="標楷體" w:hint="eastAsia"/>
          <w:color w:val="000000" w:themeColor="text1"/>
          <w:sz w:val="24"/>
        </w:rPr>
        <w:t>列之說明。</w:t>
      </w:r>
    </w:p>
    <w:p w14:paraId="3787846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w:t>
      </w:r>
      <w:r w:rsidR="00295BBD" w:rsidRPr="00E224E9">
        <w:rPr>
          <w:rFonts w:ascii="標楷體" w:hAnsi="標楷體" w:hint="eastAsia"/>
          <w:color w:val="000000" w:themeColor="text1"/>
          <w:sz w:val="24"/>
        </w:rPr>
        <w:t>3</w:t>
      </w:r>
      <w:r w:rsidRPr="00E224E9">
        <w:rPr>
          <w:rFonts w:ascii="標楷體" w:hAnsi="標楷體" w:hint="eastAsia"/>
          <w:color w:val="000000" w:themeColor="text1"/>
          <w:sz w:val="24"/>
        </w:rPr>
        <w:t>列－國內非關係人股票投資總額</w:t>
      </w:r>
    </w:p>
    <w:p w14:paraId="64EE6503" w14:textId="77777777" w:rsidR="00065C53" w:rsidRPr="00E224E9" w:rsidRDefault="00065C53" w:rsidP="00295BBD">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本列之金額為第2列上市普通股、第5列上櫃普通股、第8列非上市上櫃普通股、第9列特別股、第14列專案運用公共及社會福利事業投資</w:t>
      </w:r>
      <w:r w:rsidR="00295BBD" w:rsidRPr="00E224E9">
        <w:rPr>
          <w:rFonts w:ascii="標楷體" w:hAnsi="標楷體" w:hint="eastAsia"/>
          <w:color w:val="000000" w:themeColor="text1"/>
          <w:sz w:val="24"/>
        </w:rPr>
        <w:t>、第30列台灣存託憑證</w:t>
      </w:r>
      <w:r w:rsidRPr="00E224E9">
        <w:rPr>
          <w:rFonts w:ascii="標楷體" w:hAnsi="標楷體" w:hint="eastAsia"/>
          <w:color w:val="000000" w:themeColor="text1"/>
          <w:sz w:val="24"/>
        </w:rPr>
        <w:t>之加總。</w:t>
      </w:r>
    </w:p>
    <w:p w14:paraId="28A613E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w:t>
      </w:r>
      <w:r w:rsidR="00295BBD" w:rsidRPr="00E224E9">
        <w:rPr>
          <w:rFonts w:ascii="標楷體" w:hAnsi="標楷體" w:hint="eastAsia"/>
          <w:color w:val="000000" w:themeColor="text1"/>
          <w:sz w:val="24"/>
        </w:rPr>
        <w:t>5</w:t>
      </w:r>
      <w:r w:rsidRPr="00E224E9">
        <w:rPr>
          <w:rFonts w:ascii="標楷體" w:hAnsi="標楷體" w:hint="eastAsia"/>
          <w:color w:val="000000" w:themeColor="text1"/>
          <w:sz w:val="24"/>
        </w:rPr>
        <w:t>列－</w:t>
      </w:r>
      <w:r w:rsidR="00BA2EB6" w:rsidRPr="00E224E9">
        <w:rPr>
          <w:rFonts w:ascii="Book Antiqua" w:hAnsi="標楷體" w:hint="eastAsia"/>
          <w:color w:val="000000" w:themeColor="text1"/>
          <w:sz w:val="24"/>
        </w:rPr>
        <w:t>已開發國家</w:t>
      </w:r>
    </w:p>
    <w:p w14:paraId="06559F3F" w14:textId="77777777" w:rsidR="00065C53" w:rsidRPr="00E224E9" w:rsidRDefault="00BA2EB6" w:rsidP="00461A76">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已開發國家</w:t>
      </w:r>
      <w:r w:rsidR="00065C53" w:rsidRPr="00E224E9">
        <w:rPr>
          <w:rFonts w:ascii="標楷體" w:hAnsi="標楷體" w:hint="eastAsia"/>
          <w:color w:val="000000" w:themeColor="text1"/>
          <w:sz w:val="24"/>
        </w:rPr>
        <w:t>係指</w:t>
      </w:r>
      <w:r w:rsidR="00461A76" w:rsidRPr="00E224E9">
        <w:rPr>
          <w:rFonts w:ascii="標楷體" w:hAnsi="標楷體" w:hint="eastAsia"/>
          <w:color w:val="000000" w:themeColor="text1"/>
          <w:sz w:val="24"/>
        </w:rPr>
        <w:t>加拿大、美國、奧地利、比利時、丹麥、芬蘭、法國、德國、愛爾蘭、以色列、義大利、荷蘭、挪威、葡萄牙、西班牙、瑞典、瑞士、英國、澳洲、香港、日本、紐西蘭、新加坡</w:t>
      </w:r>
      <w:r w:rsidR="00065C53" w:rsidRPr="00E224E9">
        <w:rPr>
          <w:rFonts w:ascii="標楷體" w:hAnsi="標楷體" w:hint="eastAsia"/>
          <w:color w:val="000000" w:themeColor="text1"/>
          <w:sz w:val="24"/>
        </w:rPr>
        <w:t>。</w:t>
      </w:r>
    </w:p>
    <w:p w14:paraId="1DCAD4B5"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本列之金額為第3</w:t>
      </w:r>
      <w:r w:rsidR="00295BBD" w:rsidRPr="00E224E9">
        <w:rPr>
          <w:rFonts w:ascii="標楷體" w:hAnsi="標楷體" w:hint="eastAsia"/>
          <w:color w:val="000000" w:themeColor="text1"/>
          <w:sz w:val="24"/>
        </w:rPr>
        <w:t>6</w:t>
      </w:r>
      <w:r w:rsidRPr="00E224E9">
        <w:rPr>
          <w:rFonts w:ascii="標楷體" w:hAnsi="標楷體" w:hint="eastAsia"/>
          <w:color w:val="000000" w:themeColor="text1"/>
          <w:sz w:val="24"/>
        </w:rPr>
        <w:t>列上市上櫃普通股、第3</w:t>
      </w:r>
      <w:r w:rsidR="00295BBD" w:rsidRPr="00E224E9">
        <w:rPr>
          <w:rFonts w:ascii="標楷體" w:hAnsi="標楷體" w:hint="eastAsia"/>
          <w:color w:val="000000" w:themeColor="text1"/>
          <w:sz w:val="24"/>
        </w:rPr>
        <w:t>7</w:t>
      </w:r>
      <w:r w:rsidRPr="00E224E9">
        <w:rPr>
          <w:rFonts w:ascii="標楷體" w:hAnsi="標楷體" w:hint="eastAsia"/>
          <w:color w:val="000000" w:themeColor="text1"/>
          <w:sz w:val="24"/>
        </w:rPr>
        <w:t>列非上市上櫃普通股與第3</w:t>
      </w:r>
      <w:r w:rsidR="00295BBD" w:rsidRPr="00E224E9">
        <w:rPr>
          <w:rFonts w:ascii="標楷體" w:hAnsi="標楷體" w:hint="eastAsia"/>
          <w:color w:val="000000" w:themeColor="text1"/>
          <w:sz w:val="24"/>
        </w:rPr>
        <w:t>8</w:t>
      </w:r>
      <w:r w:rsidRPr="00E224E9">
        <w:rPr>
          <w:rFonts w:ascii="標楷體" w:hAnsi="標楷體" w:hint="eastAsia"/>
          <w:color w:val="000000" w:themeColor="text1"/>
          <w:sz w:val="24"/>
        </w:rPr>
        <w:t>列特別股三列之加總。</w:t>
      </w:r>
    </w:p>
    <w:p w14:paraId="094EECA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w:t>
      </w:r>
      <w:r w:rsidR="00295BBD" w:rsidRPr="00E224E9">
        <w:rPr>
          <w:rFonts w:ascii="標楷體" w:hAnsi="標楷體" w:hint="eastAsia"/>
          <w:color w:val="000000" w:themeColor="text1"/>
          <w:sz w:val="24"/>
        </w:rPr>
        <w:t>3</w:t>
      </w:r>
      <w:r w:rsidRPr="00E224E9">
        <w:rPr>
          <w:rFonts w:ascii="標楷體" w:hAnsi="標楷體" w:hint="eastAsia"/>
          <w:color w:val="000000" w:themeColor="text1"/>
          <w:sz w:val="24"/>
        </w:rPr>
        <w:t>列－</w:t>
      </w:r>
      <w:r w:rsidR="003E0C1B" w:rsidRPr="00E224E9">
        <w:rPr>
          <w:rFonts w:ascii="Book Antiqua" w:hAnsi="標楷體" w:hint="eastAsia"/>
          <w:color w:val="000000" w:themeColor="text1"/>
          <w:sz w:val="24"/>
        </w:rPr>
        <w:t>新興市場</w:t>
      </w:r>
    </w:p>
    <w:p w14:paraId="33D9DF1F" w14:textId="77777777" w:rsidR="00065C53" w:rsidRPr="00E224E9" w:rsidRDefault="003E0C1B">
      <w:pPr>
        <w:spacing w:line="440" w:lineRule="exact"/>
        <w:ind w:firstLineChars="300" w:firstLine="720"/>
        <w:jc w:val="both"/>
        <w:rPr>
          <w:rFonts w:ascii="標楷體" w:hAnsi="標楷體"/>
          <w:color w:val="000000" w:themeColor="text1"/>
          <w:sz w:val="24"/>
        </w:rPr>
      </w:pPr>
      <w:r w:rsidRPr="00E224E9">
        <w:rPr>
          <w:rFonts w:ascii="Book Antiqua" w:hAnsi="標楷體" w:hint="eastAsia"/>
          <w:color w:val="000000" w:themeColor="text1"/>
          <w:sz w:val="24"/>
        </w:rPr>
        <w:t>新興市場</w:t>
      </w:r>
      <w:r w:rsidR="00065C53" w:rsidRPr="00E224E9">
        <w:rPr>
          <w:rFonts w:ascii="標楷體" w:hAnsi="標楷體" w:hint="eastAsia"/>
          <w:color w:val="000000" w:themeColor="text1"/>
          <w:sz w:val="24"/>
        </w:rPr>
        <w:t>係指本國與</w:t>
      </w:r>
      <w:r w:rsidR="00BA2EB6" w:rsidRPr="00E224E9">
        <w:rPr>
          <w:rFonts w:ascii="Book Antiqua" w:hAnsi="標楷體" w:hint="eastAsia"/>
          <w:color w:val="000000" w:themeColor="text1"/>
          <w:sz w:val="24"/>
        </w:rPr>
        <w:t>已開發國家</w:t>
      </w:r>
      <w:r w:rsidR="00065C53" w:rsidRPr="00E224E9">
        <w:rPr>
          <w:rFonts w:ascii="標楷體" w:hAnsi="標楷體" w:hint="eastAsia"/>
          <w:color w:val="000000" w:themeColor="text1"/>
          <w:sz w:val="24"/>
        </w:rPr>
        <w:t>以外之國家。</w:t>
      </w:r>
    </w:p>
    <w:p w14:paraId="485165E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本列之金額為第4</w:t>
      </w:r>
      <w:r w:rsidR="00295BBD" w:rsidRPr="00E224E9">
        <w:rPr>
          <w:rFonts w:ascii="標楷體" w:hAnsi="標楷體" w:hint="eastAsia"/>
          <w:color w:val="000000" w:themeColor="text1"/>
          <w:sz w:val="24"/>
        </w:rPr>
        <w:t>4</w:t>
      </w:r>
      <w:r w:rsidRPr="00E224E9">
        <w:rPr>
          <w:rFonts w:ascii="標楷體" w:hAnsi="標楷體" w:hint="eastAsia"/>
          <w:color w:val="000000" w:themeColor="text1"/>
          <w:sz w:val="24"/>
        </w:rPr>
        <w:t>列上市上櫃普通股、第4</w:t>
      </w:r>
      <w:r w:rsidR="00295BBD" w:rsidRPr="00E224E9">
        <w:rPr>
          <w:rFonts w:ascii="標楷體" w:hAnsi="標楷體" w:hint="eastAsia"/>
          <w:color w:val="000000" w:themeColor="text1"/>
          <w:sz w:val="24"/>
        </w:rPr>
        <w:t>5</w:t>
      </w:r>
      <w:r w:rsidRPr="00E224E9">
        <w:rPr>
          <w:rFonts w:ascii="標楷體" w:hAnsi="標楷體" w:hint="eastAsia"/>
          <w:color w:val="000000" w:themeColor="text1"/>
          <w:sz w:val="24"/>
        </w:rPr>
        <w:t>列非上市上櫃普通股與第4</w:t>
      </w:r>
      <w:r w:rsidR="00295BBD" w:rsidRPr="00E224E9">
        <w:rPr>
          <w:rFonts w:ascii="標楷體" w:hAnsi="標楷體" w:hint="eastAsia"/>
          <w:color w:val="000000" w:themeColor="text1"/>
          <w:sz w:val="24"/>
        </w:rPr>
        <w:t>6</w:t>
      </w:r>
      <w:r w:rsidRPr="00E224E9">
        <w:rPr>
          <w:rFonts w:ascii="標楷體" w:hAnsi="標楷體" w:hint="eastAsia"/>
          <w:color w:val="000000" w:themeColor="text1"/>
          <w:sz w:val="24"/>
        </w:rPr>
        <w:t>列特別股三列之加總。</w:t>
      </w:r>
    </w:p>
    <w:p w14:paraId="75C021B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295BBD" w:rsidRPr="00E224E9">
        <w:rPr>
          <w:rFonts w:ascii="標楷體" w:hAnsi="標楷體" w:hint="eastAsia"/>
          <w:color w:val="000000" w:themeColor="text1"/>
          <w:sz w:val="24"/>
        </w:rPr>
        <w:t>51</w:t>
      </w:r>
      <w:r w:rsidRPr="00E224E9">
        <w:rPr>
          <w:rFonts w:ascii="標楷體" w:hAnsi="標楷體" w:hint="eastAsia"/>
          <w:color w:val="000000" w:themeColor="text1"/>
          <w:sz w:val="24"/>
        </w:rPr>
        <w:t>列－國外非關係人股票投資總額</w:t>
      </w:r>
    </w:p>
    <w:p w14:paraId="66DB5E66"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本列之金額為第3</w:t>
      </w:r>
      <w:r w:rsidR="00295BBD" w:rsidRPr="00E224E9">
        <w:rPr>
          <w:rFonts w:ascii="標楷體" w:hAnsi="標楷體" w:hint="eastAsia"/>
          <w:color w:val="000000" w:themeColor="text1"/>
          <w:sz w:val="24"/>
        </w:rPr>
        <w:t>5</w:t>
      </w:r>
      <w:r w:rsidRPr="00E224E9">
        <w:rPr>
          <w:rFonts w:ascii="標楷體" w:hAnsi="標楷體" w:hint="eastAsia"/>
          <w:color w:val="000000" w:themeColor="text1"/>
          <w:sz w:val="24"/>
        </w:rPr>
        <w:t>列</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及第4</w:t>
      </w:r>
      <w:r w:rsidR="00295BBD" w:rsidRPr="00E224E9">
        <w:rPr>
          <w:rFonts w:ascii="標楷體" w:hAnsi="標楷體" w:hint="eastAsia"/>
          <w:color w:val="000000" w:themeColor="text1"/>
          <w:sz w:val="24"/>
        </w:rPr>
        <w:t>3</w:t>
      </w:r>
      <w:r w:rsidRPr="00E224E9">
        <w:rPr>
          <w:rFonts w:ascii="標楷體" w:hAnsi="標楷體" w:hint="eastAsia"/>
          <w:color w:val="000000" w:themeColor="text1"/>
          <w:sz w:val="24"/>
        </w:rPr>
        <w:t>列</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之加總。</w:t>
      </w:r>
    </w:p>
    <w:p w14:paraId="08C149F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295BBD" w:rsidRPr="00E224E9">
        <w:rPr>
          <w:rFonts w:ascii="標楷體" w:hAnsi="標楷體" w:hint="eastAsia"/>
          <w:color w:val="000000" w:themeColor="text1"/>
          <w:sz w:val="24"/>
        </w:rPr>
        <w:t>52</w:t>
      </w:r>
      <w:r w:rsidRPr="00E224E9">
        <w:rPr>
          <w:rFonts w:ascii="標楷體" w:hAnsi="標楷體" w:hint="eastAsia"/>
          <w:color w:val="000000" w:themeColor="text1"/>
          <w:sz w:val="24"/>
        </w:rPr>
        <w:t>列－非關係人股票投資總額</w:t>
      </w:r>
    </w:p>
    <w:p w14:paraId="7A3E890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本列之金額為第3</w:t>
      </w:r>
      <w:r w:rsidR="00295BBD" w:rsidRPr="00E224E9">
        <w:rPr>
          <w:rFonts w:ascii="標楷體" w:hAnsi="標楷體" w:hint="eastAsia"/>
          <w:color w:val="000000" w:themeColor="text1"/>
          <w:sz w:val="24"/>
        </w:rPr>
        <w:t>3</w:t>
      </w:r>
      <w:r w:rsidRPr="00E224E9">
        <w:rPr>
          <w:rFonts w:ascii="標楷體" w:hAnsi="標楷體" w:hint="eastAsia"/>
          <w:color w:val="000000" w:themeColor="text1"/>
          <w:sz w:val="24"/>
        </w:rPr>
        <w:t>列國內非關係人股票投資總額及第</w:t>
      </w:r>
      <w:r w:rsidR="00295BBD" w:rsidRPr="00E224E9">
        <w:rPr>
          <w:rFonts w:ascii="標楷體" w:hAnsi="標楷體" w:hint="eastAsia"/>
          <w:color w:val="000000" w:themeColor="text1"/>
          <w:sz w:val="24"/>
        </w:rPr>
        <w:t>51</w:t>
      </w:r>
      <w:r w:rsidRPr="00E224E9">
        <w:rPr>
          <w:rFonts w:ascii="標楷體" w:hAnsi="標楷體" w:hint="eastAsia"/>
          <w:color w:val="000000" w:themeColor="text1"/>
          <w:sz w:val="24"/>
        </w:rPr>
        <w:t>列國外非關係人股票投資總額之加總。</w:t>
      </w:r>
    </w:p>
    <w:p w14:paraId="4C1CA425" w14:textId="77777777" w:rsidR="00065C53" w:rsidRPr="00E224E9" w:rsidRDefault="00065C53">
      <w:pPr>
        <w:spacing w:line="440" w:lineRule="exact"/>
        <w:ind w:leftChars="276" w:left="718"/>
        <w:jc w:val="both"/>
        <w:rPr>
          <w:rFonts w:ascii="標楷體" w:hAnsi="標楷體"/>
          <w:color w:val="000000" w:themeColor="text1"/>
          <w:sz w:val="24"/>
        </w:rPr>
      </w:pPr>
    </w:p>
    <w:p w14:paraId="01D1F2FE" w14:textId="77777777" w:rsidR="00065C53" w:rsidRPr="00E224E9" w:rsidRDefault="00065C53">
      <w:pPr>
        <w:spacing w:line="440" w:lineRule="exact"/>
        <w:ind w:leftChars="276" w:left="718"/>
        <w:jc w:val="both"/>
        <w:rPr>
          <w:rFonts w:ascii="標楷體" w:hAnsi="標楷體"/>
          <w:color w:val="000000" w:themeColor="text1"/>
          <w:sz w:val="24"/>
        </w:rPr>
      </w:pPr>
    </w:p>
    <w:p w14:paraId="6E639BB0" w14:textId="77777777" w:rsidR="00065C53" w:rsidRPr="00E224E9" w:rsidRDefault="00065C53">
      <w:pPr>
        <w:spacing w:line="440" w:lineRule="exact"/>
        <w:ind w:leftChars="276" w:left="718"/>
        <w:jc w:val="both"/>
        <w:rPr>
          <w:rFonts w:ascii="標楷體" w:hAnsi="標楷體"/>
          <w:color w:val="000000" w:themeColor="text1"/>
          <w:sz w:val="24"/>
        </w:rPr>
      </w:pPr>
    </w:p>
    <w:p w14:paraId="7E58AF97" w14:textId="77777777" w:rsidR="00065C53" w:rsidRPr="00E224E9" w:rsidRDefault="00065C53">
      <w:pPr>
        <w:spacing w:line="440" w:lineRule="exact"/>
        <w:ind w:leftChars="276" w:left="718"/>
        <w:jc w:val="both"/>
        <w:rPr>
          <w:rFonts w:ascii="標楷體" w:hAnsi="標楷體"/>
          <w:color w:val="000000" w:themeColor="text1"/>
          <w:sz w:val="24"/>
        </w:rPr>
      </w:pPr>
    </w:p>
    <w:p w14:paraId="2B551FFB" w14:textId="77777777" w:rsidR="00065C53" w:rsidRPr="00E224E9" w:rsidRDefault="00065C53">
      <w:pPr>
        <w:spacing w:line="440" w:lineRule="exact"/>
        <w:ind w:leftChars="276" w:left="718"/>
        <w:jc w:val="both"/>
        <w:rPr>
          <w:rFonts w:ascii="標楷體" w:hAnsi="標楷體"/>
          <w:color w:val="000000" w:themeColor="text1"/>
          <w:sz w:val="24"/>
        </w:rPr>
      </w:pPr>
    </w:p>
    <w:p w14:paraId="7BB897DA" w14:textId="77777777" w:rsidR="00065C53" w:rsidRPr="00E224E9" w:rsidRDefault="00065C53">
      <w:pPr>
        <w:pStyle w:val="1"/>
        <w:spacing w:afterLines="0" w:line="440" w:lineRule="exact"/>
        <w:rPr>
          <w:color w:val="000000" w:themeColor="text1"/>
        </w:rPr>
      </w:pPr>
      <w:bookmarkStart w:id="45" w:name="_Toc221524776"/>
      <w:bookmarkStart w:id="46" w:name="_Toc296928221"/>
      <w:bookmarkStart w:id="47" w:name="_Toc200468522"/>
      <w:r w:rsidRPr="00E224E9">
        <w:rPr>
          <w:color w:val="000000" w:themeColor="text1"/>
        </w:rPr>
        <w:lastRenderedPageBreak/>
        <w:t>表11-1：公司債餘額明細表</w:t>
      </w:r>
      <w:bookmarkEnd w:id="45"/>
      <w:bookmarkEnd w:id="46"/>
      <w:bookmarkEnd w:id="47"/>
    </w:p>
    <w:p w14:paraId="73A684D2" w14:textId="77777777" w:rsidR="00065C53" w:rsidRPr="00E224E9" w:rsidRDefault="00065C53">
      <w:pPr>
        <w:spacing w:line="440" w:lineRule="exact"/>
        <w:ind w:firstLineChars="200" w:firstLine="480"/>
        <w:jc w:val="both"/>
        <w:rPr>
          <w:rFonts w:ascii="Book Antiqua" w:hAnsi="Book Antiqua"/>
          <w:color w:val="000000" w:themeColor="text1"/>
          <w:sz w:val="24"/>
        </w:rPr>
      </w:pPr>
      <w:r w:rsidRPr="00E224E9">
        <w:rPr>
          <w:rFonts w:ascii="Book Antiqua" w:hAnsi="標楷體"/>
          <w:color w:val="000000" w:themeColor="text1"/>
          <w:sz w:val="24"/>
        </w:rPr>
        <w:t>本報表的目的在於揭露保險業公司債使用及配置情形。</w:t>
      </w:r>
    </w:p>
    <w:p w14:paraId="56426B97"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各項資產之欄位說明如下：</w:t>
      </w:r>
    </w:p>
    <w:p w14:paraId="4D267112"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標楷體"/>
          <w:color w:val="000000" w:themeColor="text1"/>
          <w:sz w:val="24"/>
        </w:rPr>
        <w:t>及第</w:t>
      </w:r>
      <w:r w:rsidRPr="00E224E9">
        <w:rPr>
          <w:rFonts w:ascii="Book Antiqua" w:hAnsi="Book Antiqua"/>
          <w:color w:val="000000" w:themeColor="text1"/>
          <w:sz w:val="24"/>
        </w:rPr>
        <w:t>5</w:t>
      </w:r>
      <w:r w:rsidRPr="00E224E9">
        <w:rPr>
          <w:rFonts w:ascii="Book Antiqua" w:hAnsi="標楷體"/>
          <w:color w:val="000000" w:themeColor="text1"/>
          <w:sz w:val="24"/>
        </w:rPr>
        <w:t>欄－證券代號及發行機構代號</w:t>
      </w:r>
      <w:r w:rsidRPr="00E224E9">
        <w:rPr>
          <w:rFonts w:ascii="Book Antiqua" w:hAnsi="Book Antiqua"/>
          <w:color w:val="000000" w:themeColor="text1"/>
          <w:sz w:val="24"/>
        </w:rPr>
        <w:tab/>
      </w:r>
    </w:p>
    <w:p w14:paraId="56CCAAFC" w14:textId="77777777" w:rsidR="00065C53" w:rsidRPr="00E224E9" w:rsidRDefault="00065C53" w:rsidP="00F3152E">
      <w:pPr>
        <w:spacing w:line="440" w:lineRule="exact"/>
        <w:ind w:firstLineChars="200" w:firstLine="480"/>
        <w:rPr>
          <w:rFonts w:ascii="Book Antiqua" w:hAnsi="Book Antiqua"/>
          <w:color w:val="000000" w:themeColor="text1"/>
          <w:sz w:val="24"/>
        </w:rPr>
      </w:pPr>
      <w:r w:rsidRPr="00E224E9">
        <w:rPr>
          <w:rFonts w:ascii="Book Antiqua" w:hAnsi="標楷體"/>
          <w:color w:val="000000" w:themeColor="text1"/>
          <w:sz w:val="24"/>
        </w:rPr>
        <w:t>證券代號及發行機構代號請洽由財團法人保險事業發展中心統一配賦。</w:t>
      </w:r>
    </w:p>
    <w:p w14:paraId="04C87186"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及第</w:t>
      </w:r>
      <w:r w:rsidRPr="00E224E9">
        <w:rPr>
          <w:rFonts w:ascii="Book Antiqua" w:hAnsi="Book Antiqua"/>
          <w:color w:val="000000" w:themeColor="text1"/>
          <w:sz w:val="24"/>
        </w:rPr>
        <w:t>6</w:t>
      </w:r>
      <w:r w:rsidRPr="00E224E9">
        <w:rPr>
          <w:rFonts w:ascii="Book Antiqua" w:hAnsi="標楷體"/>
          <w:color w:val="000000" w:themeColor="text1"/>
          <w:sz w:val="24"/>
        </w:rPr>
        <w:t>欄－證券名稱及發行機構名稱</w:t>
      </w:r>
      <w:r w:rsidRPr="00E224E9">
        <w:rPr>
          <w:rFonts w:ascii="Book Antiqua" w:hAnsi="Book Antiqua"/>
          <w:color w:val="000000" w:themeColor="text1"/>
          <w:sz w:val="24"/>
        </w:rPr>
        <w:tab/>
      </w:r>
    </w:p>
    <w:p w14:paraId="18B7CB58" w14:textId="77777777" w:rsidR="00065C53" w:rsidRPr="00E224E9" w:rsidRDefault="00065C53" w:rsidP="00F3152E">
      <w:pPr>
        <w:spacing w:line="440" w:lineRule="exact"/>
        <w:ind w:firstLineChars="200" w:firstLine="480"/>
        <w:rPr>
          <w:rFonts w:ascii="Book Antiqua" w:hAnsi="Book Antiqua"/>
          <w:color w:val="000000" w:themeColor="text1"/>
          <w:sz w:val="24"/>
        </w:rPr>
      </w:pPr>
      <w:r w:rsidRPr="00E224E9">
        <w:rPr>
          <w:rFonts w:ascii="Book Antiqua" w:hAnsi="標楷體"/>
          <w:color w:val="000000" w:themeColor="text1"/>
          <w:sz w:val="24"/>
        </w:rPr>
        <w:t>為購買標的及發行機構之名稱。</w:t>
      </w:r>
    </w:p>
    <w:p w14:paraId="5E00A225"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及第</w:t>
      </w:r>
      <w:r w:rsidRPr="00E224E9">
        <w:rPr>
          <w:rFonts w:ascii="Book Antiqua" w:hAnsi="Book Antiqua"/>
          <w:color w:val="000000" w:themeColor="text1"/>
          <w:sz w:val="24"/>
        </w:rPr>
        <w:t>7</w:t>
      </w:r>
      <w:r w:rsidRPr="00E224E9">
        <w:rPr>
          <w:rFonts w:ascii="Book Antiqua" w:hAnsi="標楷體"/>
          <w:color w:val="000000" w:themeColor="text1"/>
          <w:sz w:val="24"/>
        </w:rPr>
        <w:t>欄－信用評等機構</w:t>
      </w:r>
      <w:r w:rsidRPr="00E224E9">
        <w:rPr>
          <w:rFonts w:ascii="Book Antiqua" w:hAnsi="Book Antiqua"/>
          <w:color w:val="000000" w:themeColor="text1"/>
          <w:sz w:val="24"/>
        </w:rPr>
        <w:tab/>
      </w:r>
    </w:p>
    <w:p w14:paraId="5959419A" w14:textId="7B2642A2" w:rsidR="00065C53" w:rsidRPr="00E224E9" w:rsidRDefault="00065C53" w:rsidP="005D67C7">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信用評等機構填列如</w:t>
      </w:r>
      <w:r w:rsidRPr="00E224E9">
        <w:rPr>
          <w:rFonts w:ascii="Book Antiqua" w:hAnsi="Book Antiqua"/>
          <w:color w:val="000000" w:themeColor="text1"/>
          <w:sz w:val="24"/>
        </w:rPr>
        <w:t>A.S&amp;P,B.AM Best,C.Moody's,D.Fitch,E.tw,F.</w:t>
      </w:r>
      <w:r w:rsidR="004F2C0C" w:rsidRPr="00E224E9">
        <w:rPr>
          <w:rFonts w:ascii="Book Antiqua" w:hAnsi="Book Antiqua"/>
          <w:color w:val="000000" w:themeColor="text1"/>
          <w:sz w:val="24"/>
        </w:rPr>
        <w:t>KBRA,G.</w:t>
      </w:r>
      <w:r w:rsidRPr="00E224E9">
        <w:rPr>
          <w:rFonts w:ascii="Book Antiqua" w:hAnsi="標楷體"/>
          <w:color w:val="000000" w:themeColor="text1"/>
          <w:sz w:val="24"/>
        </w:rPr>
        <w:t>其他</w:t>
      </w:r>
      <w:r w:rsidRPr="00E224E9">
        <w:rPr>
          <w:rFonts w:ascii="Book Antiqua" w:hAnsi="Book Antiqua"/>
          <w:color w:val="000000" w:themeColor="text1"/>
          <w:sz w:val="24"/>
        </w:rPr>
        <w:t>,</w:t>
      </w:r>
      <w:r w:rsidRPr="00E224E9">
        <w:rPr>
          <w:rFonts w:ascii="Book Antiqua" w:hAnsi="標楷體"/>
          <w:color w:val="000000" w:themeColor="text1"/>
          <w:sz w:val="24"/>
        </w:rPr>
        <w:t>若無信用評等者請填無。</w:t>
      </w:r>
    </w:p>
    <w:p w14:paraId="50369AD1" w14:textId="77777777" w:rsidR="00065C53" w:rsidRPr="00E224E9" w:rsidRDefault="00065C53" w:rsidP="00C74DED">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及第</w:t>
      </w:r>
      <w:r w:rsidRPr="00E224E9">
        <w:rPr>
          <w:rFonts w:ascii="Book Antiqua" w:hAnsi="Book Antiqua"/>
          <w:color w:val="000000" w:themeColor="text1"/>
          <w:sz w:val="24"/>
        </w:rPr>
        <w:t>8</w:t>
      </w:r>
      <w:r w:rsidRPr="00E224E9">
        <w:rPr>
          <w:rFonts w:ascii="Book Antiqua" w:hAnsi="標楷體"/>
          <w:color w:val="000000" w:themeColor="text1"/>
          <w:sz w:val="24"/>
        </w:rPr>
        <w:t>欄－評等等級</w:t>
      </w:r>
      <w:r w:rsidRPr="00E224E9">
        <w:rPr>
          <w:rFonts w:ascii="Book Antiqua" w:hAnsi="Book Antiqua"/>
          <w:color w:val="000000" w:themeColor="text1"/>
          <w:sz w:val="24"/>
        </w:rPr>
        <w:tab/>
      </w:r>
    </w:p>
    <w:p w14:paraId="59DE3704" w14:textId="77777777" w:rsidR="00065C53" w:rsidRPr="00E224E9" w:rsidRDefault="00065C53" w:rsidP="00066335">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評等等級請依信用評等機構所列填寫</w:t>
      </w:r>
      <w:r w:rsidRPr="00E224E9">
        <w:rPr>
          <w:rFonts w:ascii="Book Antiqua" w:hAnsi="Book Antiqua"/>
          <w:color w:val="000000" w:themeColor="text1"/>
          <w:sz w:val="24"/>
        </w:rPr>
        <w:t>,</w:t>
      </w:r>
      <w:r w:rsidRPr="00E224E9">
        <w:rPr>
          <w:rFonts w:ascii="Book Antiqua" w:hAnsi="標楷體"/>
          <w:color w:val="000000" w:themeColor="text1"/>
          <w:sz w:val="24"/>
        </w:rPr>
        <w:t>並以最近一年之評等資料填寫</w:t>
      </w:r>
      <w:r w:rsidRPr="00E224E9">
        <w:rPr>
          <w:rFonts w:ascii="Book Antiqua" w:hAnsi="Book Antiqua"/>
          <w:color w:val="000000" w:themeColor="text1"/>
          <w:sz w:val="24"/>
        </w:rPr>
        <w:t>,</w:t>
      </w:r>
      <w:r w:rsidRPr="00E224E9">
        <w:rPr>
          <w:rFonts w:ascii="Book Antiqua" w:hAnsi="標楷體"/>
          <w:color w:val="000000" w:themeColor="text1"/>
          <w:sz w:val="24"/>
        </w:rPr>
        <w:t>若無信用評等者請填無。</w:t>
      </w:r>
    </w:p>
    <w:p w14:paraId="3CF16E4B" w14:textId="77777777" w:rsidR="00065C53" w:rsidRPr="00E224E9"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9</w:t>
      </w:r>
      <w:r w:rsidRPr="00E224E9">
        <w:rPr>
          <w:rFonts w:ascii="Book Antiqua" w:hAnsi="標楷體"/>
          <w:color w:val="000000" w:themeColor="text1"/>
          <w:sz w:val="24"/>
        </w:rPr>
        <w:t>欄－是否為關係人</w:t>
      </w:r>
      <w:r w:rsidRPr="00E224E9">
        <w:rPr>
          <w:rFonts w:ascii="Book Antiqua" w:hAnsi="Book Antiqua"/>
          <w:color w:val="000000" w:themeColor="text1"/>
          <w:sz w:val="24"/>
        </w:rPr>
        <w:tab/>
      </w:r>
    </w:p>
    <w:p w14:paraId="152104EC" w14:textId="77777777" w:rsidR="00065C53" w:rsidRPr="00E224E9" w:rsidRDefault="00065C53" w:rsidP="00BC7FC0">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是否為關係人請依序填列</w:t>
      </w:r>
      <w:r w:rsidRPr="00E224E9">
        <w:rPr>
          <w:rFonts w:ascii="Book Antiqua" w:hAnsi="Book Antiqua"/>
          <w:color w:val="000000" w:themeColor="text1"/>
          <w:sz w:val="24"/>
        </w:rPr>
        <w:t>A.</w:t>
      </w:r>
      <w:r w:rsidRPr="00E224E9">
        <w:rPr>
          <w:rFonts w:ascii="Book Antiqua" w:hAnsi="標楷體"/>
          <w:color w:val="000000" w:themeColor="text1"/>
          <w:sz w:val="24"/>
        </w:rPr>
        <w:t>否</w:t>
      </w:r>
      <w:r w:rsidRPr="00E224E9">
        <w:rPr>
          <w:rFonts w:ascii="Book Antiqua" w:hAnsi="Book Antiqua"/>
          <w:color w:val="000000" w:themeColor="text1"/>
          <w:sz w:val="24"/>
        </w:rPr>
        <w:t>,B.</w:t>
      </w:r>
      <w:r w:rsidRPr="00E224E9">
        <w:rPr>
          <w:rFonts w:ascii="Book Antiqua" w:hAnsi="標楷體"/>
          <w:color w:val="000000" w:themeColor="text1"/>
          <w:sz w:val="24"/>
        </w:rPr>
        <w:t>關係人</w:t>
      </w:r>
      <w:r w:rsidRPr="00E224E9">
        <w:rPr>
          <w:rFonts w:ascii="Book Antiqua" w:hAnsi="Book Antiqua"/>
          <w:color w:val="000000" w:themeColor="text1"/>
          <w:sz w:val="24"/>
        </w:rPr>
        <w:t>-</w:t>
      </w:r>
      <w:r w:rsidRPr="00E224E9">
        <w:rPr>
          <w:rFonts w:ascii="Book Antiqua" w:hAnsi="標楷體"/>
          <w:color w:val="000000" w:themeColor="text1"/>
          <w:sz w:val="24"/>
        </w:rPr>
        <w:t>非控制與從屬關係</w:t>
      </w:r>
      <w:r w:rsidRPr="00E224E9">
        <w:rPr>
          <w:rFonts w:ascii="Book Antiqua" w:hAnsi="Book Antiqua"/>
          <w:color w:val="000000" w:themeColor="text1"/>
          <w:sz w:val="24"/>
        </w:rPr>
        <w:t>,C.</w:t>
      </w:r>
      <w:r w:rsidRPr="00E224E9">
        <w:rPr>
          <w:rFonts w:ascii="Book Antiqua" w:hAnsi="標楷體"/>
          <w:color w:val="000000" w:themeColor="text1"/>
          <w:sz w:val="24"/>
        </w:rPr>
        <w:t>關係人</w:t>
      </w:r>
      <w:r w:rsidRPr="00E224E9">
        <w:rPr>
          <w:rFonts w:ascii="Book Antiqua" w:hAnsi="Book Antiqua"/>
          <w:color w:val="000000" w:themeColor="text1"/>
          <w:sz w:val="24"/>
        </w:rPr>
        <w:t>-</w:t>
      </w:r>
      <w:r w:rsidRPr="00E224E9">
        <w:rPr>
          <w:rFonts w:ascii="Book Antiqua" w:hAnsi="標楷體"/>
          <w:color w:val="000000" w:themeColor="text1"/>
          <w:sz w:val="24"/>
        </w:rPr>
        <w:t>具控制與從屬關係</w:t>
      </w:r>
      <w:r w:rsidR="001D451B" w:rsidRPr="00E224E9">
        <w:rPr>
          <w:rFonts w:ascii="Book Antiqua" w:hAnsi="Book Antiqua" w:hint="eastAsia"/>
          <w:color w:val="000000" w:themeColor="text1"/>
          <w:sz w:val="24"/>
        </w:rPr>
        <w:t>；</w:t>
      </w:r>
      <w:r w:rsidRPr="00E224E9">
        <w:rPr>
          <w:rFonts w:ascii="Book Antiqua" w:hAnsi="標楷體"/>
          <w:color w:val="000000" w:themeColor="text1"/>
          <w:sz w:val="24"/>
        </w:rPr>
        <w:t>所稱關係人係依</w:t>
      </w:r>
      <w:r w:rsidR="00C65703" w:rsidRPr="00E224E9">
        <w:rPr>
          <w:rFonts w:ascii="Book Antiqua" w:hAnsi="標楷體"/>
          <w:color w:val="000000" w:themeColor="text1"/>
          <w:sz w:val="24"/>
        </w:rPr>
        <w:t>國際會計準則第</w:t>
      </w:r>
      <w:r w:rsidR="00C65703" w:rsidRPr="00E224E9">
        <w:rPr>
          <w:rFonts w:ascii="Book Antiqua" w:hAnsi="標楷體"/>
          <w:color w:val="000000" w:themeColor="text1"/>
          <w:sz w:val="24"/>
        </w:rPr>
        <w:t>24</w:t>
      </w:r>
      <w:r w:rsidR="00C65703" w:rsidRPr="00E224E9">
        <w:rPr>
          <w:rFonts w:ascii="Book Antiqua" w:hAnsi="標楷體"/>
          <w:color w:val="000000" w:themeColor="text1"/>
          <w:sz w:val="24"/>
        </w:rPr>
        <w:t>號公報</w:t>
      </w:r>
      <w:r w:rsidRPr="00E224E9">
        <w:rPr>
          <w:rFonts w:ascii="Book Antiqua" w:hAnsi="標楷體"/>
          <w:color w:val="000000" w:themeColor="text1"/>
          <w:sz w:val="24"/>
        </w:rPr>
        <w:t>及公司法第</w:t>
      </w:r>
      <w:r w:rsidRPr="00E224E9">
        <w:rPr>
          <w:rFonts w:ascii="Book Antiqua" w:hAnsi="Book Antiqua"/>
          <w:color w:val="000000" w:themeColor="text1"/>
          <w:sz w:val="24"/>
        </w:rPr>
        <w:t>369-1~369-3</w:t>
      </w:r>
      <w:r w:rsidRPr="00E224E9">
        <w:rPr>
          <w:rFonts w:ascii="Book Antiqua" w:hAnsi="標楷體"/>
          <w:color w:val="000000" w:themeColor="text1"/>
          <w:sz w:val="24"/>
        </w:rPr>
        <w:t>條、第</w:t>
      </w:r>
      <w:r w:rsidRPr="00E224E9">
        <w:rPr>
          <w:rFonts w:ascii="Book Antiqua" w:hAnsi="Book Antiqua"/>
          <w:color w:val="000000" w:themeColor="text1"/>
          <w:sz w:val="24"/>
        </w:rPr>
        <w:t>369-9</w:t>
      </w:r>
      <w:r w:rsidRPr="00E224E9">
        <w:rPr>
          <w:rFonts w:ascii="Book Antiqua" w:hAnsi="標楷體"/>
          <w:color w:val="000000" w:themeColor="text1"/>
          <w:sz w:val="24"/>
        </w:rPr>
        <w:t>條、及第</w:t>
      </w:r>
      <w:r w:rsidRPr="00E224E9">
        <w:rPr>
          <w:rFonts w:ascii="Book Antiqua" w:hAnsi="Book Antiqua"/>
          <w:color w:val="000000" w:themeColor="text1"/>
          <w:sz w:val="24"/>
        </w:rPr>
        <w:t>369-11</w:t>
      </w:r>
      <w:r w:rsidRPr="00E224E9">
        <w:rPr>
          <w:rFonts w:ascii="Book Antiqua" w:hAnsi="標楷體"/>
          <w:color w:val="000000" w:themeColor="text1"/>
          <w:sz w:val="24"/>
        </w:rPr>
        <w:t>條及關係企業合併營業報告書關係企業合併財務報表及關係報告書編製準則第六條之規定。</w:t>
      </w:r>
    </w:p>
    <w:p w14:paraId="2EC684C3"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10</w:t>
      </w:r>
      <w:r w:rsidRPr="00E224E9">
        <w:rPr>
          <w:rFonts w:ascii="Book Antiqua" w:hAnsi="標楷體"/>
          <w:color w:val="000000" w:themeColor="text1"/>
          <w:sz w:val="24"/>
        </w:rPr>
        <w:t>欄－募集方式</w:t>
      </w:r>
      <w:r w:rsidRPr="00E224E9">
        <w:rPr>
          <w:rFonts w:ascii="Book Antiqua" w:hAnsi="Book Antiqua"/>
          <w:color w:val="000000" w:themeColor="text1"/>
          <w:sz w:val="24"/>
        </w:rPr>
        <w:tab/>
      </w:r>
    </w:p>
    <w:p w14:paraId="10DFFB11" w14:textId="77777777" w:rsidR="00065C53" w:rsidRPr="00E224E9" w:rsidRDefault="00065C53" w:rsidP="00F3152E">
      <w:pPr>
        <w:spacing w:line="440" w:lineRule="exact"/>
        <w:ind w:leftChars="183" w:left="476" w:firstLine="2"/>
        <w:rPr>
          <w:rFonts w:ascii="Book Antiqua" w:hAnsi="Book Antiqua"/>
          <w:color w:val="000000" w:themeColor="text1"/>
          <w:sz w:val="24"/>
        </w:rPr>
      </w:pPr>
      <w:r w:rsidRPr="00E224E9">
        <w:rPr>
          <w:rFonts w:ascii="Book Antiqua" w:hAnsi="標楷體"/>
          <w:color w:val="000000" w:themeColor="text1"/>
          <w:sz w:val="24"/>
        </w:rPr>
        <w:t>募集方式請依序填列</w:t>
      </w:r>
      <w:r w:rsidRPr="00E224E9">
        <w:rPr>
          <w:rFonts w:ascii="Book Antiqua" w:hAnsi="Book Antiqua"/>
          <w:color w:val="000000" w:themeColor="text1"/>
          <w:sz w:val="24"/>
        </w:rPr>
        <w:t>A.</w:t>
      </w:r>
      <w:r w:rsidRPr="00E224E9">
        <w:rPr>
          <w:rFonts w:ascii="Book Antiqua" w:hAnsi="標楷體"/>
          <w:color w:val="000000" w:themeColor="text1"/>
          <w:sz w:val="24"/>
        </w:rPr>
        <w:t>公開募集</w:t>
      </w:r>
      <w:r w:rsidRPr="00E224E9">
        <w:rPr>
          <w:rFonts w:ascii="Book Antiqua" w:hAnsi="Book Antiqua"/>
          <w:color w:val="000000" w:themeColor="text1"/>
          <w:sz w:val="24"/>
        </w:rPr>
        <w:t>,B.</w:t>
      </w:r>
      <w:r w:rsidRPr="00E224E9">
        <w:rPr>
          <w:rFonts w:ascii="Book Antiqua" w:hAnsi="標楷體"/>
          <w:color w:val="000000" w:themeColor="text1"/>
          <w:sz w:val="24"/>
        </w:rPr>
        <w:t>私募</w:t>
      </w:r>
      <w:r w:rsidRPr="00E224E9">
        <w:rPr>
          <w:rFonts w:ascii="Book Antiqua" w:hAnsi="Book Antiqua"/>
          <w:color w:val="000000" w:themeColor="text1"/>
          <w:sz w:val="24"/>
        </w:rPr>
        <w:t>,C.</w:t>
      </w:r>
      <w:r w:rsidRPr="00E224E9">
        <w:rPr>
          <w:rFonts w:ascii="Book Antiqua" w:hAnsi="標楷體"/>
          <w:color w:val="000000" w:themeColor="text1"/>
          <w:sz w:val="24"/>
        </w:rPr>
        <w:t>其他。</w:t>
      </w:r>
    </w:p>
    <w:p w14:paraId="7BAF86ED"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11</w:t>
      </w:r>
      <w:r w:rsidRPr="00E224E9">
        <w:rPr>
          <w:rFonts w:ascii="Book Antiqua" w:hAnsi="標楷體"/>
          <w:color w:val="000000" w:themeColor="text1"/>
          <w:sz w:val="24"/>
        </w:rPr>
        <w:t>欄－交易種類</w:t>
      </w:r>
      <w:r w:rsidRPr="00E224E9">
        <w:rPr>
          <w:rFonts w:ascii="Book Antiqua" w:hAnsi="Book Antiqua"/>
          <w:color w:val="000000" w:themeColor="text1"/>
          <w:sz w:val="24"/>
        </w:rPr>
        <w:tab/>
      </w:r>
    </w:p>
    <w:p w14:paraId="17D82471" w14:textId="77777777" w:rsidR="00065C53" w:rsidRPr="00E224E9" w:rsidRDefault="00065C53" w:rsidP="00F3152E">
      <w:pPr>
        <w:spacing w:line="440" w:lineRule="exact"/>
        <w:ind w:firstLineChars="200" w:firstLine="480"/>
        <w:rPr>
          <w:rFonts w:ascii="Book Antiqua" w:hAnsi="Book Antiqua"/>
          <w:color w:val="000000" w:themeColor="text1"/>
          <w:sz w:val="24"/>
        </w:rPr>
      </w:pPr>
      <w:r w:rsidRPr="00E224E9">
        <w:rPr>
          <w:rFonts w:ascii="Book Antiqua" w:hAnsi="標楷體"/>
          <w:color w:val="000000" w:themeColor="text1"/>
          <w:sz w:val="24"/>
        </w:rPr>
        <w:t>交易種類請依序填</w:t>
      </w:r>
      <w:r w:rsidRPr="00E224E9">
        <w:rPr>
          <w:rFonts w:ascii="Book Antiqua" w:hAnsi="Book Antiqua"/>
          <w:color w:val="000000" w:themeColor="text1"/>
          <w:sz w:val="24"/>
        </w:rPr>
        <w:t>A.</w:t>
      </w:r>
      <w:r w:rsidRPr="00E224E9">
        <w:rPr>
          <w:rFonts w:ascii="Book Antiqua" w:hAnsi="標楷體"/>
          <w:color w:val="000000" w:themeColor="text1"/>
          <w:sz w:val="24"/>
        </w:rPr>
        <w:t>上市</w:t>
      </w:r>
      <w:r w:rsidRPr="00E224E9">
        <w:rPr>
          <w:rFonts w:ascii="Book Antiqua" w:hAnsi="Book Antiqua"/>
          <w:color w:val="000000" w:themeColor="text1"/>
          <w:sz w:val="24"/>
        </w:rPr>
        <w:t>,B.</w:t>
      </w:r>
      <w:r w:rsidRPr="00E224E9">
        <w:rPr>
          <w:rFonts w:ascii="Book Antiqua" w:hAnsi="標楷體"/>
          <w:color w:val="000000" w:themeColor="text1"/>
          <w:sz w:val="24"/>
        </w:rPr>
        <w:t>上櫃</w:t>
      </w:r>
      <w:r w:rsidRPr="00E224E9">
        <w:rPr>
          <w:rFonts w:ascii="Book Antiqua" w:hAnsi="Book Antiqua"/>
          <w:color w:val="000000" w:themeColor="text1"/>
          <w:sz w:val="24"/>
        </w:rPr>
        <w:t>,C.</w:t>
      </w:r>
      <w:r w:rsidRPr="00E224E9">
        <w:rPr>
          <w:rFonts w:ascii="Book Antiqua" w:hAnsi="標楷體"/>
          <w:color w:val="000000" w:themeColor="text1"/>
          <w:sz w:val="24"/>
        </w:rPr>
        <w:t>興櫃</w:t>
      </w:r>
      <w:r w:rsidRPr="00E224E9">
        <w:rPr>
          <w:rFonts w:ascii="Book Antiqua" w:hAnsi="Book Antiqua"/>
          <w:color w:val="000000" w:themeColor="text1"/>
          <w:sz w:val="24"/>
        </w:rPr>
        <w:t>,D.</w:t>
      </w:r>
      <w:r w:rsidRPr="00E224E9">
        <w:rPr>
          <w:rFonts w:ascii="Book Antiqua" w:hAnsi="標楷體"/>
          <w:color w:val="000000" w:themeColor="text1"/>
          <w:sz w:val="24"/>
        </w:rPr>
        <w:t>其他。</w:t>
      </w:r>
    </w:p>
    <w:p w14:paraId="59FABDB8"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12</w:t>
      </w:r>
      <w:r w:rsidRPr="00E224E9">
        <w:rPr>
          <w:rFonts w:ascii="Book Antiqua" w:hAnsi="標楷體"/>
          <w:color w:val="000000" w:themeColor="text1"/>
          <w:sz w:val="24"/>
        </w:rPr>
        <w:t>欄－投資型態</w:t>
      </w:r>
      <w:r w:rsidRPr="00E224E9">
        <w:rPr>
          <w:rFonts w:ascii="Book Antiqua" w:hAnsi="Book Antiqua"/>
          <w:color w:val="000000" w:themeColor="text1"/>
          <w:sz w:val="24"/>
        </w:rPr>
        <w:tab/>
      </w:r>
    </w:p>
    <w:p w14:paraId="034D1E4E" w14:textId="77777777" w:rsidR="00065C53" w:rsidRPr="00E224E9" w:rsidRDefault="00065C53" w:rsidP="00F3152E">
      <w:pPr>
        <w:spacing w:line="440" w:lineRule="exact"/>
        <w:ind w:leftChars="171" w:left="445" w:firstLineChars="7" w:firstLine="17"/>
        <w:rPr>
          <w:rFonts w:ascii="Book Antiqua" w:hAnsi="Book Antiqua"/>
          <w:color w:val="000000" w:themeColor="text1"/>
          <w:sz w:val="24"/>
        </w:rPr>
      </w:pPr>
      <w:r w:rsidRPr="00E224E9">
        <w:rPr>
          <w:rFonts w:ascii="Book Antiqua" w:hAnsi="標楷體"/>
          <w:color w:val="000000" w:themeColor="text1"/>
          <w:sz w:val="24"/>
        </w:rPr>
        <w:t>投資型態請依序填列投資型態請依序填列</w:t>
      </w:r>
      <w:r w:rsidR="001D451B" w:rsidRPr="00E224E9">
        <w:rPr>
          <w:rFonts w:ascii="Book Antiqua" w:hAnsi="標楷體" w:hint="eastAsia"/>
          <w:color w:val="000000" w:themeColor="text1"/>
          <w:sz w:val="24"/>
        </w:rPr>
        <w:t>A1.</w:t>
      </w:r>
      <w:r w:rsidR="001D451B" w:rsidRPr="00E224E9">
        <w:rPr>
          <w:rFonts w:ascii="Book Antiqua" w:hAnsi="標楷體" w:hint="eastAsia"/>
          <w:color w:val="000000" w:themeColor="text1"/>
          <w:sz w:val="24"/>
        </w:rPr>
        <w:t>透過損益按公允價值衡量之金融資產</w:t>
      </w:r>
      <w:r w:rsidR="001D451B" w:rsidRPr="00E224E9">
        <w:rPr>
          <w:rFonts w:ascii="Book Antiqua" w:hAnsi="標楷體" w:hint="eastAsia"/>
          <w:color w:val="000000" w:themeColor="text1"/>
          <w:sz w:val="24"/>
        </w:rPr>
        <w:t>-</w:t>
      </w:r>
      <w:r w:rsidR="001D451B" w:rsidRPr="00E224E9">
        <w:rPr>
          <w:rFonts w:ascii="Book Antiqua" w:hAnsi="標楷體" w:hint="eastAsia"/>
          <w:color w:val="000000" w:themeColor="text1"/>
          <w:sz w:val="24"/>
        </w:rPr>
        <w:t>採用覆蓋法</w:t>
      </w:r>
      <w:r w:rsidR="001D451B" w:rsidRPr="00E224E9">
        <w:rPr>
          <w:rFonts w:ascii="Book Antiqua" w:hAnsi="標楷體" w:hint="eastAsia"/>
          <w:color w:val="000000" w:themeColor="text1"/>
          <w:sz w:val="24"/>
        </w:rPr>
        <w:t>,A2.</w:t>
      </w:r>
      <w:r w:rsidR="001D451B" w:rsidRPr="00E224E9">
        <w:rPr>
          <w:rFonts w:ascii="Book Antiqua" w:hAnsi="標楷體" w:hint="eastAsia"/>
          <w:color w:val="000000" w:themeColor="text1"/>
          <w:sz w:val="24"/>
        </w:rPr>
        <w:t>透過損益按公允價值衡量之金融資產</w:t>
      </w:r>
      <w:r w:rsidR="001D451B" w:rsidRPr="00E224E9">
        <w:rPr>
          <w:rFonts w:ascii="Book Antiqua" w:hAnsi="標楷體" w:hint="eastAsia"/>
          <w:color w:val="000000" w:themeColor="text1"/>
          <w:sz w:val="24"/>
        </w:rPr>
        <w:t>-</w:t>
      </w:r>
      <w:r w:rsidR="001D451B" w:rsidRPr="00E224E9">
        <w:rPr>
          <w:rFonts w:ascii="Book Antiqua" w:hAnsi="標楷體" w:hint="eastAsia"/>
          <w:color w:val="000000" w:themeColor="text1"/>
          <w:sz w:val="24"/>
        </w:rPr>
        <w:t>未採用覆蓋法</w:t>
      </w:r>
      <w:r w:rsidR="001D451B" w:rsidRPr="00E224E9">
        <w:rPr>
          <w:rFonts w:ascii="Book Antiqua" w:hAnsi="標楷體" w:hint="eastAsia"/>
          <w:color w:val="000000" w:themeColor="text1"/>
          <w:sz w:val="24"/>
        </w:rPr>
        <w:t>,B.</w:t>
      </w:r>
      <w:r w:rsidR="001D451B" w:rsidRPr="00E224E9">
        <w:rPr>
          <w:rFonts w:ascii="Book Antiqua" w:hAnsi="標楷體" w:hint="eastAsia"/>
          <w:color w:val="000000" w:themeColor="text1"/>
          <w:sz w:val="24"/>
        </w:rPr>
        <w:t>透過其他綜合損益按公允價值衡量之金融資產</w:t>
      </w:r>
      <w:r w:rsidR="001D451B" w:rsidRPr="00E224E9">
        <w:rPr>
          <w:rFonts w:ascii="Book Antiqua" w:hAnsi="標楷體" w:hint="eastAsia"/>
          <w:color w:val="000000" w:themeColor="text1"/>
          <w:sz w:val="24"/>
        </w:rPr>
        <w:t>,C.</w:t>
      </w:r>
      <w:r w:rsidR="001D451B" w:rsidRPr="00E224E9">
        <w:rPr>
          <w:rFonts w:ascii="Book Antiqua" w:hAnsi="標楷體" w:hint="eastAsia"/>
          <w:color w:val="000000" w:themeColor="text1"/>
          <w:sz w:val="24"/>
        </w:rPr>
        <w:t>按攤銷後成本衡量之金融資產</w:t>
      </w:r>
      <w:r w:rsidR="001D451B" w:rsidRPr="00E224E9" w:rsidDel="001D451B">
        <w:rPr>
          <w:rFonts w:ascii="Book Antiqua" w:hAnsi="Book Antiqua"/>
          <w:color w:val="000000" w:themeColor="text1"/>
          <w:sz w:val="24"/>
        </w:rPr>
        <w:t xml:space="preserve"> </w:t>
      </w:r>
      <w:r w:rsidRPr="00E224E9">
        <w:rPr>
          <w:rFonts w:ascii="Book Antiqua" w:hAnsi="Book Antiqua"/>
          <w:color w:val="000000" w:themeColor="text1"/>
          <w:sz w:val="24"/>
        </w:rPr>
        <w:t>(</w:t>
      </w:r>
      <w:r w:rsidRPr="00E224E9">
        <w:rPr>
          <w:rFonts w:ascii="Book Antiqua" w:hAnsi="標楷體"/>
          <w:color w:val="000000" w:themeColor="text1"/>
          <w:sz w:val="24"/>
        </w:rPr>
        <w:t>以上均含其他、存出抵繳保證金、財務危機之公司債券等</w:t>
      </w:r>
      <w:r w:rsidRPr="00E224E9">
        <w:rPr>
          <w:rFonts w:ascii="Book Antiqua" w:hAnsi="Book Antiqua"/>
          <w:color w:val="000000" w:themeColor="text1"/>
          <w:sz w:val="24"/>
        </w:rPr>
        <w:t>)</w:t>
      </w:r>
      <w:r w:rsidRPr="00E224E9">
        <w:rPr>
          <w:rFonts w:ascii="Book Antiqua" w:hAnsi="標楷體"/>
          <w:color w:val="000000" w:themeColor="text1"/>
          <w:sz w:val="24"/>
        </w:rPr>
        <w:t>。</w:t>
      </w:r>
    </w:p>
    <w:p w14:paraId="40903D60"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13</w:t>
      </w:r>
      <w:r w:rsidRPr="00E224E9">
        <w:rPr>
          <w:rFonts w:ascii="Book Antiqua" w:hAnsi="標楷體"/>
          <w:color w:val="000000" w:themeColor="text1"/>
          <w:sz w:val="24"/>
        </w:rPr>
        <w:t>欄－是否為專案運用公共及社會福利事業投資</w:t>
      </w:r>
    </w:p>
    <w:p w14:paraId="788F57B4" w14:textId="79A0F878" w:rsidR="00065C53" w:rsidRPr="00E224E9" w:rsidRDefault="00DE375A" w:rsidP="00F3152E">
      <w:pPr>
        <w:spacing w:line="440" w:lineRule="exact"/>
        <w:ind w:leftChars="171" w:left="445" w:firstLineChars="7" w:firstLine="17"/>
        <w:rPr>
          <w:rFonts w:ascii="Book Antiqua" w:hAnsi="Book Antiqua"/>
          <w:color w:val="000000" w:themeColor="text1"/>
          <w:sz w:val="24"/>
        </w:rPr>
      </w:pPr>
      <w:r w:rsidRPr="00E224E9">
        <w:rPr>
          <w:rFonts w:ascii="Book Antiqua" w:hAnsi="標楷體" w:hint="eastAsia"/>
          <w:color w:val="000000" w:themeColor="text1"/>
          <w:sz w:val="24"/>
        </w:rPr>
        <w:t>是否為專案運用公共及社會福利事業投資請依序填列</w:t>
      </w:r>
      <w:r w:rsidRPr="00E224E9">
        <w:rPr>
          <w:rFonts w:ascii="Book Antiqua" w:hAnsi="標楷體" w:hint="eastAsia"/>
          <w:color w:val="000000" w:themeColor="text1"/>
          <w:sz w:val="24"/>
        </w:rPr>
        <w:t>A.</w:t>
      </w:r>
      <w:r w:rsidRPr="00E224E9">
        <w:rPr>
          <w:rFonts w:ascii="Book Antiqua" w:hAnsi="標楷體" w:hint="eastAsia"/>
          <w:color w:val="000000" w:themeColor="text1"/>
          <w:sz w:val="24"/>
        </w:rPr>
        <w:t>專案運用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非創業投資</w:t>
      </w:r>
      <w:r w:rsidRPr="00E224E9">
        <w:rPr>
          <w:rFonts w:ascii="Book Antiqua" w:hAnsi="標楷體" w:hint="eastAsia"/>
          <w:color w:val="000000" w:themeColor="text1"/>
          <w:sz w:val="24"/>
        </w:rPr>
        <w:t>,B.</w:t>
      </w:r>
      <w:r w:rsidRPr="00E224E9">
        <w:rPr>
          <w:rFonts w:ascii="Book Antiqua" w:hAnsi="標楷體" w:hint="eastAsia"/>
          <w:color w:val="000000" w:themeColor="text1"/>
          <w:sz w:val="24"/>
        </w:rPr>
        <w:t>專案運用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創業投資</w:t>
      </w:r>
      <w:r w:rsidRPr="00E224E9">
        <w:rPr>
          <w:rFonts w:ascii="Book Antiqua" w:hAnsi="標楷體" w:hint="eastAsia"/>
          <w:color w:val="000000" w:themeColor="text1"/>
          <w:sz w:val="24"/>
        </w:rPr>
        <w:t xml:space="preserve">,C. </w:t>
      </w:r>
      <w:r w:rsidRPr="00E224E9">
        <w:rPr>
          <w:rFonts w:ascii="Book Antiqua" w:hAnsi="標楷體" w:hint="eastAsia"/>
          <w:color w:val="000000" w:themeColor="text1"/>
          <w:sz w:val="24"/>
        </w:rPr>
        <w:t>政策性之專案運用、公共及社會福利事業投資</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含長期照護產業</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與其他主管機關核准項目</w:t>
      </w:r>
      <w:r w:rsidRPr="00E224E9">
        <w:rPr>
          <w:rFonts w:ascii="Book Antiqua" w:hAnsi="標楷體" w:hint="eastAsia"/>
          <w:color w:val="000000" w:themeColor="text1"/>
          <w:sz w:val="24"/>
        </w:rPr>
        <w:t>,D.</w:t>
      </w:r>
      <w:r w:rsidRPr="00E224E9">
        <w:rPr>
          <w:rFonts w:ascii="Book Antiqua" w:hAnsi="標楷體" w:hint="eastAsia"/>
          <w:color w:val="000000" w:themeColor="text1"/>
          <w:sz w:val="24"/>
        </w:rPr>
        <w:t>非屬專案運用公共及社會福利事業投資。</w:t>
      </w:r>
    </w:p>
    <w:p w14:paraId="2E247E57"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00803008" w:rsidRPr="00E224E9">
        <w:rPr>
          <w:rFonts w:ascii="Book Antiqua" w:hAnsi="Book Antiqua" w:hint="eastAsia"/>
          <w:color w:val="000000" w:themeColor="text1"/>
          <w:sz w:val="24"/>
        </w:rPr>
        <w:t>14</w:t>
      </w:r>
      <w:r w:rsidRPr="00E224E9">
        <w:rPr>
          <w:rFonts w:ascii="Book Antiqua" w:hAnsi="標楷體"/>
          <w:color w:val="000000" w:themeColor="text1"/>
          <w:sz w:val="24"/>
        </w:rPr>
        <w:t>欄－是否為具資本性質債券</w:t>
      </w:r>
    </w:p>
    <w:p w14:paraId="490FA373" w14:textId="77777777" w:rsidR="00065C53" w:rsidRPr="00E224E9" w:rsidRDefault="00065C53" w:rsidP="005D67C7">
      <w:pPr>
        <w:tabs>
          <w:tab w:val="left" w:pos="7093"/>
        </w:tabs>
        <w:spacing w:line="440" w:lineRule="exact"/>
        <w:ind w:leftChars="200" w:left="580" w:hangingChars="25" w:hanging="60"/>
        <w:jc w:val="both"/>
        <w:rPr>
          <w:rFonts w:ascii="Book Antiqua" w:hAnsi="標楷體"/>
          <w:color w:val="000000" w:themeColor="text1"/>
          <w:sz w:val="24"/>
        </w:rPr>
      </w:pPr>
      <w:r w:rsidRPr="00E224E9">
        <w:rPr>
          <w:rFonts w:ascii="Book Antiqua" w:hAnsi="標楷體"/>
          <w:color w:val="000000" w:themeColor="text1"/>
          <w:sz w:val="24"/>
        </w:rPr>
        <w:t>請填列</w:t>
      </w:r>
      <w:r w:rsidRPr="00E224E9">
        <w:rPr>
          <w:rFonts w:ascii="Book Antiqua" w:hAnsi="Book Antiqua"/>
          <w:color w:val="000000" w:themeColor="text1"/>
          <w:sz w:val="24"/>
        </w:rPr>
        <w:t>Y.</w:t>
      </w:r>
      <w:r w:rsidRPr="00E224E9">
        <w:rPr>
          <w:rFonts w:ascii="Book Antiqua" w:hAnsi="標楷體"/>
          <w:color w:val="000000" w:themeColor="text1"/>
          <w:sz w:val="24"/>
        </w:rPr>
        <w:t>具資本性質債券</w:t>
      </w:r>
      <w:r w:rsidRPr="00E224E9">
        <w:rPr>
          <w:rFonts w:ascii="Book Antiqua" w:hAnsi="Book Antiqua"/>
          <w:color w:val="000000" w:themeColor="text1"/>
          <w:sz w:val="24"/>
        </w:rPr>
        <w:t>,N.</w:t>
      </w:r>
      <w:r w:rsidRPr="00E224E9">
        <w:rPr>
          <w:rFonts w:ascii="Book Antiqua" w:hAnsi="標楷體"/>
          <w:color w:val="000000" w:themeColor="text1"/>
          <w:sz w:val="24"/>
        </w:rPr>
        <w:t>非具資本性質債券。</w:t>
      </w:r>
    </w:p>
    <w:p w14:paraId="77FE566E" w14:textId="77777777" w:rsidR="007436B8" w:rsidRPr="00E224E9" w:rsidRDefault="007436B8" w:rsidP="007436B8">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1</w:t>
      </w:r>
      <w:r w:rsidRPr="00E224E9">
        <w:rPr>
          <w:rFonts w:ascii="Book Antiqua" w:hAnsi="標楷體"/>
          <w:color w:val="000000" w:themeColor="text1"/>
          <w:sz w:val="24"/>
        </w:rPr>
        <w:t>5</w:t>
      </w:r>
      <w:r w:rsidRPr="00E224E9">
        <w:rPr>
          <w:rFonts w:ascii="Book Antiqua" w:hAnsi="標楷體"/>
          <w:color w:val="000000" w:themeColor="text1"/>
          <w:sz w:val="24"/>
        </w:rPr>
        <w:t>欄－</w:t>
      </w:r>
      <w:r w:rsidR="0027710E" w:rsidRPr="00E224E9">
        <w:rPr>
          <w:rFonts w:ascii="Book Antiqua" w:hAnsi="標楷體" w:hint="eastAsia"/>
          <w:color w:val="000000" w:themeColor="text1"/>
          <w:sz w:val="24"/>
        </w:rPr>
        <w:t>是否屬實質互相投資之具資本性質債券</w:t>
      </w:r>
    </w:p>
    <w:p w14:paraId="7346AA20" w14:textId="2F691E96" w:rsidR="007436B8" w:rsidRPr="00E224E9" w:rsidRDefault="00063B92" w:rsidP="007436B8">
      <w:pPr>
        <w:tabs>
          <w:tab w:val="left" w:pos="7093"/>
        </w:tabs>
        <w:spacing w:line="440" w:lineRule="exact"/>
        <w:ind w:leftChars="218" w:left="567"/>
        <w:jc w:val="both"/>
        <w:rPr>
          <w:rFonts w:ascii="Book Antiqua" w:hAnsi="標楷體"/>
          <w:color w:val="000000" w:themeColor="text1"/>
          <w:sz w:val="24"/>
        </w:rPr>
      </w:pPr>
      <w:r w:rsidRPr="00E224E9">
        <w:rPr>
          <w:rFonts w:ascii="Book Antiqua" w:hAnsi="標楷體" w:hint="eastAsia"/>
          <w:color w:val="000000" w:themeColor="text1"/>
          <w:sz w:val="24"/>
        </w:rPr>
        <w:t>是否屬實質互相投資之具資本性質債券，請填列</w:t>
      </w:r>
      <w:r w:rsidRPr="00E224E9">
        <w:rPr>
          <w:rFonts w:ascii="Book Antiqua" w:hAnsi="標楷體" w:hint="eastAsia"/>
          <w:color w:val="000000" w:themeColor="text1"/>
          <w:sz w:val="24"/>
        </w:rPr>
        <w:t>A.</w:t>
      </w:r>
      <w:r w:rsidRPr="00E224E9">
        <w:rPr>
          <w:rFonts w:ascii="Book Antiqua" w:hAnsi="標楷體" w:hint="eastAsia"/>
          <w:color w:val="000000" w:themeColor="text1"/>
          <w:sz w:val="24"/>
        </w:rPr>
        <w:t>屬實質互相投資之具資本性質債券</w:t>
      </w:r>
      <w:r w:rsidRPr="00E224E9">
        <w:rPr>
          <w:rFonts w:ascii="Book Antiqua" w:hAnsi="標楷體" w:hint="eastAsia"/>
          <w:color w:val="000000" w:themeColor="text1"/>
          <w:sz w:val="24"/>
        </w:rPr>
        <w:t>,B.</w:t>
      </w:r>
      <w:r w:rsidRPr="00E224E9">
        <w:rPr>
          <w:rFonts w:ascii="Book Antiqua" w:hAnsi="標楷體" w:hint="eastAsia"/>
          <w:color w:val="000000" w:themeColor="text1"/>
          <w:sz w:val="24"/>
        </w:rPr>
        <w:t>非屬實質互相投資之具資本性質債券</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其發行者係國內保險業或國內金控公司</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為注資其保險子公司、為轉投資保險公司及其他經主管機關認定者</w:t>
      </w:r>
      <w:r w:rsidRPr="00E224E9">
        <w:rPr>
          <w:rFonts w:ascii="Book Antiqua" w:hAnsi="標楷體" w:hint="eastAsia"/>
          <w:color w:val="000000" w:themeColor="text1"/>
          <w:sz w:val="24"/>
        </w:rPr>
        <w:t>), C.</w:t>
      </w:r>
      <w:r w:rsidRPr="00E224E9">
        <w:rPr>
          <w:rFonts w:ascii="Book Antiqua" w:hAnsi="標楷體" w:hint="eastAsia"/>
          <w:color w:val="000000" w:themeColor="text1"/>
          <w:sz w:val="24"/>
        </w:rPr>
        <w:t>非屬實質互相投資之具資本性質債券</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其他</w:t>
      </w:r>
      <w:r w:rsidRPr="00E224E9">
        <w:rPr>
          <w:rFonts w:ascii="Book Antiqua" w:hAnsi="標楷體" w:hint="eastAsia"/>
          <w:color w:val="000000" w:themeColor="text1"/>
          <w:sz w:val="24"/>
        </w:rPr>
        <w:t>,D.</w:t>
      </w:r>
      <w:r w:rsidRPr="00E224E9">
        <w:rPr>
          <w:rFonts w:ascii="Book Antiqua" w:hAnsi="標楷體" w:hint="eastAsia"/>
          <w:color w:val="000000" w:themeColor="text1"/>
          <w:sz w:val="24"/>
        </w:rPr>
        <w:t>非具資本性質債券。</w:t>
      </w:r>
      <w:r w:rsidR="0027710E" w:rsidRPr="00E224E9">
        <w:rPr>
          <w:rFonts w:ascii="Book Antiqua" w:hAnsi="標楷體" w:hint="eastAsia"/>
          <w:color w:val="000000" w:themeColor="text1"/>
          <w:sz w:val="24"/>
        </w:rPr>
        <w:t>是否屬實質互相投資請參考</w:t>
      </w:r>
      <w:r w:rsidR="001717BD" w:rsidRPr="00E224E9">
        <w:rPr>
          <w:rFonts w:ascii="Book Antiqua" w:hAnsi="標楷體" w:hint="eastAsia"/>
          <w:color w:val="000000" w:themeColor="text1"/>
          <w:sz w:val="24"/>
        </w:rPr>
        <w:t>「</w:t>
      </w:r>
      <w:r w:rsidR="003B21B9" w:rsidRPr="00E224E9">
        <w:rPr>
          <w:rFonts w:ascii="Book Antiqua" w:hAnsi="標楷體" w:hint="eastAsia"/>
          <w:color w:val="000000" w:themeColor="text1"/>
          <w:sz w:val="24"/>
        </w:rPr>
        <w:t>臺灣集中保管結算所</w:t>
      </w:r>
      <w:r w:rsidR="001717BD" w:rsidRPr="00E224E9">
        <w:rPr>
          <w:rFonts w:ascii="Book Antiqua" w:hAnsi="標楷體" w:hint="eastAsia"/>
          <w:color w:val="000000" w:themeColor="text1"/>
          <w:sz w:val="24"/>
        </w:rPr>
        <w:t>」的「保險業投資資本工具查詢平台」</w:t>
      </w:r>
      <w:r w:rsidR="0027710E" w:rsidRPr="00E224E9">
        <w:rPr>
          <w:rFonts w:ascii="Book Antiqua" w:hAnsi="標楷體" w:hint="eastAsia"/>
          <w:color w:val="000000" w:themeColor="text1"/>
          <w:sz w:val="24"/>
        </w:rPr>
        <w:t>。</w:t>
      </w:r>
    </w:p>
    <w:p w14:paraId="78F98AAD" w14:textId="77777777" w:rsidR="0027710E" w:rsidRPr="00E224E9" w:rsidRDefault="0027710E" w:rsidP="007436B8">
      <w:pPr>
        <w:tabs>
          <w:tab w:val="left" w:pos="7093"/>
        </w:tabs>
        <w:spacing w:line="440" w:lineRule="exact"/>
        <w:ind w:leftChars="218" w:left="567"/>
        <w:jc w:val="both"/>
        <w:rPr>
          <w:rFonts w:ascii="Book Antiqua" w:hAnsi="Book Antiqua"/>
          <w:color w:val="000000" w:themeColor="text1"/>
          <w:sz w:val="24"/>
        </w:rPr>
      </w:pPr>
      <w:r w:rsidRPr="00E224E9">
        <w:rPr>
          <w:rFonts w:ascii="Book Antiqua" w:hAnsi="Book Antiqua" w:hint="eastAsia"/>
          <w:color w:val="000000" w:themeColor="text1"/>
          <w:sz w:val="24"/>
        </w:rPr>
        <w:t>所稱屬實質互相投資，係指依金管保財字第</w:t>
      </w:r>
      <w:r w:rsidRPr="00E224E9">
        <w:rPr>
          <w:rFonts w:ascii="Book Antiqua" w:hAnsi="Book Antiqua"/>
          <w:color w:val="000000" w:themeColor="text1"/>
          <w:sz w:val="24"/>
        </w:rPr>
        <w:t>10804277130</w:t>
      </w:r>
      <w:r w:rsidRPr="00E224E9">
        <w:rPr>
          <w:rFonts w:ascii="Book Antiqua" w:hAnsi="Book Antiqua" w:hint="eastAsia"/>
          <w:color w:val="000000" w:themeColor="text1"/>
          <w:sz w:val="24"/>
        </w:rPr>
        <w:t>號函附件項目</w:t>
      </w:r>
      <w:r w:rsidRPr="00E224E9">
        <w:rPr>
          <w:rFonts w:ascii="Book Antiqua" w:hAnsi="Book Antiqua"/>
          <w:color w:val="000000" w:themeColor="text1"/>
          <w:sz w:val="24"/>
        </w:rPr>
        <w:t>2</w:t>
      </w:r>
      <w:r w:rsidRPr="00E224E9">
        <w:rPr>
          <w:rFonts w:ascii="Book Antiqua" w:hAnsi="Book Antiqua" w:hint="eastAsia"/>
          <w:color w:val="000000" w:themeColor="text1"/>
          <w:sz w:val="24"/>
        </w:rPr>
        <w:t>：</w:t>
      </w:r>
      <w:r w:rsidRPr="00E224E9">
        <w:rPr>
          <w:rFonts w:ascii="新細明體" w:eastAsia="新細明體" w:hAnsi="新細明體" w:cs="新細明體" w:hint="eastAsia"/>
          <w:color w:val="000000" w:themeColor="text1"/>
          <w:sz w:val="24"/>
        </w:rPr>
        <w:t>①</w:t>
      </w:r>
      <w:r w:rsidRPr="00E224E9">
        <w:rPr>
          <w:rFonts w:ascii="標楷體" w:hAnsi="標楷體" w:cs="標楷體" w:hint="eastAsia"/>
          <w:color w:val="000000" w:themeColor="text1"/>
          <w:sz w:val="24"/>
        </w:rPr>
        <w:t>保險業實質互相投資於「國內保險業」發行之具資本性質債券；或</w:t>
      </w:r>
      <w:r w:rsidRPr="00E224E9">
        <w:rPr>
          <w:rFonts w:ascii="新細明體" w:eastAsia="新細明體" w:hAnsi="新細明體" w:cs="新細明體" w:hint="eastAsia"/>
          <w:color w:val="000000" w:themeColor="text1"/>
          <w:sz w:val="24"/>
        </w:rPr>
        <w:t>②</w:t>
      </w:r>
      <w:r w:rsidRPr="00E224E9">
        <w:rPr>
          <w:rFonts w:ascii="標楷體" w:hAnsi="標楷體" w:cs="標楷體" w:hint="eastAsia"/>
          <w:color w:val="000000" w:themeColor="text1"/>
          <w:sz w:val="24"/>
        </w:rPr>
        <w:t>自</w:t>
      </w:r>
      <w:r w:rsidRPr="00E224E9">
        <w:rPr>
          <w:rFonts w:ascii="Book Antiqua" w:hAnsi="Book Antiqua"/>
          <w:color w:val="000000" w:themeColor="text1"/>
          <w:sz w:val="24"/>
        </w:rPr>
        <w:t>108</w:t>
      </w:r>
      <w:r w:rsidRPr="00E224E9">
        <w:rPr>
          <w:rFonts w:ascii="Book Antiqua" w:hAnsi="Book Antiqua" w:hint="eastAsia"/>
          <w:color w:val="000000" w:themeColor="text1"/>
          <w:sz w:val="24"/>
        </w:rPr>
        <w:t>年</w:t>
      </w:r>
      <w:r w:rsidRPr="00E224E9">
        <w:rPr>
          <w:rFonts w:ascii="Book Antiqua" w:hAnsi="Book Antiqua"/>
          <w:color w:val="000000" w:themeColor="text1"/>
          <w:sz w:val="24"/>
        </w:rPr>
        <w:t>11</w:t>
      </w:r>
      <w:r w:rsidRPr="00E224E9">
        <w:rPr>
          <w:rFonts w:ascii="Book Antiqua" w:hAnsi="Book Antiqua" w:hint="eastAsia"/>
          <w:color w:val="000000" w:themeColor="text1"/>
          <w:sz w:val="24"/>
        </w:rPr>
        <w:t>月</w:t>
      </w:r>
      <w:r w:rsidRPr="00E224E9">
        <w:rPr>
          <w:rFonts w:ascii="Book Antiqua" w:hAnsi="Book Antiqua"/>
          <w:color w:val="000000" w:themeColor="text1"/>
          <w:sz w:val="24"/>
        </w:rPr>
        <w:t>1</w:t>
      </w:r>
      <w:r w:rsidRPr="00E224E9">
        <w:rPr>
          <w:rFonts w:ascii="Book Antiqua" w:hAnsi="Book Antiqua" w:hint="eastAsia"/>
          <w:color w:val="000000" w:themeColor="text1"/>
          <w:sz w:val="24"/>
        </w:rPr>
        <w:t>日起保險業新增實質互相投資於「國內金控公司」發行之具資本性質債券。</w:t>
      </w:r>
    </w:p>
    <w:p w14:paraId="184A1532" w14:textId="77777777" w:rsidR="00065C53" w:rsidRPr="00E224E9" w:rsidRDefault="00065C53" w:rsidP="00C74DED">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27710E" w:rsidRPr="00E224E9">
        <w:rPr>
          <w:rFonts w:ascii="Book Antiqua" w:hAnsi="Book Antiqua" w:hint="eastAsia"/>
          <w:color w:val="000000" w:themeColor="text1"/>
          <w:sz w:val="24"/>
        </w:rPr>
        <w:t>16</w:t>
      </w:r>
      <w:r w:rsidRPr="00E224E9">
        <w:rPr>
          <w:rFonts w:ascii="Book Antiqua" w:hAnsi="標楷體"/>
          <w:color w:val="000000" w:themeColor="text1"/>
          <w:sz w:val="24"/>
        </w:rPr>
        <w:t>欄－發行公司隸屬國家</w:t>
      </w:r>
    </w:p>
    <w:p w14:paraId="6D1BECDD" w14:textId="77777777" w:rsidR="00065C53" w:rsidRPr="00E224E9" w:rsidRDefault="00065C53" w:rsidP="00F3152E">
      <w:pPr>
        <w:spacing w:line="440" w:lineRule="exact"/>
        <w:ind w:leftChars="171" w:left="445" w:firstLineChars="7" w:firstLine="17"/>
        <w:rPr>
          <w:rFonts w:ascii="Book Antiqua" w:hAnsi="Book Antiqua"/>
          <w:color w:val="000000" w:themeColor="text1"/>
          <w:sz w:val="24"/>
        </w:rPr>
      </w:pPr>
      <w:r w:rsidRPr="00E224E9">
        <w:rPr>
          <w:rFonts w:ascii="Book Antiqua" w:hAnsi="標楷體"/>
          <w:color w:val="000000" w:themeColor="text1"/>
          <w:sz w:val="24"/>
        </w:rPr>
        <w:t>依第</w:t>
      </w:r>
      <w:r w:rsidRPr="00E224E9">
        <w:rPr>
          <w:rFonts w:ascii="Book Antiqua" w:hAnsi="Book Antiqua"/>
          <w:color w:val="000000" w:themeColor="text1"/>
          <w:sz w:val="24"/>
        </w:rPr>
        <w:t>5</w:t>
      </w:r>
      <w:r w:rsidRPr="00E224E9">
        <w:rPr>
          <w:rFonts w:ascii="Book Antiqua" w:hAnsi="標楷體"/>
          <w:color w:val="000000" w:themeColor="text1"/>
          <w:sz w:val="24"/>
        </w:rPr>
        <w:t>欄填列發行公司所隸屬國家。</w:t>
      </w:r>
    </w:p>
    <w:p w14:paraId="635AC1FC"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w:t>
      </w:r>
      <w:r w:rsidR="0027710E" w:rsidRPr="00E224E9">
        <w:rPr>
          <w:rFonts w:ascii="Book Antiqua" w:hAnsi="Book Antiqua" w:hint="eastAsia"/>
          <w:color w:val="000000" w:themeColor="text1"/>
          <w:sz w:val="24"/>
        </w:rPr>
        <w:t>7</w:t>
      </w:r>
      <w:r w:rsidRPr="00E224E9">
        <w:rPr>
          <w:rFonts w:ascii="Book Antiqua" w:hAnsi="標楷體"/>
          <w:color w:val="000000" w:themeColor="text1"/>
          <w:sz w:val="24"/>
        </w:rPr>
        <w:t>欄－是否為擔保公司債</w:t>
      </w:r>
    </w:p>
    <w:p w14:paraId="2BD0C960" w14:textId="77777777" w:rsidR="00065C53" w:rsidRPr="00E224E9" w:rsidRDefault="00065C53" w:rsidP="00F3152E">
      <w:pPr>
        <w:spacing w:line="440" w:lineRule="exact"/>
        <w:ind w:leftChars="171" w:left="445" w:firstLineChars="7" w:firstLine="17"/>
        <w:rPr>
          <w:rFonts w:ascii="Book Antiqua" w:hAnsi="Book Antiqua"/>
          <w:color w:val="000000" w:themeColor="text1"/>
          <w:sz w:val="24"/>
        </w:rPr>
      </w:pPr>
      <w:r w:rsidRPr="00E224E9">
        <w:rPr>
          <w:rFonts w:ascii="Book Antiqua" w:hAnsi="標楷體"/>
          <w:color w:val="000000" w:themeColor="text1"/>
          <w:sz w:val="24"/>
        </w:rPr>
        <w:t>是否為擔保公司債請依序填列</w:t>
      </w:r>
      <w:r w:rsidRPr="00E224E9">
        <w:rPr>
          <w:rFonts w:ascii="Book Antiqua" w:hAnsi="Book Antiqua"/>
          <w:color w:val="000000" w:themeColor="text1"/>
          <w:sz w:val="24"/>
        </w:rPr>
        <w:t>A.</w:t>
      </w:r>
      <w:r w:rsidRPr="00E224E9">
        <w:rPr>
          <w:rFonts w:ascii="Book Antiqua" w:hAnsi="標楷體"/>
          <w:color w:val="000000" w:themeColor="text1"/>
          <w:sz w:val="24"/>
        </w:rPr>
        <w:t>有擔保公司債</w:t>
      </w:r>
      <w:r w:rsidRPr="00E224E9">
        <w:rPr>
          <w:rFonts w:ascii="Book Antiqua" w:hAnsi="Book Antiqua"/>
          <w:color w:val="000000" w:themeColor="text1"/>
          <w:sz w:val="24"/>
        </w:rPr>
        <w:t>,B.</w:t>
      </w:r>
      <w:r w:rsidRPr="00E224E9">
        <w:rPr>
          <w:rFonts w:ascii="Book Antiqua" w:hAnsi="標楷體"/>
          <w:color w:val="000000" w:themeColor="text1"/>
          <w:sz w:val="24"/>
        </w:rPr>
        <w:t>無擔保公司債</w:t>
      </w:r>
      <w:r w:rsidRPr="00E224E9">
        <w:rPr>
          <w:rFonts w:ascii="Book Antiqua" w:hAnsi="Book Antiqua"/>
          <w:color w:val="000000" w:themeColor="text1"/>
          <w:sz w:val="24"/>
        </w:rPr>
        <w:t>,C.</w:t>
      </w:r>
      <w:r w:rsidRPr="00E224E9">
        <w:rPr>
          <w:rFonts w:ascii="Book Antiqua" w:hAnsi="標楷體"/>
          <w:color w:val="000000" w:themeColor="text1"/>
          <w:sz w:val="24"/>
        </w:rPr>
        <w:t>可轉換公司債及附認股權公司債</w:t>
      </w:r>
      <w:r w:rsidRPr="00E224E9">
        <w:rPr>
          <w:rFonts w:ascii="Book Antiqua" w:hAnsi="Book Antiqua"/>
          <w:color w:val="000000" w:themeColor="text1"/>
          <w:sz w:val="24"/>
        </w:rPr>
        <w:t>,D.</w:t>
      </w:r>
      <w:r w:rsidRPr="00E224E9">
        <w:rPr>
          <w:rFonts w:ascii="Book Antiqua" w:hAnsi="標楷體"/>
          <w:color w:val="000000" w:themeColor="text1"/>
          <w:sz w:val="24"/>
        </w:rPr>
        <w:t>其他。</w:t>
      </w:r>
    </w:p>
    <w:p w14:paraId="03CA1FC7"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w:t>
      </w:r>
      <w:r w:rsidR="0027710E" w:rsidRPr="00E224E9">
        <w:rPr>
          <w:rFonts w:ascii="Book Antiqua" w:hAnsi="Book Antiqua" w:hint="eastAsia"/>
          <w:color w:val="000000" w:themeColor="text1"/>
          <w:sz w:val="24"/>
        </w:rPr>
        <w:t>8</w:t>
      </w:r>
      <w:r w:rsidRPr="00E224E9">
        <w:rPr>
          <w:rFonts w:ascii="Book Antiqua" w:hAnsi="標楷體"/>
          <w:color w:val="000000" w:themeColor="text1"/>
          <w:sz w:val="24"/>
        </w:rPr>
        <w:t>欄－交易市場型態</w:t>
      </w:r>
    </w:p>
    <w:p w14:paraId="7C31B5BC" w14:textId="77777777" w:rsidR="00065C53" w:rsidRPr="00E224E9" w:rsidRDefault="00065C53" w:rsidP="00F3152E">
      <w:pPr>
        <w:spacing w:line="440" w:lineRule="exact"/>
        <w:ind w:leftChars="171" w:left="445" w:firstLineChars="7" w:firstLine="17"/>
        <w:rPr>
          <w:rFonts w:ascii="Book Antiqua" w:hAnsi="Book Antiqua"/>
          <w:color w:val="000000" w:themeColor="text1"/>
          <w:sz w:val="24"/>
        </w:rPr>
      </w:pPr>
      <w:r w:rsidRPr="00E224E9">
        <w:rPr>
          <w:rFonts w:ascii="Book Antiqua" w:hAnsi="標楷體"/>
          <w:color w:val="000000" w:themeColor="text1"/>
          <w:sz w:val="24"/>
        </w:rPr>
        <w:t>交易市場型態請填列</w:t>
      </w:r>
      <w:r w:rsidRPr="00E224E9">
        <w:rPr>
          <w:rFonts w:ascii="Book Antiqua" w:hAnsi="Book Antiqua"/>
          <w:color w:val="000000" w:themeColor="text1"/>
          <w:sz w:val="24"/>
        </w:rPr>
        <w:t>A.</w:t>
      </w:r>
      <w:r w:rsidRPr="00E224E9">
        <w:rPr>
          <w:rFonts w:ascii="Book Antiqua" w:hAnsi="標楷體"/>
          <w:color w:val="000000" w:themeColor="text1"/>
          <w:sz w:val="24"/>
        </w:rPr>
        <w:t>集中</w:t>
      </w:r>
      <w:r w:rsidRPr="00E224E9">
        <w:rPr>
          <w:rFonts w:ascii="Book Antiqua" w:hAnsi="Book Antiqua"/>
          <w:color w:val="000000" w:themeColor="text1"/>
          <w:sz w:val="24"/>
        </w:rPr>
        <w:t>,B.</w:t>
      </w:r>
      <w:r w:rsidRPr="00E224E9">
        <w:rPr>
          <w:rFonts w:ascii="Book Antiqua" w:hAnsi="標楷體"/>
          <w:color w:val="000000" w:themeColor="text1"/>
          <w:sz w:val="24"/>
        </w:rPr>
        <w:t>店頭</w:t>
      </w:r>
      <w:r w:rsidRPr="00E224E9">
        <w:rPr>
          <w:rFonts w:ascii="Book Antiqua" w:hAnsi="Book Antiqua"/>
          <w:color w:val="000000" w:themeColor="text1"/>
          <w:sz w:val="24"/>
        </w:rPr>
        <w:t>,C.</w:t>
      </w:r>
      <w:r w:rsidRPr="00E224E9">
        <w:rPr>
          <w:rFonts w:ascii="Book Antiqua" w:hAnsi="標楷體"/>
          <w:color w:val="000000" w:themeColor="text1"/>
          <w:sz w:val="24"/>
        </w:rPr>
        <w:t>其他。</w:t>
      </w:r>
    </w:p>
    <w:p w14:paraId="1A15E017"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190177" w:rsidRPr="00E224E9">
        <w:rPr>
          <w:rFonts w:ascii="Book Antiqua" w:hAnsi="Book Antiqua"/>
          <w:color w:val="000000" w:themeColor="text1"/>
          <w:sz w:val="24"/>
        </w:rPr>
        <w:t>1</w:t>
      </w:r>
      <w:r w:rsidR="00190177" w:rsidRPr="00E224E9">
        <w:rPr>
          <w:rFonts w:ascii="Book Antiqua" w:hAnsi="Book Antiqua" w:hint="eastAsia"/>
          <w:color w:val="000000" w:themeColor="text1"/>
          <w:sz w:val="24"/>
        </w:rPr>
        <w:t>9</w:t>
      </w:r>
      <w:r w:rsidRPr="00E224E9">
        <w:rPr>
          <w:rFonts w:ascii="Book Antiqua" w:hAnsi="標楷體"/>
          <w:color w:val="000000" w:themeColor="text1"/>
          <w:sz w:val="24"/>
        </w:rPr>
        <w:t>欄－持有資產幣別</w:t>
      </w:r>
      <w:r w:rsidRPr="00E224E9">
        <w:rPr>
          <w:rFonts w:ascii="Book Antiqua" w:hAnsi="Book Antiqua"/>
          <w:color w:val="000000" w:themeColor="text1"/>
          <w:sz w:val="24"/>
        </w:rPr>
        <w:tab/>
      </w:r>
    </w:p>
    <w:p w14:paraId="54429052" w14:textId="77777777" w:rsidR="00065C53" w:rsidRPr="00E224E9" w:rsidRDefault="00065C53" w:rsidP="005D67C7">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本表均含國內外投資</w:t>
      </w:r>
      <w:r w:rsidRPr="00E224E9">
        <w:rPr>
          <w:rFonts w:ascii="Book Antiqua" w:hAnsi="Book Antiqua"/>
          <w:color w:val="000000" w:themeColor="text1"/>
          <w:sz w:val="24"/>
        </w:rPr>
        <w:t>,</w:t>
      </w:r>
      <w:r w:rsidRPr="00E224E9">
        <w:rPr>
          <w:rFonts w:ascii="Book Antiqua" w:hAnsi="標楷體"/>
          <w:color w:val="000000" w:themeColor="text1"/>
          <w:sz w:val="24"/>
        </w:rPr>
        <w:t>若屬國外投資者於持有資產幣別請填該幣別代號如</w:t>
      </w:r>
      <w:r w:rsidRPr="00E224E9">
        <w:rPr>
          <w:rFonts w:ascii="Book Antiqua" w:hAnsi="Book Antiqua"/>
          <w:color w:val="000000" w:themeColor="text1"/>
          <w:sz w:val="24"/>
        </w:rPr>
        <w:t>USD,</w:t>
      </w:r>
      <w:r w:rsidRPr="00E224E9">
        <w:rPr>
          <w:rFonts w:ascii="Book Antiqua" w:hAnsi="標楷體"/>
          <w:color w:val="000000" w:themeColor="text1"/>
          <w:sz w:val="24"/>
        </w:rPr>
        <w:t>若投資</w:t>
      </w:r>
      <w:r w:rsidR="003E0C1B" w:rsidRPr="00E224E9">
        <w:rPr>
          <w:rFonts w:ascii="Book Antiqua" w:hAnsi="標楷體" w:hint="eastAsia"/>
          <w:color w:val="000000" w:themeColor="text1"/>
          <w:sz w:val="24"/>
        </w:rPr>
        <w:t>新興市場</w:t>
      </w:r>
      <w:r w:rsidRPr="00E224E9">
        <w:rPr>
          <w:rFonts w:ascii="Book Antiqua" w:hAnsi="標楷體"/>
          <w:color w:val="000000" w:themeColor="text1"/>
          <w:sz w:val="24"/>
        </w:rPr>
        <w:t>而按</w:t>
      </w:r>
      <w:r w:rsidR="00BA2EB6" w:rsidRPr="00E224E9">
        <w:rPr>
          <w:rFonts w:ascii="Book Antiqua" w:hAnsi="標楷體" w:hint="eastAsia"/>
          <w:color w:val="000000" w:themeColor="text1"/>
          <w:sz w:val="24"/>
        </w:rPr>
        <w:t>已開發國家</w:t>
      </w:r>
      <w:r w:rsidRPr="00E224E9">
        <w:rPr>
          <w:rFonts w:ascii="Book Antiqua" w:hAnsi="標楷體"/>
          <w:color w:val="000000" w:themeColor="text1"/>
          <w:sz w:val="24"/>
        </w:rPr>
        <w:t>幣別計價者，請將該幣別增加一碼如</w:t>
      </w:r>
      <w:r w:rsidRPr="00E224E9">
        <w:rPr>
          <w:rFonts w:ascii="Book Antiqua" w:hAnsi="Book Antiqua"/>
          <w:color w:val="000000" w:themeColor="text1"/>
          <w:sz w:val="24"/>
        </w:rPr>
        <w:t>USD-1</w:t>
      </w:r>
      <w:r w:rsidRPr="00E224E9">
        <w:rPr>
          <w:rFonts w:ascii="Book Antiqua" w:hAnsi="標楷體"/>
          <w:color w:val="000000" w:themeColor="text1"/>
          <w:sz w:val="24"/>
        </w:rPr>
        <w:t>。</w:t>
      </w:r>
    </w:p>
    <w:p w14:paraId="18A77BF3" w14:textId="77777777" w:rsidR="00065C53" w:rsidRPr="00E224E9" w:rsidRDefault="00065C53" w:rsidP="00C74DED">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190177" w:rsidRPr="00E224E9">
        <w:rPr>
          <w:rFonts w:ascii="Book Antiqua" w:hAnsi="Book Antiqua" w:hint="eastAsia"/>
          <w:color w:val="000000" w:themeColor="text1"/>
          <w:sz w:val="24"/>
        </w:rPr>
        <w:t>20</w:t>
      </w:r>
      <w:r w:rsidRPr="00E224E9">
        <w:rPr>
          <w:rFonts w:ascii="Book Antiqua" w:hAnsi="標楷體"/>
          <w:color w:val="000000" w:themeColor="text1"/>
          <w:sz w:val="24"/>
        </w:rPr>
        <w:t>欄－到期年月日</w:t>
      </w:r>
      <w:r w:rsidRPr="00E224E9">
        <w:rPr>
          <w:rFonts w:ascii="Book Antiqua" w:hAnsi="Book Antiqua"/>
          <w:color w:val="000000" w:themeColor="text1"/>
          <w:sz w:val="24"/>
        </w:rPr>
        <w:tab/>
      </w:r>
    </w:p>
    <w:p w14:paraId="6C4ACACD" w14:textId="77777777" w:rsidR="00065C53" w:rsidRPr="00E224E9" w:rsidRDefault="00065C53" w:rsidP="00066335">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填寫方式以西元年</w:t>
      </w:r>
      <w:r w:rsidRPr="00E224E9">
        <w:rPr>
          <w:rFonts w:ascii="Book Antiqua" w:hAnsi="Book Antiqua"/>
          <w:color w:val="000000" w:themeColor="text1"/>
          <w:sz w:val="24"/>
        </w:rPr>
        <w:t>/</w:t>
      </w:r>
      <w:r w:rsidRPr="00E224E9">
        <w:rPr>
          <w:rFonts w:ascii="Book Antiqua" w:hAnsi="標楷體"/>
          <w:color w:val="000000" w:themeColor="text1"/>
          <w:sz w:val="24"/>
        </w:rPr>
        <w:t>月</w:t>
      </w:r>
      <w:r w:rsidRPr="00E224E9">
        <w:rPr>
          <w:rFonts w:ascii="Book Antiqua" w:hAnsi="Book Antiqua"/>
          <w:color w:val="000000" w:themeColor="text1"/>
          <w:sz w:val="24"/>
        </w:rPr>
        <w:t>/</w:t>
      </w:r>
      <w:r w:rsidRPr="00E224E9">
        <w:rPr>
          <w:rFonts w:ascii="Book Antiqua" w:hAnsi="標楷體"/>
          <w:color w:val="000000" w:themeColor="text1"/>
          <w:sz w:val="24"/>
        </w:rPr>
        <w:t>日如</w:t>
      </w:r>
      <w:r w:rsidRPr="00E224E9">
        <w:rPr>
          <w:rFonts w:ascii="Book Antiqua" w:hAnsi="Book Antiqua"/>
          <w:color w:val="000000" w:themeColor="text1"/>
          <w:sz w:val="24"/>
        </w:rPr>
        <w:t>2005/06/25</w:t>
      </w:r>
      <w:r w:rsidRPr="00E224E9">
        <w:rPr>
          <w:rFonts w:ascii="Book Antiqua" w:hAnsi="標楷體"/>
          <w:color w:val="000000" w:themeColor="text1"/>
          <w:sz w:val="24"/>
        </w:rPr>
        <w:t>。</w:t>
      </w:r>
    </w:p>
    <w:p w14:paraId="0C531D27" w14:textId="77777777" w:rsidR="00065C53" w:rsidRPr="00E224E9"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190177" w:rsidRPr="00E224E9">
        <w:rPr>
          <w:rFonts w:ascii="Book Antiqua" w:hAnsi="Book Antiqua" w:hint="eastAsia"/>
          <w:color w:val="000000" w:themeColor="text1"/>
          <w:sz w:val="24"/>
        </w:rPr>
        <w:t>1</w:t>
      </w:r>
      <w:r w:rsidRPr="00E224E9">
        <w:rPr>
          <w:rFonts w:ascii="Book Antiqua" w:hAnsi="標楷體"/>
          <w:color w:val="000000" w:themeColor="text1"/>
          <w:sz w:val="24"/>
        </w:rPr>
        <w:t>欄－票面年利率</w:t>
      </w:r>
      <w:r w:rsidRPr="00E224E9">
        <w:rPr>
          <w:rFonts w:ascii="Book Antiqua" w:hAnsi="Book Antiqua"/>
          <w:color w:val="000000" w:themeColor="text1"/>
          <w:sz w:val="24"/>
        </w:rPr>
        <w:tab/>
      </w:r>
    </w:p>
    <w:p w14:paraId="6B920C40" w14:textId="77777777" w:rsidR="00065C53" w:rsidRPr="00E224E9" w:rsidRDefault="00065C53" w:rsidP="00BC7FC0">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依債券之年票面利率填列。</w:t>
      </w:r>
    </w:p>
    <w:p w14:paraId="5CECDE19" w14:textId="5F61D637" w:rsidR="00065C53" w:rsidRPr="00E224E9" w:rsidRDefault="00065C53" w:rsidP="00BE6FC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2</w:t>
      </w:r>
      <w:r w:rsidRPr="00E224E9">
        <w:rPr>
          <w:rFonts w:ascii="Book Antiqua" w:hAnsi="標楷體"/>
          <w:color w:val="000000" w:themeColor="text1"/>
          <w:sz w:val="24"/>
        </w:rPr>
        <w:t>欄－</w:t>
      </w:r>
      <w:r w:rsidR="00241022" w:rsidRPr="00E224E9">
        <w:rPr>
          <w:rFonts w:ascii="Book Antiqua" w:hAnsi="標楷體"/>
          <w:color w:val="000000" w:themeColor="text1"/>
          <w:sz w:val="24"/>
        </w:rPr>
        <w:t>帳載金額占該發行公司債之公司</w:t>
      </w:r>
      <w:r w:rsidR="00CA111D" w:rsidRPr="00E224E9">
        <w:rPr>
          <w:rFonts w:ascii="Book Antiqua" w:hAnsi="標楷體" w:hint="eastAsia"/>
          <w:color w:val="000000" w:themeColor="text1"/>
          <w:kern w:val="0"/>
          <w:sz w:val="24"/>
        </w:rPr>
        <w:t>業主權益</w:t>
      </w:r>
      <w:r w:rsidR="00241022" w:rsidRPr="00E224E9">
        <w:rPr>
          <w:rFonts w:ascii="Book Antiqua" w:hAnsi="標楷體"/>
          <w:color w:val="000000" w:themeColor="text1"/>
          <w:sz w:val="24"/>
        </w:rPr>
        <w:t>比率</w:t>
      </w:r>
      <w:r w:rsidR="00241022" w:rsidRPr="00E224E9">
        <w:rPr>
          <w:rFonts w:ascii="Book Antiqua" w:hAnsi="Book Antiqua"/>
          <w:color w:val="000000" w:themeColor="text1"/>
          <w:sz w:val="24"/>
        </w:rPr>
        <w:t>%</w:t>
      </w:r>
      <w:r w:rsidRPr="00E224E9">
        <w:rPr>
          <w:rFonts w:ascii="Book Antiqua" w:hAnsi="Book Antiqua"/>
          <w:color w:val="000000" w:themeColor="text1"/>
          <w:sz w:val="24"/>
        </w:rPr>
        <w:tab/>
      </w:r>
    </w:p>
    <w:p w14:paraId="06113FD3" w14:textId="2B5C032F" w:rsidR="00065C53" w:rsidRPr="00E224E9" w:rsidRDefault="00065C53" w:rsidP="00020FEE">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為帳載金額占該公司</w:t>
      </w:r>
      <w:r w:rsidR="00CA111D" w:rsidRPr="00E224E9">
        <w:rPr>
          <w:rFonts w:ascii="Book Antiqua" w:hAnsi="標楷體" w:hint="eastAsia"/>
          <w:color w:val="000000" w:themeColor="text1"/>
          <w:kern w:val="0"/>
          <w:sz w:val="24"/>
        </w:rPr>
        <w:t>業主權益</w:t>
      </w:r>
      <w:r w:rsidRPr="00E224E9">
        <w:rPr>
          <w:rFonts w:ascii="Book Antiqua" w:hAnsi="標楷體"/>
          <w:color w:val="000000" w:themeColor="text1"/>
          <w:sz w:val="24"/>
        </w:rPr>
        <w:t>之比率。</w:t>
      </w:r>
    </w:p>
    <w:p w14:paraId="5ECA33DA" w14:textId="77777777" w:rsidR="00065C53" w:rsidRPr="00E224E9" w:rsidRDefault="00065C53" w:rsidP="000004F9">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3</w:t>
      </w:r>
      <w:r w:rsidRPr="00E224E9">
        <w:rPr>
          <w:rFonts w:ascii="Book Antiqua" w:hAnsi="標楷體"/>
          <w:color w:val="000000" w:themeColor="text1"/>
          <w:sz w:val="24"/>
        </w:rPr>
        <w:t>欄－付息方式</w:t>
      </w:r>
      <w:r w:rsidRPr="00E224E9">
        <w:rPr>
          <w:rFonts w:ascii="Book Antiqua" w:hAnsi="Book Antiqua"/>
          <w:color w:val="000000" w:themeColor="text1"/>
          <w:sz w:val="24"/>
        </w:rPr>
        <w:tab/>
      </w:r>
    </w:p>
    <w:p w14:paraId="0E3426DD" w14:textId="77777777" w:rsidR="00065C53" w:rsidRPr="00E224E9" w:rsidRDefault="00065C53" w:rsidP="00A51CC3">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付息方式請依序填列</w:t>
      </w:r>
      <w:r w:rsidRPr="00E224E9">
        <w:rPr>
          <w:rFonts w:ascii="Book Antiqua" w:hAnsi="Book Antiqua"/>
          <w:color w:val="000000" w:themeColor="text1"/>
          <w:sz w:val="24"/>
        </w:rPr>
        <w:t>A.</w:t>
      </w:r>
      <w:r w:rsidRPr="00E224E9">
        <w:rPr>
          <w:rFonts w:ascii="Book Antiqua" w:hAnsi="標楷體"/>
          <w:color w:val="000000" w:themeColor="text1"/>
          <w:sz w:val="24"/>
        </w:rPr>
        <w:t>每二年付息一次</w:t>
      </w:r>
      <w:r w:rsidRPr="00E224E9">
        <w:rPr>
          <w:rFonts w:ascii="Book Antiqua" w:hAnsi="Book Antiqua"/>
          <w:color w:val="000000" w:themeColor="text1"/>
          <w:sz w:val="24"/>
        </w:rPr>
        <w:t>,B.</w:t>
      </w:r>
      <w:r w:rsidRPr="00E224E9">
        <w:rPr>
          <w:rFonts w:ascii="Book Antiqua" w:hAnsi="標楷體"/>
          <w:color w:val="000000" w:themeColor="text1"/>
          <w:sz w:val="24"/>
        </w:rPr>
        <w:t>每一年付息一次</w:t>
      </w:r>
      <w:r w:rsidRPr="00E224E9">
        <w:rPr>
          <w:rFonts w:ascii="Book Antiqua" w:hAnsi="Book Antiqua"/>
          <w:color w:val="000000" w:themeColor="text1"/>
          <w:sz w:val="24"/>
        </w:rPr>
        <w:t>,C.</w:t>
      </w:r>
      <w:r w:rsidRPr="00E224E9">
        <w:rPr>
          <w:rFonts w:ascii="Book Antiqua" w:hAnsi="標楷體"/>
          <w:color w:val="000000" w:themeColor="text1"/>
          <w:sz w:val="24"/>
        </w:rPr>
        <w:t>每半年付息一次</w:t>
      </w:r>
      <w:r w:rsidRPr="00E224E9">
        <w:rPr>
          <w:rFonts w:ascii="Book Antiqua" w:hAnsi="Book Antiqua"/>
          <w:color w:val="000000" w:themeColor="text1"/>
          <w:sz w:val="24"/>
        </w:rPr>
        <w:t>,D.</w:t>
      </w:r>
      <w:r w:rsidRPr="00E224E9">
        <w:rPr>
          <w:rFonts w:ascii="Book Antiqua" w:hAnsi="標楷體"/>
          <w:color w:val="000000" w:themeColor="text1"/>
          <w:sz w:val="24"/>
        </w:rPr>
        <w:t>每季付息一次</w:t>
      </w:r>
      <w:r w:rsidRPr="00E224E9">
        <w:rPr>
          <w:rFonts w:ascii="Book Antiqua" w:hAnsi="Book Antiqua"/>
          <w:color w:val="000000" w:themeColor="text1"/>
          <w:sz w:val="24"/>
        </w:rPr>
        <w:t>,E.</w:t>
      </w:r>
      <w:r w:rsidRPr="00E224E9">
        <w:rPr>
          <w:rFonts w:ascii="Book Antiqua" w:hAnsi="標楷體"/>
          <w:color w:val="000000" w:themeColor="text1"/>
          <w:sz w:val="24"/>
        </w:rPr>
        <w:t>每月付息一次</w:t>
      </w:r>
      <w:r w:rsidRPr="00E224E9">
        <w:rPr>
          <w:rFonts w:ascii="Book Antiqua" w:hAnsi="Book Antiqua"/>
          <w:color w:val="000000" w:themeColor="text1"/>
          <w:sz w:val="24"/>
        </w:rPr>
        <w:t>,F.</w:t>
      </w:r>
      <w:r w:rsidRPr="00E224E9">
        <w:rPr>
          <w:rFonts w:ascii="Book Antiqua" w:hAnsi="標楷體"/>
          <w:color w:val="000000" w:themeColor="text1"/>
          <w:sz w:val="24"/>
        </w:rPr>
        <w:t>不付息</w:t>
      </w:r>
      <w:r w:rsidRPr="00E224E9">
        <w:rPr>
          <w:rFonts w:ascii="Book Antiqua" w:hAnsi="Book Antiqua"/>
          <w:color w:val="000000" w:themeColor="text1"/>
          <w:sz w:val="24"/>
        </w:rPr>
        <w:t>,G.</w:t>
      </w:r>
      <w:r w:rsidRPr="00E224E9">
        <w:rPr>
          <w:rFonts w:ascii="Book Antiqua" w:hAnsi="標楷體"/>
          <w:color w:val="000000" w:themeColor="text1"/>
          <w:sz w:val="24"/>
        </w:rPr>
        <w:t>其他。</w:t>
      </w:r>
    </w:p>
    <w:p w14:paraId="01C398A6" w14:textId="77777777" w:rsidR="00065C53" w:rsidRPr="00E224E9" w:rsidRDefault="00065C53" w:rsidP="000206A8">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4</w:t>
      </w:r>
      <w:r w:rsidRPr="00E224E9">
        <w:rPr>
          <w:rFonts w:ascii="Book Antiqua" w:hAnsi="標楷體"/>
          <w:color w:val="000000" w:themeColor="text1"/>
          <w:sz w:val="24"/>
        </w:rPr>
        <w:t>欄－面值總金額</w:t>
      </w:r>
      <w:r w:rsidRPr="00E224E9">
        <w:rPr>
          <w:rFonts w:ascii="Book Antiqua" w:hAnsi="Book Antiqua"/>
          <w:color w:val="000000" w:themeColor="text1"/>
          <w:sz w:val="24"/>
        </w:rPr>
        <w:tab/>
      </w:r>
    </w:p>
    <w:p w14:paraId="47C3B9CC" w14:textId="77777777" w:rsidR="00065C53" w:rsidRPr="00E224E9" w:rsidRDefault="00065C53" w:rsidP="000E3D27">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lastRenderedPageBreak/>
        <w:t>為債券之面額，國外投資以期末匯率換算為新台幣面額。</w:t>
      </w:r>
    </w:p>
    <w:p w14:paraId="3ABBA85F" w14:textId="77777777" w:rsidR="00065C53" w:rsidRPr="00E224E9" w:rsidRDefault="00065C53" w:rsidP="000E3D2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5</w:t>
      </w:r>
      <w:r w:rsidRPr="00E224E9">
        <w:rPr>
          <w:rFonts w:ascii="Book Antiqua" w:hAnsi="標楷體"/>
          <w:color w:val="000000" w:themeColor="text1"/>
          <w:sz w:val="24"/>
        </w:rPr>
        <w:t>欄－期末帳載金額</w:t>
      </w:r>
      <w:r w:rsidRPr="00E224E9">
        <w:rPr>
          <w:rFonts w:ascii="Book Antiqua" w:hAnsi="Book Antiqua"/>
          <w:color w:val="000000" w:themeColor="text1"/>
          <w:sz w:val="24"/>
        </w:rPr>
        <w:t>(</w:t>
      </w:r>
      <w:r w:rsidRPr="00E224E9">
        <w:rPr>
          <w:rFonts w:ascii="Book Antiqua" w:hAnsi="標楷體"/>
          <w:color w:val="000000" w:themeColor="text1"/>
          <w:sz w:val="24"/>
        </w:rPr>
        <w:t>主排序</w:t>
      </w:r>
      <w:r w:rsidRPr="00E224E9">
        <w:rPr>
          <w:rFonts w:ascii="Book Antiqua" w:hAnsi="Book Antiqua"/>
          <w:color w:val="000000" w:themeColor="text1"/>
          <w:sz w:val="24"/>
        </w:rPr>
        <w:t>-</w:t>
      </w:r>
      <w:r w:rsidRPr="00E224E9">
        <w:rPr>
          <w:rFonts w:ascii="Book Antiqua" w:hAnsi="標楷體"/>
          <w:color w:val="000000" w:themeColor="text1"/>
          <w:sz w:val="24"/>
        </w:rPr>
        <w:t>遞減</w:t>
      </w:r>
      <w:r w:rsidRPr="00E224E9">
        <w:rPr>
          <w:rFonts w:ascii="Book Antiqua" w:hAnsi="Book Antiqua"/>
          <w:color w:val="000000" w:themeColor="text1"/>
          <w:sz w:val="24"/>
        </w:rPr>
        <w:t>)</w:t>
      </w:r>
      <w:r w:rsidRPr="00E224E9">
        <w:rPr>
          <w:rFonts w:ascii="Book Antiqua" w:hAnsi="Book Antiqua"/>
          <w:color w:val="000000" w:themeColor="text1"/>
          <w:sz w:val="24"/>
        </w:rPr>
        <w:tab/>
      </w:r>
    </w:p>
    <w:p w14:paraId="4C370626" w14:textId="77777777" w:rsidR="00065C53" w:rsidRPr="00E224E9" w:rsidRDefault="00E17750" w:rsidP="00E17750">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hint="eastAsia"/>
          <w:color w:val="000000" w:themeColor="text1"/>
          <w:sz w:val="24"/>
        </w:rPr>
        <w:t>係指保險業總帳及明細分類帳所紀錄之各資金運用項目的金額並以帳載金額大小做主排序－遞減。</w:t>
      </w:r>
      <w:r w:rsidR="00065C53" w:rsidRPr="00E224E9">
        <w:rPr>
          <w:rFonts w:ascii="Book Antiqua" w:hAnsi="標楷體"/>
          <w:color w:val="000000" w:themeColor="text1"/>
          <w:sz w:val="24"/>
        </w:rPr>
        <w:t>國外投資以期末匯率換算為新台幣帳面</w:t>
      </w:r>
      <w:r w:rsidRPr="00E224E9">
        <w:rPr>
          <w:rFonts w:ascii="Book Antiqua" w:hAnsi="標楷體" w:hint="eastAsia"/>
          <w:color w:val="000000" w:themeColor="text1"/>
          <w:sz w:val="24"/>
        </w:rPr>
        <w:t>價值</w:t>
      </w:r>
      <w:r w:rsidR="00065C53" w:rsidRPr="00E224E9">
        <w:rPr>
          <w:rFonts w:ascii="Book Antiqua" w:hAnsi="標楷體"/>
          <w:color w:val="000000" w:themeColor="text1"/>
          <w:sz w:val="24"/>
        </w:rPr>
        <w:t>。</w:t>
      </w:r>
    </w:p>
    <w:p w14:paraId="75F3BE23" w14:textId="77777777" w:rsidR="00065C53" w:rsidRPr="00E224E9" w:rsidRDefault="00065C53" w:rsidP="00E17750">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6</w:t>
      </w:r>
      <w:r w:rsidRPr="00E224E9">
        <w:rPr>
          <w:rFonts w:ascii="Book Antiqua" w:hAnsi="標楷體"/>
          <w:color w:val="000000" w:themeColor="text1"/>
          <w:sz w:val="24"/>
        </w:rPr>
        <w:t>欄－最近期成交日</w:t>
      </w:r>
      <w:r w:rsidR="00A65DB4" w:rsidRPr="00E224E9">
        <w:rPr>
          <w:rFonts w:ascii="Book Antiqua" w:hAnsi="標楷體"/>
          <w:color w:val="000000" w:themeColor="text1"/>
          <w:sz w:val="24"/>
        </w:rPr>
        <w:t>公允價值</w:t>
      </w:r>
      <w:r w:rsidRPr="00E224E9">
        <w:rPr>
          <w:rFonts w:ascii="Book Antiqua" w:hAnsi="標楷體"/>
          <w:color w:val="000000" w:themeColor="text1"/>
          <w:sz w:val="24"/>
        </w:rPr>
        <w:t>總金額</w:t>
      </w:r>
      <w:r w:rsidRPr="00E224E9">
        <w:rPr>
          <w:rFonts w:ascii="Book Antiqua" w:hAnsi="Book Antiqua"/>
          <w:color w:val="000000" w:themeColor="text1"/>
          <w:sz w:val="24"/>
        </w:rPr>
        <w:tab/>
      </w:r>
    </w:p>
    <w:p w14:paraId="22D238DB" w14:textId="77777777" w:rsidR="00065C53" w:rsidRPr="00E224E9" w:rsidRDefault="00065C53" w:rsidP="00066335">
      <w:pPr>
        <w:tabs>
          <w:tab w:val="left" w:pos="7093"/>
        </w:tabs>
        <w:spacing w:line="440" w:lineRule="exact"/>
        <w:ind w:leftChars="184" w:left="898" w:hangingChars="175" w:hanging="420"/>
        <w:jc w:val="both"/>
        <w:rPr>
          <w:rFonts w:ascii="Book Antiqua" w:hAnsi="Book Antiqua"/>
          <w:color w:val="000000" w:themeColor="text1"/>
          <w:sz w:val="24"/>
        </w:rPr>
      </w:pPr>
      <w:r w:rsidRPr="00E224E9">
        <w:rPr>
          <w:rFonts w:ascii="Book Antiqua" w:hAnsi="標楷體"/>
          <w:color w:val="000000" w:themeColor="text1"/>
          <w:sz w:val="24"/>
        </w:rPr>
        <w:t>為債券之</w:t>
      </w:r>
      <w:r w:rsidR="00A65DB4" w:rsidRPr="00E224E9">
        <w:rPr>
          <w:rFonts w:ascii="Book Antiqua" w:hAnsi="標楷體"/>
          <w:color w:val="000000" w:themeColor="text1"/>
          <w:sz w:val="24"/>
        </w:rPr>
        <w:t>公允價值</w:t>
      </w:r>
      <w:r w:rsidRPr="00E224E9">
        <w:rPr>
          <w:rFonts w:ascii="Book Antiqua" w:hAnsi="標楷體"/>
          <w:color w:val="000000" w:themeColor="text1"/>
          <w:sz w:val="24"/>
        </w:rPr>
        <w:t>，國外投資以期末匯率換算為新台幣市值。</w:t>
      </w:r>
    </w:p>
    <w:p w14:paraId="75DBF203" w14:textId="77777777" w:rsidR="00065C53" w:rsidRPr="00E224E9"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7</w:t>
      </w:r>
      <w:r w:rsidRPr="00E224E9">
        <w:rPr>
          <w:rFonts w:ascii="Book Antiqua" w:hAnsi="標楷體"/>
          <w:color w:val="000000" w:themeColor="text1"/>
          <w:sz w:val="24"/>
        </w:rPr>
        <w:t>欄－未實現損益</w:t>
      </w:r>
      <w:r w:rsidR="001D451B" w:rsidRPr="00E224E9">
        <w:rPr>
          <w:rFonts w:ascii="Book Antiqua" w:hAnsi="標楷體" w:hint="eastAsia"/>
          <w:color w:val="000000" w:themeColor="text1"/>
        </w:rPr>
        <w:t>-</w:t>
      </w:r>
      <w:r w:rsidR="001D451B" w:rsidRPr="00E224E9">
        <w:rPr>
          <w:rFonts w:ascii="Book Antiqua" w:hAnsi="標楷體" w:hint="eastAsia"/>
          <w:color w:val="000000" w:themeColor="text1"/>
        </w:rPr>
        <w:t>非以公允價值評價者</w:t>
      </w:r>
      <w:r w:rsidRPr="00E224E9">
        <w:rPr>
          <w:rFonts w:ascii="Book Antiqua" w:hAnsi="Book Antiqua"/>
          <w:color w:val="000000" w:themeColor="text1"/>
          <w:sz w:val="24"/>
        </w:rPr>
        <w:tab/>
      </w:r>
    </w:p>
    <w:p w14:paraId="11E04FBC" w14:textId="77777777" w:rsidR="00065C53" w:rsidRPr="00E224E9" w:rsidRDefault="00065C53" w:rsidP="00BC7FC0">
      <w:pPr>
        <w:tabs>
          <w:tab w:val="left" w:pos="7093"/>
        </w:tabs>
        <w:spacing w:line="440" w:lineRule="exact"/>
        <w:ind w:leftChars="185" w:left="491" w:hangingChars="4" w:hanging="10"/>
        <w:jc w:val="both"/>
        <w:rPr>
          <w:rFonts w:ascii="Book Antiqua" w:hAnsi="標楷體"/>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2</w:t>
      </w:r>
      <w:r w:rsidR="00135A46" w:rsidRPr="00E224E9">
        <w:rPr>
          <w:rFonts w:ascii="Book Antiqua" w:hAnsi="Book Antiqua" w:hint="eastAsia"/>
          <w:color w:val="000000" w:themeColor="text1"/>
          <w:sz w:val="24"/>
        </w:rPr>
        <w:t>6</w:t>
      </w:r>
      <w:r w:rsidRPr="00E224E9">
        <w:rPr>
          <w:rFonts w:ascii="Book Antiqua" w:hAnsi="標楷體"/>
          <w:color w:val="000000" w:themeColor="text1"/>
          <w:sz w:val="24"/>
        </w:rPr>
        <w:t>欄－最近期成交日</w:t>
      </w:r>
      <w:r w:rsidR="00A65DB4" w:rsidRPr="00E224E9">
        <w:rPr>
          <w:rFonts w:ascii="Book Antiqua" w:hAnsi="標楷體"/>
          <w:color w:val="000000" w:themeColor="text1"/>
          <w:sz w:val="24"/>
        </w:rPr>
        <w:t>公允價值</w:t>
      </w:r>
      <w:r w:rsidRPr="00E224E9">
        <w:rPr>
          <w:rFonts w:ascii="Book Antiqua" w:hAnsi="標楷體"/>
          <w:color w:val="000000" w:themeColor="text1"/>
          <w:sz w:val="24"/>
        </w:rPr>
        <w:t>總金額減去第</w:t>
      </w:r>
      <w:r w:rsidRPr="00E224E9">
        <w:rPr>
          <w:rFonts w:ascii="Book Antiqua" w:hAnsi="Book Antiqua"/>
          <w:color w:val="000000" w:themeColor="text1"/>
          <w:sz w:val="24"/>
        </w:rPr>
        <w:t>2</w:t>
      </w:r>
      <w:r w:rsidR="00135A46" w:rsidRPr="00E224E9">
        <w:rPr>
          <w:rFonts w:ascii="Book Antiqua" w:hAnsi="Book Antiqua" w:hint="eastAsia"/>
          <w:color w:val="000000" w:themeColor="text1"/>
          <w:sz w:val="24"/>
        </w:rPr>
        <w:t>5</w:t>
      </w:r>
      <w:r w:rsidRPr="00E224E9">
        <w:rPr>
          <w:rFonts w:ascii="Book Antiqua" w:hAnsi="標楷體"/>
          <w:color w:val="000000" w:themeColor="text1"/>
          <w:sz w:val="24"/>
        </w:rPr>
        <w:t>欄－期末帳載金額之金額。</w:t>
      </w:r>
    </w:p>
    <w:p w14:paraId="655F8F79" w14:textId="77777777" w:rsidR="001D451B" w:rsidRPr="00E224E9" w:rsidRDefault="001D451B" w:rsidP="001D451B">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8</w:t>
      </w:r>
      <w:r w:rsidRPr="00E224E9">
        <w:rPr>
          <w:rFonts w:ascii="Book Antiqua" w:hAnsi="標楷體"/>
          <w:color w:val="000000" w:themeColor="text1"/>
        </w:rPr>
        <w:t>欄－未實現損益</w:t>
      </w:r>
      <w:r w:rsidRPr="00E224E9">
        <w:rPr>
          <w:rFonts w:ascii="Book Antiqua" w:hAnsi="標楷體" w:hint="eastAsia"/>
          <w:color w:val="000000" w:themeColor="text1"/>
        </w:rPr>
        <w:t>-</w:t>
      </w:r>
      <w:r w:rsidRPr="00E224E9">
        <w:rPr>
          <w:rFonts w:ascii="Book Antiqua" w:hAnsi="標楷體" w:hint="eastAsia"/>
          <w:color w:val="000000" w:themeColor="text1"/>
        </w:rPr>
        <w:t>以公允價值評價者</w:t>
      </w:r>
      <w:r w:rsidRPr="00E224E9">
        <w:rPr>
          <w:rFonts w:ascii="Book Antiqua" w:hAnsi="Book Antiqua"/>
          <w:color w:val="000000" w:themeColor="text1"/>
        </w:rPr>
        <w:tab/>
      </w:r>
    </w:p>
    <w:p w14:paraId="1E100D4B" w14:textId="77777777" w:rsidR="001D451B" w:rsidRPr="00E224E9" w:rsidRDefault="007A605F" w:rsidP="00946FB7">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68DAC525" w14:textId="77777777" w:rsidR="00065C53" w:rsidRPr="00E224E9" w:rsidRDefault="00065C53" w:rsidP="00946FB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190177" w:rsidRPr="00E224E9">
        <w:rPr>
          <w:rFonts w:ascii="Book Antiqua" w:hAnsi="Book Antiqua" w:hint="eastAsia"/>
          <w:color w:val="000000" w:themeColor="text1"/>
          <w:sz w:val="24"/>
        </w:rPr>
        <w:t>29</w:t>
      </w:r>
      <w:r w:rsidRPr="00E224E9">
        <w:rPr>
          <w:rFonts w:ascii="Book Antiqua" w:hAnsi="標楷體"/>
          <w:color w:val="000000" w:themeColor="text1"/>
          <w:sz w:val="24"/>
        </w:rPr>
        <w:t>欄－帳載金額占資金總額比率</w:t>
      </w:r>
      <w:r w:rsidRPr="00E224E9">
        <w:rPr>
          <w:rFonts w:ascii="Book Antiqua" w:hAnsi="Book Antiqua"/>
          <w:color w:val="000000" w:themeColor="text1"/>
          <w:sz w:val="24"/>
        </w:rPr>
        <w:t>%</w:t>
      </w:r>
    </w:p>
    <w:p w14:paraId="2BCA008C" w14:textId="77777777" w:rsidR="00065C53" w:rsidRPr="00E224E9" w:rsidRDefault="00065C53" w:rsidP="00946FB7">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2</w:t>
      </w:r>
      <w:r w:rsidR="00946FB7" w:rsidRPr="00E224E9">
        <w:rPr>
          <w:rFonts w:ascii="Book Antiqua" w:hAnsi="Book Antiqua" w:hint="eastAsia"/>
          <w:color w:val="000000" w:themeColor="text1"/>
          <w:sz w:val="24"/>
        </w:rPr>
        <w:t>5</w:t>
      </w:r>
      <w:r w:rsidRPr="00E224E9">
        <w:rPr>
          <w:rFonts w:ascii="Book Antiqua" w:hAnsi="標楷體"/>
          <w:color w:val="000000" w:themeColor="text1"/>
          <w:sz w:val="24"/>
        </w:rPr>
        <w:t>欄－</w:t>
      </w:r>
      <w:r w:rsidR="00946FB7" w:rsidRPr="00E224E9">
        <w:rPr>
          <w:rFonts w:ascii="Book Antiqua" w:hAnsi="標楷體" w:hint="eastAsia"/>
          <w:color w:val="000000" w:themeColor="text1"/>
          <w:sz w:val="24"/>
        </w:rPr>
        <w:t>期末</w:t>
      </w:r>
      <w:r w:rsidRPr="00E224E9">
        <w:rPr>
          <w:rFonts w:ascii="Book Antiqua" w:hAnsi="標楷體"/>
          <w:color w:val="000000" w:themeColor="text1"/>
          <w:sz w:val="24"/>
        </w:rPr>
        <w:t>帳載金額之金額除以</w:t>
      </w:r>
      <w:r w:rsidR="001D451B" w:rsidRPr="00E224E9">
        <w:rPr>
          <w:rFonts w:ascii="Book Antiqua" w:hAnsi="標楷體" w:hint="eastAsia"/>
          <w:color w:val="000000" w:themeColor="text1"/>
          <w:sz w:val="24"/>
        </w:rPr>
        <w:t>「</w:t>
      </w:r>
      <w:r w:rsidRPr="00E224E9">
        <w:rPr>
          <w:rFonts w:ascii="Book Antiqua" w:hAnsi="標楷體"/>
          <w:color w:val="000000" w:themeColor="text1"/>
          <w:sz w:val="24"/>
        </w:rPr>
        <w:t>表</w:t>
      </w:r>
      <w:r w:rsidRPr="00E224E9">
        <w:rPr>
          <w:rFonts w:ascii="Book Antiqua" w:hAnsi="Book Antiqua"/>
          <w:color w:val="000000" w:themeColor="text1"/>
          <w:sz w:val="24"/>
        </w:rPr>
        <w:t>05</w:t>
      </w:r>
      <w:r w:rsidR="00642662" w:rsidRPr="00E224E9">
        <w:rPr>
          <w:rFonts w:ascii="Book Antiqua" w:hAnsi="Book Antiqua" w:hint="eastAsia"/>
          <w:color w:val="000000" w:themeColor="text1"/>
          <w:sz w:val="24"/>
        </w:rPr>
        <w:t>-1</w:t>
      </w:r>
      <w:r w:rsidR="004535D4" w:rsidRPr="00E224E9">
        <w:rPr>
          <w:rFonts w:ascii="Book Antiqua" w:hAnsi="Book Antiqua" w:hint="eastAsia"/>
          <w:color w:val="000000" w:themeColor="text1"/>
          <w:sz w:val="24"/>
        </w:rPr>
        <w:t>：</w:t>
      </w:r>
      <w:r w:rsidRPr="00E224E9">
        <w:rPr>
          <w:rFonts w:ascii="Book Antiqua" w:hAnsi="標楷體"/>
          <w:color w:val="000000" w:themeColor="text1"/>
          <w:sz w:val="24"/>
        </w:rPr>
        <w:t>資金運用表</w:t>
      </w:r>
      <w:r w:rsidR="001D451B" w:rsidRPr="00E224E9">
        <w:rPr>
          <w:rFonts w:ascii="Book Antiqua" w:hAnsi="標楷體" w:hint="eastAsia"/>
          <w:color w:val="000000" w:themeColor="text1"/>
          <w:sz w:val="24"/>
        </w:rPr>
        <w:t>」</w:t>
      </w: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135A46" w:rsidRPr="00E224E9">
        <w:rPr>
          <w:rFonts w:ascii="Book Antiqua" w:hAnsi="標楷體"/>
          <w:color w:val="000000" w:themeColor="text1"/>
          <w:sz w:val="24"/>
        </w:rPr>
        <w:t>52</w:t>
      </w:r>
      <w:r w:rsidRPr="00E224E9">
        <w:rPr>
          <w:rFonts w:ascii="Book Antiqua" w:hAnsi="標楷體"/>
          <w:color w:val="000000" w:themeColor="text1"/>
          <w:sz w:val="24"/>
        </w:rPr>
        <w:t>金來源總計。</w:t>
      </w:r>
    </w:p>
    <w:p w14:paraId="7F83C81B" w14:textId="77777777" w:rsidR="00065C53" w:rsidRPr="00E224E9" w:rsidRDefault="00065C53" w:rsidP="005D67C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190177" w:rsidRPr="00E224E9">
        <w:rPr>
          <w:rFonts w:ascii="Book Antiqua" w:hAnsi="Book Antiqua" w:hint="eastAsia"/>
          <w:color w:val="000000" w:themeColor="text1"/>
          <w:sz w:val="24"/>
        </w:rPr>
        <w:t>30</w:t>
      </w:r>
      <w:r w:rsidRPr="00E224E9">
        <w:rPr>
          <w:rFonts w:ascii="Book Antiqua" w:hAnsi="標楷體"/>
          <w:color w:val="000000" w:themeColor="text1"/>
          <w:sz w:val="24"/>
        </w:rPr>
        <w:t>欄－保管情形</w:t>
      </w:r>
    </w:p>
    <w:p w14:paraId="7DA0BE6C" w14:textId="77777777" w:rsidR="00065C53" w:rsidRPr="00E224E9" w:rsidRDefault="00065C53" w:rsidP="00C74DED">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保管情形請填保管機構名稱及帳號</w:t>
      </w:r>
      <w:r w:rsidR="00946FB7" w:rsidRPr="00E224E9">
        <w:rPr>
          <w:rFonts w:ascii="Book Antiqua" w:hAnsi="Book Antiqua" w:hint="eastAsia"/>
          <w:color w:val="000000" w:themeColor="text1"/>
          <w:sz w:val="24"/>
        </w:rPr>
        <w:t>，</w:t>
      </w:r>
      <w:r w:rsidRPr="00E224E9">
        <w:rPr>
          <w:rFonts w:ascii="Book Antiqua" w:hAnsi="標楷體"/>
          <w:color w:val="000000" w:themeColor="text1"/>
          <w:sz w:val="24"/>
        </w:rPr>
        <w:t>若屬集保帳戶請填集保。</w:t>
      </w:r>
    </w:p>
    <w:p w14:paraId="1AB636F0" w14:textId="77777777" w:rsidR="00065C53" w:rsidRPr="00E224E9" w:rsidRDefault="00065C53" w:rsidP="00C74DED">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3</w:t>
      </w:r>
      <w:r w:rsidR="00190177" w:rsidRPr="00E224E9">
        <w:rPr>
          <w:rFonts w:ascii="Book Antiqua" w:hAnsi="Book Antiqua" w:hint="eastAsia"/>
          <w:color w:val="000000" w:themeColor="text1"/>
          <w:sz w:val="24"/>
        </w:rPr>
        <w:t>1</w:t>
      </w:r>
      <w:r w:rsidRPr="00E224E9">
        <w:rPr>
          <w:rFonts w:ascii="Book Antiqua" w:hAnsi="標楷體"/>
          <w:color w:val="000000" w:themeColor="text1"/>
          <w:sz w:val="24"/>
        </w:rPr>
        <w:t>欄－備註</w:t>
      </w:r>
    </w:p>
    <w:p w14:paraId="5B6658D9" w14:textId="77777777" w:rsidR="00065C53" w:rsidRPr="00E224E9" w:rsidRDefault="00065C53" w:rsidP="00F3152E">
      <w:pPr>
        <w:spacing w:line="440" w:lineRule="exact"/>
        <w:ind w:firstLineChars="200" w:firstLine="480"/>
        <w:rPr>
          <w:rFonts w:ascii="Book Antiqua" w:hAnsi="Book Antiqua"/>
          <w:color w:val="000000" w:themeColor="text1"/>
          <w:sz w:val="24"/>
        </w:rPr>
      </w:pPr>
      <w:r w:rsidRPr="00E224E9">
        <w:rPr>
          <w:rFonts w:ascii="Book Antiqua" w:hAnsi="標楷體"/>
          <w:color w:val="000000" w:themeColor="text1"/>
          <w:sz w:val="24"/>
        </w:rPr>
        <w:t>若有其他需要補充說明之事項，請填列於此欄。</w:t>
      </w:r>
    </w:p>
    <w:p w14:paraId="006B5780" w14:textId="77777777" w:rsidR="00065C53" w:rsidRPr="00E224E9" w:rsidRDefault="00065C53">
      <w:pPr>
        <w:tabs>
          <w:tab w:val="left" w:pos="7093"/>
        </w:tabs>
        <w:spacing w:line="440" w:lineRule="exact"/>
        <w:jc w:val="both"/>
        <w:rPr>
          <w:rFonts w:ascii="Book Antiqua" w:hAnsi="Book Antiqua"/>
          <w:color w:val="000000" w:themeColor="text1"/>
        </w:rPr>
      </w:pPr>
    </w:p>
    <w:p w14:paraId="310874BC" w14:textId="77777777" w:rsidR="00065C53" w:rsidRPr="00E224E9" w:rsidRDefault="00065C53">
      <w:pPr>
        <w:tabs>
          <w:tab w:val="left" w:pos="7093"/>
        </w:tabs>
        <w:spacing w:line="440" w:lineRule="exact"/>
        <w:jc w:val="both"/>
        <w:rPr>
          <w:rFonts w:ascii="Book Antiqua" w:hAnsi="Book Antiqua"/>
          <w:color w:val="000000" w:themeColor="text1"/>
        </w:rPr>
      </w:pPr>
    </w:p>
    <w:p w14:paraId="2C7322B8" w14:textId="77777777" w:rsidR="00065C53" w:rsidRPr="00E224E9" w:rsidRDefault="00065C53">
      <w:pPr>
        <w:tabs>
          <w:tab w:val="left" w:pos="7093"/>
        </w:tabs>
        <w:spacing w:line="440" w:lineRule="exact"/>
        <w:jc w:val="both"/>
        <w:rPr>
          <w:rFonts w:ascii="Book Antiqua" w:hAnsi="Book Antiqua"/>
          <w:color w:val="000000" w:themeColor="text1"/>
        </w:rPr>
      </w:pPr>
    </w:p>
    <w:p w14:paraId="5807CAB1" w14:textId="77777777" w:rsidR="00065C53" w:rsidRPr="00E224E9" w:rsidRDefault="00065C53">
      <w:pPr>
        <w:tabs>
          <w:tab w:val="left" w:pos="7093"/>
        </w:tabs>
        <w:spacing w:line="440" w:lineRule="exact"/>
        <w:jc w:val="both"/>
        <w:rPr>
          <w:rFonts w:ascii="Book Antiqua" w:hAnsi="Book Antiqua"/>
          <w:color w:val="000000" w:themeColor="text1"/>
        </w:rPr>
      </w:pPr>
    </w:p>
    <w:p w14:paraId="3DF7C254" w14:textId="77777777" w:rsidR="00065C53" w:rsidRPr="00E224E9" w:rsidRDefault="00065C53">
      <w:pPr>
        <w:tabs>
          <w:tab w:val="left" w:pos="7093"/>
        </w:tabs>
        <w:spacing w:line="440" w:lineRule="exact"/>
        <w:jc w:val="both"/>
        <w:rPr>
          <w:rFonts w:ascii="Book Antiqua" w:hAnsi="Book Antiqua"/>
          <w:color w:val="000000" w:themeColor="text1"/>
        </w:rPr>
      </w:pPr>
    </w:p>
    <w:p w14:paraId="64E6E063" w14:textId="77777777" w:rsidR="00065C53" w:rsidRPr="00E224E9" w:rsidRDefault="00065C53">
      <w:pPr>
        <w:tabs>
          <w:tab w:val="left" w:pos="7093"/>
        </w:tabs>
        <w:spacing w:line="440" w:lineRule="exact"/>
        <w:jc w:val="both"/>
        <w:rPr>
          <w:rFonts w:ascii="Book Antiqua" w:hAnsi="Book Antiqua"/>
          <w:color w:val="000000" w:themeColor="text1"/>
        </w:rPr>
      </w:pPr>
    </w:p>
    <w:p w14:paraId="083B27EF" w14:textId="77777777" w:rsidR="00065C53" w:rsidRPr="00E224E9" w:rsidRDefault="00065C53">
      <w:pPr>
        <w:tabs>
          <w:tab w:val="left" w:pos="7093"/>
        </w:tabs>
        <w:spacing w:line="440" w:lineRule="exact"/>
        <w:jc w:val="both"/>
        <w:rPr>
          <w:rFonts w:ascii="Book Antiqua" w:hAnsi="Book Antiqua"/>
          <w:color w:val="000000" w:themeColor="text1"/>
        </w:rPr>
      </w:pPr>
    </w:p>
    <w:p w14:paraId="6077B9DD" w14:textId="77777777" w:rsidR="00065C53" w:rsidRPr="00E224E9" w:rsidRDefault="00065C53">
      <w:pPr>
        <w:tabs>
          <w:tab w:val="left" w:pos="7093"/>
        </w:tabs>
        <w:spacing w:line="440" w:lineRule="exact"/>
        <w:jc w:val="both"/>
        <w:rPr>
          <w:rFonts w:ascii="Book Antiqua" w:hAnsi="Book Antiqua"/>
          <w:color w:val="000000" w:themeColor="text1"/>
        </w:rPr>
      </w:pPr>
    </w:p>
    <w:p w14:paraId="6C223C68" w14:textId="77777777" w:rsidR="00065C53" w:rsidRPr="00E224E9" w:rsidRDefault="00065C53">
      <w:pPr>
        <w:pStyle w:val="1"/>
        <w:spacing w:afterLines="0" w:line="440" w:lineRule="exact"/>
        <w:rPr>
          <w:color w:val="000000" w:themeColor="text1"/>
        </w:rPr>
      </w:pPr>
      <w:r w:rsidRPr="00E224E9">
        <w:rPr>
          <w:rFonts w:ascii="Book Antiqua" w:hAnsi="Book Antiqua"/>
          <w:color w:val="000000" w:themeColor="text1"/>
        </w:rPr>
        <w:br w:type="page"/>
      </w:r>
      <w:bookmarkStart w:id="48" w:name="_Toc219109734"/>
      <w:bookmarkStart w:id="49" w:name="_Toc219109806"/>
      <w:bookmarkStart w:id="50" w:name="_Toc221524777"/>
      <w:bookmarkStart w:id="51" w:name="_Toc296928222"/>
      <w:bookmarkStart w:id="52" w:name="_Toc200468523"/>
      <w:r w:rsidRPr="00E224E9">
        <w:rPr>
          <w:color w:val="000000" w:themeColor="text1"/>
        </w:rPr>
        <w:lastRenderedPageBreak/>
        <w:t>表11-2：公司債餘額明細表(總計)</w:t>
      </w:r>
      <w:bookmarkEnd w:id="48"/>
      <w:bookmarkEnd w:id="49"/>
      <w:bookmarkEnd w:id="50"/>
      <w:bookmarkEnd w:id="51"/>
      <w:bookmarkEnd w:id="52"/>
    </w:p>
    <w:p w14:paraId="78745BE9" w14:textId="77777777" w:rsidR="00065C53" w:rsidRPr="00E224E9" w:rsidRDefault="00065C53">
      <w:pPr>
        <w:spacing w:line="440" w:lineRule="exact"/>
        <w:ind w:firstLineChars="200" w:firstLine="480"/>
        <w:jc w:val="both"/>
        <w:rPr>
          <w:rFonts w:ascii="Book Antiqua" w:hAnsi="Book Antiqua"/>
          <w:color w:val="000000" w:themeColor="text1"/>
          <w:sz w:val="24"/>
        </w:rPr>
      </w:pPr>
      <w:r w:rsidRPr="00E224E9">
        <w:rPr>
          <w:rFonts w:ascii="Book Antiqua" w:hAnsi="標楷體"/>
          <w:color w:val="000000" w:themeColor="text1"/>
          <w:sz w:val="24"/>
        </w:rPr>
        <w:t>本報表的目的在於統計保險業金融債券及其他經主管機關核准贖買之有價證券使用及配置情形。</w:t>
      </w:r>
    </w:p>
    <w:p w14:paraId="22F6FCD9"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各項之欄位說明如下：</w:t>
      </w:r>
    </w:p>
    <w:p w14:paraId="784EC667" w14:textId="77777777" w:rsidR="00065C53" w:rsidRPr="00E224E9" w:rsidRDefault="00065C53">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11</w:t>
      </w:r>
      <w:r w:rsidRPr="00E224E9">
        <w:rPr>
          <w:rFonts w:ascii="Book Antiqua" w:hAnsi="標楷體"/>
          <w:color w:val="000000" w:themeColor="text1"/>
          <w:sz w:val="24"/>
        </w:rPr>
        <w:t>欄－備註</w:t>
      </w:r>
    </w:p>
    <w:p w14:paraId="011E58C1" w14:textId="77777777" w:rsidR="00065C53" w:rsidRPr="00E224E9" w:rsidRDefault="00065C53">
      <w:pPr>
        <w:ind w:firstLineChars="200" w:firstLine="480"/>
        <w:rPr>
          <w:rFonts w:ascii="Book Antiqua" w:hAnsi="Book Antiqua"/>
          <w:color w:val="000000" w:themeColor="text1"/>
          <w:sz w:val="24"/>
        </w:rPr>
      </w:pPr>
      <w:r w:rsidRPr="00E224E9">
        <w:rPr>
          <w:rFonts w:ascii="Book Antiqua" w:hAnsi="標楷體"/>
          <w:color w:val="000000" w:themeColor="text1"/>
          <w:sz w:val="24"/>
        </w:rPr>
        <w:t>若有其他需要補充說明之事項，請填列於此欄。</w:t>
      </w:r>
    </w:p>
    <w:p w14:paraId="043F96FE"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1~11</w:t>
      </w:r>
      <w:r w:rsidRPr="00E224E9">
        <w:rPr>
          <w:rFonts w:ascii="Book Antiqua" w:hAnsi="標楷體"/>
          <w:color w:val="000000" w:themeColor="text1"/>
          <w:sz w:val="24"/>
        </w:rPr>
        <w:t>列－總計</w:t>
      </w:r>
      <w:r w:rsidRPr="00E224E9">
        <w:rPr>
          <w:rFonts w:ascii="Book Antiqua" w:hAnsi="Book Antiqua"/>
          <w:color w:val="000000" w:themeColor="text1"/>
          <w:sz w:val="24"/>
        </w:rPr>
        <w:t>(</w:t>
      </w:r>
      <w:r w:rsidRPr="00E224E9">
        <w:rPr>
          <w:rFonts w:ascii="Book Antiqua" w:hAnsi="標楷體"/>
          <w:color w:val="000000" w:themeColor="text1"/>
          <w:sz w:val="24"/>
        </w:rPr>
        <w:t>交易對象</w:t>
      </w:r>
      <w:r w:rsidRPr="00E224E9">
        <w:rPr>
          <w:rFonts w:ascii="Book Antiqua" w:hAnsi="Book Antiqua"/>
          <w:color w:val="000000" w:themeColor="text1"/>
          <w:sz w:val="24"/>
        </w:rPr>
        <w:t>)</w:t>
      </w:r>
      <w:r w:rsidRPr="00E224E9">
        <w:rPr>
          <w:rFonts w:ascii="Book Antiqua" w:hAnsi="Book Antiqua"/>
          <w:color w:val="000000" w:themeColor="text1"/>
          <w:sz w:val="24"/>
        </w:rPr>
        <w:tab/>
      </w:r>
    </w:p>
    <w:p w14:paraId="16904E91" w14:textId="77777777" w:rsidR="00065C53" w:rsidRPr="00E224E9" w:rsidRDefault="00065C53">
      <w:pPr>
        <w:ind w:leftChars="183" w:left="476" w:firstLineChars="1" w:firstLine="2"/>
        <w:rPr>
          <w:rFonts w:ascii="Book Antiqua" w:hAnsi="Book Antiqua"/>
          <w:color w:val="000000" w:themeColor="text1"/>
          <w:sz w:val="24"/>
        </w:rPr>
      </w:pPr>
      <w:r w:rsidRPr="00E224E9">
        <w:rPr>
          <w:rFonts w:ascii="Book Antiqua" w:hAnsi="標楷體"/>
          <w:color w:val="000000" w:themeColor="text1"/>
          <w:sz w:val="24"/>
        </w:rPr>
        <w:t>分別依表</w:t>
      </w:r>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12</w:t>
      </w:r>
      <w:r w:rsidRPr="00E224E9">
        <w:rPr>
          <w:rFonts w:ascii="Book Antiqua" w:hAnsi="標楷體"/>
          <w:color w:val="000000" w:themeColor="text1"/>
          <w:sz w:val="24"/>
        </w:rPr>
        <w:t>欄－投資型態及第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欄－持有資產幣別篩選之合計數。第</w:t>
      </w:r>
      <w:r w:rsidRPr="00E224E9">
        <w:rPr>
          <w:rFonts w:ascii="Book Antiqua" w:hAnsi="Book Antiqua"/>
          <w:color w:val="000000" w:themeColor="text1"/>
          <w:sz w:val="24"/>
        </w:rPr>
        <w:t>1</w:t>
      </w:r>
      <w:r w:rsidRPr="00E224E9">
        <w:rPr>
          <w:rFonts w:ascii="Book Antiqua" w:hAnsi="標楷體"/>
          <w:color w:val="000000" w:themeColor="text1"/>
          <w:sz w:val="24"/>
        </w:rPr>
        <w:t>列為第</w:t>
      </w:r>
      <w:r w:rsidRPr="00E224E9">
        <w:rPr>
          <w:rFonts w:ascii="Book Antiqua" w:hAnsi="Book Antiqua"/>
          <w:color w:val="000000" w:themeColor="text1"/>
          <w:sz w:val="24"/>
        </w:rPr>
        <w:t>2~5</w:t>
      </w:r>
      <w:r w:rsidRPr="00E224E9">
        <w:rPr>
          <w:rFonts w:ascii="Book Antiqua" w:hAnsi="標楷體"/>
          <w:color w:val="000000" w:themeColor="text1"/>
          <w:sz w:val="24"/>
        </w:rPr>
        <w:t>列加總，第</w:t>
      </w:r>
      <w:r w:rsidRPr="00E224E9">
        <w:rPr>
          <w:rFonts w:ascii="Book Antiqua" w:hAnsi="Book Antiqua"/>
          <w:color w:val="000000" w:themeColor="text1"/>
          <w:sz w:val="24"/>
        </w:rPr>
        <w:t>6</w:t>
      </w:r>
      <w:r w:rsidRPr="00E224E9">
        <w:rPr>
          <w:rFonts w:ascii="Book Antiqua" w:hAnsi="標楷體"/>
          <w:color w:val="000000" w:themeColor="text1"/>
          <w:sz w:val="24"/>
        </w:rPr>
        <w:t>列為第</w:t>
      </w:r>
      <w:r w:rsidRPr="00E224E9">
        <w:rPr>
          <w:rFonts w:ascii="Book Antiqua" w:hAnsi="Book Antiqua"/>
          <w:color w:val="000000" w:themeColor="text1"/>
          <w:sz w:val="24"/>
        </w:rPr>
        <w:t>7~10</w:t>
      </w:r>
      <w:r w:rsidRPr="00E224E9">
        <w:rPr>
          <w:rFonts w:ascii="Book Antiqua" w:hAnsi="標楷體"/>
          <w:color w:val="000000" w:themeColor="text1"/>
          <w:sz w:val="24"/>
        </w:rPr>
        <w:t>列加總，第</w:t>
      </w:r>
      <w:r w:rsidRPr="00E224E9">
        <w:rPr>
          <w:rFonts w:ascii="Book Antiqua" w:hAnsi="Book Antiqua"/>
          <w:color w:val="000000" w:themeColor="text1"/>
          <w:sz w:val="24"/>
        </w:rPr>
        <w:t>11</w:t>
      </w:r>
      <w:r w:rsidRPr="00E224E9">
        <w:rPr>
          <w:rFonts w:ascii="Book Antiqua" w:hAnsi="標楷體"/>
          <w:color w:val="000000" w:themeColor="text1"/>
          <w:sz w:val="24"/>
        </w:rPr>
        <w:t>列為第</w:t>
      </w:r>
      <w:r w:rsidRPr="00E224E9">
        <w:rPr>
          <w:rFonts w:ascii="Book Antiqua" w:hAnsi="Book Antiqua"/>
          <w:color w:val="000000" w:themeColor="text1"/>
          <w:sz w:val="24"/>
        </w:rPr>
        <w:t>1</w:t>
      </w:r>
      <w:r w:rsidRPr="00E224E9">
        <w:rPr>
          <w:rFonts w:ascii="Book Antiqua" w:hAnsi="標楷體"/>
          <w:color w:val="000000" w:themeColor="text1"/>
          <w:sz w:val="24"/>
        </w:rPr>
        <w:t>、</w:t>
      </w:r>
      <w:r w:rsidRPr="00E224E9">
        <w:rPr>
          <w:rFonts w:ascii="Book Antiqua" w:hAnsi="Book Antiqua"/>
          <w:color w:val="000000" w:themeColor="text1"/>
          <w:sz w:val="24"/>
        </w:rPr>
        <w:t>6</w:t>
      </w:r>
      <w:r w:rsidRPr="00E224E9">
        <w:rPr>
          <w:rFonts w:ascii="Book Antiqua" w:hAnsi="標楷體"/>
          <w:color w:val="000000" w:themeColor="text1"/>
          <w:sz w:val="24"/>
        </w:rPr>
        <w:t>列加總。</w:t>
      </w:r>
    </w:p>
    <w:p w14:paraId="3922C9CE"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12~16</w:t>
      </w:r>
      <w:r w:rsidRPr="00E224E9">
        <w:rPr>
          <w:rFonts w:ascii="Book Antiqua" w:hAnsi="標楷體"/>
          <w:color w:val="000000" w:themeColor="text1"/>
          <w:sz w:val="24"/>
        </w:rPr>
        <w:t>列－總計</w:t>
      </w:r>
      <w:r w:rsidRPr="00E224E9">
        <w:rPr>
          <w:rFonts w:ascii="Book Antiqua" w:hAnsi="Book Antiqua"/>
          <w:color w:val="000000" w:themeColor="text1"/>
          <w:sz w:val="24"/>
        </w:rPr>
        <w:t>(</w:t>
      </w:r>
      <w:r w:rsidRPr="00E224E9">
        <w:rPr>
          <w:rFonts w:ascii="Book Antiqua" w:hAnsi="標楷體"/>
          <w:color w:val="000000" w:themeColor="text1"/>
          <w:sz w:val="24"/>
        </w:rPr>
        <w:t>交易種類</w:t>
      </w:r>
      <w:r w:rsidRPr="00E224E9">
        <w:rPr>
          <w:rFonts w:ascii="Book Antiqua" w:hAnsi="Book Antiqua"/>
          <w:color w:val="000000" w:themeColor="text1"/>
          <w:sz w:val="24"/>
        </w:rPr>
        <w:t>)</w:t>
      </w:r>
      <w:r w:rsidRPr="00E224E9">
        <w:rPr>
          <w:rFonts w:ascii="Book Antiqua" w:hAnsi="Book Antiqua"/>
          <w:color w:val="000000" w:themeColor="text1"/>
          <w:sz w:val="24"/>
        </w:rPr>
        <w:tab/>
      </w:r>
    </w:p>
    <w:p w14:paraId="06A4B618" w14:textId="77777777" w:rsidR="00065C53" w:rsidRPr="00E224E9" w:rsidRDefault="00065C53">
      <w:pPr>
        <w:ind w:leftChars="182" w:left="485" w:hangingChars="5" w:hanging="12"/>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12~15</w:t>
      </w:r>
      <w:r w:rsidRPr="00E224E9">
        <w:rPr>
          <w:rFonts w:ascii="Book Antiqua" w:hAnsi="標楷體"/>
          <w:color w:val="000000" w:themeColor="text1"/>
          <w:sz w:val="24"/>
        </w:rPr>
        <w:t>列依表</w:t>
      </w:r>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11</w:t>
      </w:r>
      <w:r w:rsidRPr="00E224E9">
        <w:rPr>
          <w:rFonts w:ascii="Book Antiqua" w:hAnsi="標楷體"/>
          <w:color w:val="000000" w:themeColor="text1"/>
          <w:sz w:val="24"/>
        </w:rPr>
        <w:t>欄－交易種類及第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欄－持有資產幣別篩選之合計數。第</w:t>
      </w:r>
      <w:r w:rsidRPr="00E224E9">
        <w:rPr>
          <w:rFonts w:ascii="Book Antiqua" w:hAnsi="Book Antiqua"/>
          <w:color w:val="000000" w:themeColor="text1"/>
          <w:sz w:val="24"/>
        </w:rPr>
        <w:t>16</w:t>
      </w:r>
      <w:r w:rsidRPr="00E224E9">
        <w:rPr>
          <w:rFonts w:ascii="Book Antiqua" w:hAnsi="標楷體"/>
          <w:color w:val="000000" w:themeColor="text1"/>
          <w:sz w:val="24"/>
        </w:rPr>
        <w:t>列為第</w:t>
      </w:r>
      <w:r w:rsidRPr="00E224E9">
        <w:rPr>
          <w:rFonts w:ascii="Book Antiqua" w:hAnsi="Book Antiqua"/>
          <w:color w:val="000000" w:themeColor="text1"/>
          <w:sz w:val="24"/>
        </w:rPr>
        <w:t>12~15</w:t>
      </w:r>
      <w:r w:rsidRPr="00E224E9">
        <w:rPr>
          <w:rFonts w:ascii="Book Antiqua" w:hAnsi="標楷體"/>
          <w:color w:val="000000" w:themeColor="text1"/>
          <w:sz w:val="24"/>
        </w:rPr>
        <w:t>列合計數，亦等於第</w:t>
      </w:r>
      <w:r w:rsidRPr="00E224E9">
        <w:rPr>
          <w:rFonts w:ascii="Book Antiqua" w:hAnsi="Book Antiqua"/>
          <w:color w:val="000000" w:themeColor="text1"/>
          <w:sz w:val="24"/>
        </w:rPr>
        <w:t>11</w:t>
      </w:r>
      <w:r w:rsidRPr="00E224E9">
        <w:rPr>
          <w:rFonts w:ascii="Book Antiqua" w:hAnsi="標楷體"/>
          <w:color w:val="000000" w:themeColor="text1"/>
          <w:sz w:val="24"/>
        </w:rPr>
        <w:t>列小計。</w:t>
      </w:r>
    </w:p>
    <w:p w14:paraId="77EA5CA1"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17</w:t>
      </w:r>
      <w:r w:rsidRPr="00E224E9">
        <w:rPr>
          <w:rFonts w:ascii="Book Antiqua" w:hAnsi="標楷體"/>
          <w:color w:val="000000" w:themeColor="text1"/>
          <w:sz w:val="24"/>
        </w:rPr>
        <w:t>列－創業投資事業公司債</w:t>
      </w:r>
      <w:r w:rsidRPr="00E224E9">
        <w:rPr>
          <w:rFonts w:ascii="Book Antiqua" w:hAnsi="Book Antiqua"/>
          <w:color w:val="000000" w:themeColor="text1"/>
          <w:sz w:val="24"/>
        </w:rPr>
        <w:tab/>
      </w:r>
    </w:p>
    <w:p w14:paraId="74F0893E" w14:textId="77777777" w:rsidR="00065C53" w:rsidRPr="00E224E9" w:rsidRDefault="00065C53">
      <w:pPr>
        <w:ind w:leftChars="183" w:left="488" w:hangingChars="5" w:hanging="12"/>
        <w:rPr>
          <w:rFonts w:ascii="Book Antiqua" w:hAnsi="Book Antiqua"/>
          <w:color w:val="000000" w:themeColor="text1"/>
          <w:sz w:val="24"/>
        </w:rPr>
      </w:pPr>
      <w:r w:rsidRPr="00E224E9">
        <w:rPr>
          <w:rFonts w:ascii="Book Antiqua" w:hAnsi="標楷體"/>
          <w:color w:val="000000" w:themeColor="text1"/>
          <w:sz w:val="24"/>
        </w:rPr>
        <w:t>分別依表</w:t>
      </w:r>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13</w:t>
      </w:r>
      <w:r w:rsidRPr="00E224E9">
        <w:rPr>
          <w:rFonts w:ascii="Book Antiqua" w:hAnsi="標楷體"/>
          <w:color w:val="000000" w:themeColor="text1"/>
          <w:sz w:val="24"/>
        </w:rPr>
        <w:t>欄－是否為專案運用公共及社會福利事業投資</w:t>
      </w:r>
      <w:r w:rsidRPr="00E224E9">
        <w:rPr>
          <w:rFonts w:ascii="Book Antiqua" w:hAnsi="Book Antiqua"/>
          <w:color w:val="000000" w:themeColor="text1"/>
          <w:sz w:val="24"/>
        </w:rPr>
        <w:t>B.</w:t>
      </w:r>
      <w:r w:rsidRPr="00E224E9">
        <w:rPr>
          <w:rFonts w:ascii="Book Antiqua" w:hAnsi="標楷體"/>
          <w:color w:val="000000" w:themeColor="text1"/>
          <w:sz w:val="24"/>
        </w:rPr>
        <w:t>專案運用</w:t>
      </w:r>
      <w:r w:rsidRPr="00E224E9">
        <w:rPr>
          <w:rFonts w:ascii="Book Antiqua" w:hAnsi="Book Antiqua"/>
          <w:color w:val="000000" w:themeColor="text1"/>
          <w:sz w:val="24"/>
        </w:rPr>
        <w:t>-</w:t>
      </w:r>
      <w:r w:rsidRPr="00E224E9">
        <w:rPr>
          <w:rFonts w:ascii="Book Antiqua" w:hAnsi="標楷體"/>
          <w:color w:val="000000" w:themeColor="text1"/>
          <w:sz w:val="24"/>
        </w:rPr>
        <w:t>創業投資及第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w:t>
      </w:r>
    </w:p>
    <w:p w14:paraId="4ACDF9FF"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18</w:t>
      </w:r>
      <w:r w:rsidRPr="00E224E9">
        <w:rPr>
          <w:rFonts w:ascii="Book Antiqua" w:hAnsi="標楷體"/>
          <w:color w:val="000000" w:themeColor="text1"/>
          <w:sz w:val="24"/>
        </w:rPr>
        <w:t>列－有擔保公司債</w:t>
      </w:r>
    </w:p>
    <w:p w14:paraId="5AFC89D2" w14:textId="77777777" w:rsidR="00065C53" w:rsidRPr="00E224E9" w:rsidRDefault="00065C53">
      <w:pPr>
        <w:ind w:leftChars="183" w:left="488" w:hangingChars="5" w:hanging="12"/>
        <w:rPr>
          <w:rFonts w:ascii="Book Antiqua" w:hAnsi="Book Antiqua"/>
          <w:color w:val="000000" w:themeColor="text1"/>
          <w:sz w:val="24"/>
        </w:rPr>
      </w:pPr>
      <w:r w:rsidRPr="00E224E9">
        <w:rPr>
          <w:rFonts w:ascii="Book Antiqua" w:hAnsi="標楷體"/>
          <w:color w:val="000000" w:themeColor="text1"/>
          <w:sz w:val="24"/>
        </w:rPr>
        <w:t>分別依表</w:t>
      </w:r>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16</w:t>
      </w:r>
      <w:r w:rsidRPr="00E224E9">
        <w:rPr>
          <w:rFonts w:ascii="Book Antiqua" w:hAnsi="標楷體"/>
          <w:color w:val="000000" w:themeColor="text1"/>
          <w:sz w:val="24"/>
        </w:rPr>
        <w:t>欄－是否為擔保公司債</w:t>
      </w:r>
      <w:r w:rsidRPr="00E224E9">
        <w:rPr>
          <w:rFonts w:ascii="Book Antiqua" w:hAnsi="Book Antiqua"/>
          <w:color w:val="000000" w:themeColor="text1"/>
          <w:sz w:val="24"/>
        </w:rPr>
        <w:t>A.</w:t>
      </w:r>
      <w:r w:rsidRPr="00E224E9">
        <w:rPr>
          <w:rFonts w:ascii="Book Antiqua" w:hAnsi="標楷體"/>
          <w:color w:val="000000" w:themeColor="text1"/>
          <w:sz w:val="24"/>
        </w:rPr>
        <w:t>有擔保公司債及第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w:t>
      </w:r>
    </w:p>
    <w:p w14:paraId="2540237E"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19</w:t>
      </w:r>
      <w:r w:rsidRPr="00E224E9">
        <w:rPr>
          <w:rFonts w:ascii="Book Antiqua" w:hAnsi="標楷體"/>
          <w:color w:val="000000" w:themeColor="text1"/>
          <w:sz w:val="24"/>
        </w:rPr>
        <w:t>列－無擔保公司債</w:t>
      </w:r>
      <w:r w:rsidRPr="00E224E9">
        <w:rPr>
          <w:rFonts w:ascii="Book Antiqua" w:hAnsi="Book Antiqua"/>
          <w:color w:val="000000" w:themeColor="text1"/>
          <w:sz w:val="24"/>
        </w:rPr>
        <w:tab/>
      </w:r>
    </w:p>
    <w:p w14:paraId="289E6953" w14:textId="77777777" w:rsidR="00065C53" w:rsidRPr="00E224E9" w:rsidRDefault="00065C53">
      <w:pPr>
        <w:ind w:leftChars="183" w:left="488" w:hangingChars="5" w:hanging="12"/>
        <w:rPr>
          <w:rFonts w:ascii="Book Antiqua" w:hAnsi="Book Antiqua"/>
          <w:color w:val="000000" w:themeColor="text1"/>
          <w:sz w:val="24"/>
        </w:rPr>
      </w:pPr>
      <w:r w:rsidRPr="00E224E9">
        <w:rPr>
          <w:rFonts w:ascii="Book Antiqua" w:hAnsi="標楷體"/>
          <w:color w:val="000000" w:themeColor="text1"/>
          <w:sz w:val="24"/>
        </w:rPr>
        <w:t>分別依表</w:t>
      </w:r>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16</w:t>
      </w:r>
      <w:r w:rsidRPr="00E224E9">
        <w:rPr>
          <w:rFonts w:ascii="Book Antiqua" w:hAnsi="標楷體"/>
          <w:color w:val="000000" w:themeColor="text1"/>
          <w:sz w:val="24"/>
        </w:rPr>
        <w:t>欄－是否為擔保公司債</w:t>
      </w:r>
      <w:r w:rsidRPr="00E224E9">
        <w:rPr>
          <w:rFonts w:ascii="Book Antiqua" w:hAnsi="Book Antiqua"/>
          <w:color w:val="000000" w:themeColor="text1"/>
          <w:sz w:val="24"/>
        </w:rPr>
        <w:t>B.</w:t>
      </w:r>
      <w:r w:rsidRPr="00E224E9">
        <w:rPr>
          <w:rFonts w:ascii="Book Antiqua" w:hAnsi="標楷體"/>
          <w:color w:val="000000" w:themeColor="text1"/>
          <w:sz w:val="24"/>
        </w:rPr>
        <w:t>無擔保公司債及第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w:t>
      </w:r>
    </w:p>
    <w:p w14:paraId="603B52BE"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20</w:t>
      </w:r>
      <w:r w:rsidRPr="00E224E9">
        <w:rPr>
          <w:rFonts w:ascii="Book Antiqua" w:hAnsi="標楷體"/>
          <w:color w:val="000000" w:themeColor="text1"/>
          <w:sz w:val="24"/>
        </w:rPr>
        <w:t>列－可轉換公司債及附認股權公司債</w:t>
      </w:r>
      <w:r w:rsidRPr="00E224E9">
        <w:rPr>
          <w:rFonts w:ascii="Book Antiqua" w:hAnsi="Book Antiqua"/>
          <w:color w:val="000000" w:themeColor="text1"/>
          <w:sz w:val="24"/>
        </w:rPr>
        <w:tab/>
      </w:r>
    </w:p>
    <w:p w14:paraId="5EE228B3" w14:textId="77777777" w:rsidR="00065C53" w:rsidRPr="00E224E9" w:rsidRDefault="00065C53">
      <w:pPr>
        <w:ind w:leftChars="183" w:left="488" w:hangingChars="5" w:hanging="12"/>
        <w:rPr>
          <w:rFonts w:ascii="Book Antiqua" w:hAnsi="Book Antiqua"/>
          <w:color w:val="000000" w:themeColor="text1"/>
          <w:sz w:val="24"/>
        </w:rPr>
      </w:pPr>
      <w:r w:rsidRPr="00E224E9">
        <w:rPr>
          <w:rFonts w:ascii="Book Antiqua" w:hAnsi="標楷體"/>
          <w:color w:val="000000" w:themeColor="text1"/>
          <w:sz w:val="24"/>
        </w:rPr>
        <w:t>分別依表</w:t>
      </w:r>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16</w:t>
      </w:r>
      <w:r w:rsidRPr="00E224E9">
        <w:rPr>
          <w:rFonts w:ascii="Book Antiqua" w:hAnsi="標楷體"/>
          <w:color w:val="000000" w:themeColor="text1"/>
          <w:sz w:val="24"/>
        </w:rPr>
        <w:t>欄－是否為擔保公司債</w:t>
      </w:r>
      <w:r w:rsidRPr="00E224E9">
        <w:rPr>
          <w:rFonts w:ascii="Book Antiqua" w:hAnsi="Book Antiqua"/>
          <w:color w:val="000000" w:themeColor="text1"/>
          <w:sz w:val="24"/>
        </w:rPr>
        <w:t>C.</w:t>
      </w:r>
      <w:r w:rsidRPr="00E224E9">
        <w:rPr>
          <w:rFonts w:ascii="Book Antiqua" w:hAnsi="標楷體"/>
          <w:color w:val="000000" w:themeColor="text1"/>
          <w:sz w:val="24"/>
        </w:rPr>
        <w:t>可轉換公司債及附認股權公司債及第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w:t>
      </w:r>
    </w:p>
    <w:p w14:paraId="25404787"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21</w:t>
      </w:r>
      <w:r w:rsidRPr="00E224E9">
        <w:rPr>
          <w:rFonts w:ascii="Book Antiqua" w:hAnsi="標楷體"/>
          <w:color w:val="000000" w:themeColor="text1"/>
          <w:sz w:val="24"/>
        </w:rPr>
        <w:t>列－私募公司債</w:t>
      </w:r>
      <w:r w:rsidRPr="00E224E9">
        <w:rPr>
          <w:rFonts w:ascii="Book Antiqua" w:hAnsi="Book Antiqua"/>
          <w:color w:val="000000" w:themeColor="text1"/>
          <w:sz w:val="24"/>
        </w:rPr>
        <w:tab/>
      </w:r>
    </w:p>
    <w:p w14:paraId="2E04BA1F" w14:textId="77777777" w:rsidR="00065C53" w:rsidRPr="00E224E9" w:rsidRDefault="00065C53">
      <w:pPr>
        <w:ind w:leftChars="183" w:left="488" w:hangingChars="5" w:hanging="12"/>
        <w:rPr>
          <w:rFonts w:ascii="Book Antiqua" w:hAnsi="標楷體"/>
          <w:color w:val="000000" w:themeColor="text1"/>
          <w:sz w:val="24"/>
        </w:rPr>
      </w:pPr>
      <w:r w:rsidRPr="00E224E9">
        <w:rPr>
          <w:rFonts w:ascii="Book Antiqua" w:hAnsi="標楷體"/>
          <w:color w:val="000000" w:themeColor="text1"/>
          <w:sz w:val="24"/>
        </w:rPr>
        <w:t>分別依表</w:t>
      </w:r>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10</w:t>
      </w:r>
      <w:r w:rsidRPr="00E224E9">
        <w:rPr>
          <w:rFonts w:ascii="Book Antiqua" w:hAnsi="標楷體"/>
          <w:color w:val="000000" w:themeColor="text1"/>
          <w:sz w:val="24"/>
        </w:rPr>
        <w:t>欄－募集方式</w:t>
      </w:r>
      <w:r w:rsidRPr="00E224E9">
        <w:rPr>
          <w:rFonts w:ascii="Book Antiqua" w:hAnsi="Book Antiqua"/>
          <w:color w:val="000000" w:themeColor="text1"/>
          <w:sz w:val="24"/>
        </w:rPr>
        <w:t>B.</w:t>
      </w:r>
      <w:r w:rsidRPr="00E224E9">
        <w:rPr>
          <w:rFonts w:ascii="Book Antiqua" w:hAnsi="標楷體"/>
          <w:color w:val="000000" w:themeColor="text1"/>
          <w:sz w:val="24"/>
        </w:rPr>
        <w:t>私募及第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w:t>
      </w:r>
    </w:p>
    <w:p w14:paraId="0664F3F5" w14:textId="77777777" w:rsidR="00190177" w:rsidRPr="00E224E9" w:rsidRDefault="00190177" w:rsidP="0019017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Book Antiqua" w:hint="eastAsia"/>
          <w:color w:val="000000" w:themeColor="text1"/>
          <w:sz w:val="24"/>
        </w:rPr>
        <w:t>2</w:t>
      </w:r>
      <w:r w:rsidRPr="00E224E9">
        <w:rPr>
          <w:rFonts w:ascii="Book Antiqua" w:hAnsi="標楷體"/>
          <w:color w:val="000000" w:themeColor="text1"/>
          <w:sz w:val="24"/>
        </w:rPr>
        <w:t>列－</w:t>
      </w:r>
      <w:r w:rsidRPr="00E224E9">
        <w:rPr>
          <w:rFonts w:ascii="Book Antiqua" w:hAnsi="標楷體" w:hint="eastAsia"/>
          <w:color w:val="000000" w:themeColor="text1"/>
          <w:sz w:val="24"/>
        </w:rPr>
        <w:t>專案運用公共及社會福利事業投資</w:t>
      </w:r>
    </w:p>
    <w:p w14:paraId="69EFB66C" w14:textId="77777777" w:rsidR="00190177" w:rsidRPr="00E224E9" w:rsidRDefault="00190177" w:rsidP="00190177">
      <w:pPr>
        <w:ind w:leftChars="183" w:left="488" w:hangingChars="5" w:hanging="12"/>
        <w:rPr>
          <w:rFonts w:ascii="Book Antiqua" w:hAnsi="Book Antiqua"/>
          <w:color w:val="000000" w:themeColor="text1"/>
          <w:sz w:val="24"/>
        </w:rPr>
      </w:pPr>
      <w:r w:rsidRPr="00E224E9">
        <w:rPr>
          <w:rFonts w:ascii="Book Antiqua" w:hAnsi="標楷體"/>
          <w:color w:val="000000" w:themeColor="text1"/>
          <w:sz w:val="24"/>
        </w:rPr>
        <w:t>分別依表</w:t>
      </w:r>
      <w:r w:rsidRPr="00E224E9">
        <w:rPr>
          <w:rFonts w:ascii="Book Antiqua" w:hAnsi="Book Antiqua"/>
          <w:color w:val="000000" w:themeColor="text1"/>
          <w:sz w:val="24"/>
        </w:rPr>
        <w:t>11-1</w:t>
      </w:r>
      <w:r w:rsidRPr="00E224E9">
        <w:rPr>
          <w:rFonts w:ascii="Book Antiqua" w:hAnsi="標楷體"/>
          <w:color w:val="000000" w:themeColor="text1"/>
          <w:sz w:val="24"/>
        </w:rPr>
        <w:t>第</w:t>
      </w:r>
      <w:r w:rsidRPr="00E224E9">
        <w:rPr>
          <w:rFonts w:ascii="Book Antiqua" w:hAnsi="Book Antiqua" w:hint="eastAsia"/>
          <w:color w:val="000000" w:themeColor="text1"/>
          <w:sz w:val="24"/>
        </w:rPr>
        <w:t>13</w:t>
      </w:r>
      <w:r w:rsidRPr="00E224E9">
        <w:rPr>
          <w:rFonts w:ascii="Book Antiqua" w:hAnsi="標楷體"/>
          <w:color w:val="000000" w:themeColor="text1"/>
          <w:sz w:val="24"/>
        </w:rPr>
        <w:t>欄－</w:t>
      </w:r>
      <w:r w:rsidRPr="00E224E9">
        <w:rPr>
          <w:rFonts w:ascii="Book Antiqua" w:hAnsi="標楷體" w:hint="eastAsia"/>
          <w:color w:val="000000" w:themeColor="text1"/>
          <w:sz w:val="24"/>
        </w:rPr>
        <w:t>是否為專案運用公共及社會福利事業投資</w:t>
      </w:r>
      <w:r w:rsidR="000C6A59" w:rsidRPr="00E224E9">
        <w:rPr>
          <w:rFonts w:ascii="Book Antiqua" w:hAnsi="標楷體" w:hint="eastAsia"/>
          <w:color w:val="000000" w:themeColor="text1"/>
          <w:sz w:val="24"/>
        </w:rPr>
        <w:t>A.</w:t>
      </w:r>
      <w:r w:rsidR="000C6A59" w:rsidRPr="00E224E9">
        <w:rPr>
          <w:rFonts w:ascii="Book Antiqua" w:hAnsi="標楷體" w:hint="eastAsia"/>
          <w:color w:val="000000" w:themeColor="text1"/>
          <w:sz w:val="24"/>
        </w:rPr>
        <w:t>專案運用</w:t>
      </w:r>
      <w:r w:rsidR="000C6A59" w:rsidRPr="00E224E9">
        <w:rPr>
          <w:rFonts w:ascii="Book Antiqua" w:hAnsi="標楷體" w:hint="eastAsia"/>
          <w:color w:val="000000" w:themeColor="text1"/>
          <w:sz w:val="24"/>
        </w:rPr>
        <w:t>-</w:t>
      </w:r>
      <w:r w:rsidR="000C6A59" w:rsidRPr="00E224E9">
        <w:rPr>
          <w:rFonts w:ascii="Book Antiqua" w:hAnsi="標楷體" w:hint="eastAsia"/>
          <w:color w:val="000000" w:themeColor="text1"/>
          <w:sz w:val="24"/>
        </w:rPr>
        <w:t>非創業投資、</w:t>
      </w:r>
      <w:r w:rsidR="000C6A59" w:rsidRPr="00E224E9">
        <w:rPr>
          <w:rFonts w:ascii="Book Antiqua" w:hAnsi="標楷體" w:hint="eastAsia"/>
          <w:color w:val="000000" w:themeColor="text1"/>
          <w:sz w:val="24"/>
        </w:rPr>
        <w:t>B.</w:t>
      </w:r>
      <w:r w:rsidR="000C6A59" w:rsidRPr="00E224E9">
        <w:rPr>
          <w:rFonts w:ascii="Book Antiqua" w:hAnsi="標楷體" w:hint="eastAsia"/>
          <w:color w:val="000000" w:themeColor="text1"/>
          <w:sz w:val="24"/>
        </w:rPr>
        <w:t>專案運用</w:t>
      </w:r>
      <w:r w:rsidR="000C6A59" w:rsidRPr="00E224E9">
        <w:rPr>
          <w:rFonts w:ascii="Book Antiqua" w:hAnsi="標楷體" w:hint="eastAsia"/>
          <w:color w:val="000000" w:themeColor="text1"/>
          <w:sz w:val="24"/>
        </w:rPr>
        <w:t>-</w:t>
      </w:r>
      <w:r w:rsidR="000C6A59" w:rsidRPr="00E224E9">
        <w:rPr>
          <w:rFonts w:ascii="Book Antiqua" w:hAnsi="標楷體" w:hint="eastAsia"/>
          <w:color w:val="000000" w:themeColor="text1"/>
          <w:sz w:val="24"/>
        </w:rPr>
        <w:t>創業投資及</w:t>
      </w:r>
      <w:r w:rsidR="000C6A59" w:rsidRPr="00E224E9">
        <w:rPr>
          <w:rFonts w:ascii="Book Antiqua" w:hAnsi="標楷體" w:hint="eastAsia"/>
          <w:color w:val="000000" w:themeColor="text1"/>
          <w:sz w:val="24"/>
        </w:rPr>
        <w:t>C.</w:t>
      </w:r>
      <w:r w:rsidR="000C6A59" w:rsidRPr="00E224E9">
        <w:rPr>
          <w:rFonts w:ascii="Book Antiqua" w:hAnsi="標楷體" w:hint="eastAsia"/>
          <w:color w:val="000000" w:themeColor="text1"/>
          <w:sz w:val="24"/>
        </w:rPr>
        <w:t>政策性之專案運用、公共及社會福利事業投資</w:t>
      </w:r>
      <w:r w:rsidR="000C6A59" w:rsidRPr="00E224E9">
        <w:rPr>
          <w:rFonts w:ascii="Book Antiqua" w:hAnsi="標楷體" w:hint="eastAsia"/>
          <w:color w:val="000000" w:themeColor="text1"/>
          <w:sz w:val="24"/>
        </w:rPr>
        <w:t>(</w:t>
      </w:r>
      <w:r w:rsidR="000C6A59" w:rsidRPr="00E224E9">
        <w:rPr>
          <w:rFonts w:ascii="Book Antiqua" w:hAnsi="標楷體" w:hint="eastAsia"/>
          <w:color w:val="000000" w:themeColor="text1"/>
          <w:sz w:val="24"/>
        </w:rPr>
        <w:t>含長期照護產業</w:t>
      </w:r>
      <w:r w:rsidR="000C6A59" w:rsidRPr="00E224E9">
        <w:rPr>
          <w:rFonts w:ascii="Book Antiqua" w:hAnsi="標楷體" w:hint="eastAsia"/>
          <w:color w:val="000000" w:themeColor="text1"/>
          <w:sz w:val="24"/>
        </w:rPr>
        <w:t>)</w:t>
      </w:r>
      <w:r w:rsidR="000C6A59" w:rsidRPr="00E224E9">
        <w:rPr>
          <w:rFonts w:ascii="Book Antiqua" w:hAnsi="標楷體" w:hint="eastAsia"/>
          <w:color w:val="000000" w:themeColor="text1"/>
          <w:sz w:val="24"/>
        </w:rPr>
        <w:t>與其他主管機關核准項目之</w:t>
      </w:r>
      <w:r w:rsidRPr="00E224E9">
        <w:rPr>
          <w:rFonts w:ascii="Book Antiqua" w:hAnsi="標楷體"/>
          <w:color w:val="000000" w:themeColor="text1"/>
          <w:sz w:val="24"/>
        </w:rPr>
        <w:t>合計數</w:t>
      </w:r>
    </w:p>
    <w:p w14:paraId="2C3644D2"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0C6A59" w:rsidRPr="00E224E9">
        <w:rPr>
          <w:rFonts w:ascii="Book Antiqua" w:hAnsi="Book Antiqua" w:hint="eastAsia"/>
          <w:color w:val="000000" w:themeColor="text1"/>
          <w:sz w:val="24"/>
        </w:rPr>
        <w:t>3</w:t>
      </w:r>
      <w:r w:rsidRPr="00E224E9">
        <w:rPr>
          <w:rFonts w:ascii="Book Antiqua" w:hAnsi="Book Antiqua"/>
          <w:color w:val="000000" w:themeColor="text1"/>
          <w:sz w:val="24"/>
        </w:rPr>
        <w:t>~</w:t>
      </w:r>
      <w:r w:rsidR="005F3F81" w:rsidRPr="00E224E9">
        <w:rPr>
          <w:rFonts w:ascii="Book Antiqua" w:hAnsi="Book Antiqua" w:hint="eastAsia"/>
          <w:color w:val="000000" w:themeColor="text1"/>
          <w:sz w:val="24"/>
        </w:rPr>
        <w:t>3</w:t>
      </w:r>
      <w:r w:rsidR="000C6A59" w:rsidRPr="00E224E9">
        <w:rPr>
          <w:rFonts w:ascii="Book Antiqua" w:hAnsi="Book Antiqua" w:hint="eastAsia"/>
          <w:color w:val="000000" w:themeColor="text1"/>
          <w:sz w:val="24"/>
        </w:rPr>
        <w:t>9</w:t>
      </w:r>
      <w:r w:rsidRPr="00E224E9">
        <w:rPr>
          <w:rFonts w:ascii="Book Antiqua" w:hAnsi="標楷體"/>
          <w:color w:val="000000" w:themeColor="text1"/>
          <w:sz w:val="24"/>
        </w:rPr>
        <w:t>列－總計</w:t>
      </w:r>
      <w:r w:rsidRPr="00E224E9">
        <w:rPr>
          <w:rFonts w:ascii="Book Antiqua" w:hAnsi="Book Antiqua"/>
          <w:color w:val="000000" w:themeColor="text1"/>
          <w:sz w:val="24"/>
        </w:rPr>
        <w:t>(</w:t>
      </w:r>
      <w:r w:rsidRPr="00E224E9">
        <w:rPr>
          <w:rFonts w:ascii="Book Antiqua" w:hAnsi="標楷體"/>
          <w:color w:val="000000" w:themeColor="text1"/>
          <w:sz w:val="24"/>
        </w:rPr>
        <w:t>具資本性質債券</w:t>
      </w:r>
      <w:r w:rsidRPr="00E224E9">
        <w:rPr>
          <w:rFonts w:ascii="Book Antiqua" w:hAnsi="Book Antiqua"/>
          <w:color w:val="000000" w:themeColor="text1"/>
          <w:sz w:val="24"/>
        </w:rPr>
        <w:t>)</w:t>
      </w:r>
    </w:p>
    <w:p w14:paraId="38FB023C" w14:textId="77777777" w:rsidR="00065C53" w:rsidRPr="00E224E9" w:rsidRDefault="00065C53">
      <w:pPr>
        <w:ind w:leftChars="183" w:left="488" w:hangingChars="5" w:hanging="12"/>
        <w:rPr>
          <w:rFonts w:ascii="Book Antiqua" w:hAnsi="Book Antiqua"/>
          <w:color w:val="000000" w:themeColor="text1"/>
          <w:sz w:val="24"/>
        </w:rPr>
      </w:pPr>
      <w:r w:rsidRPr="00E224E9">
        <w:rPr>
          <w:rFonts w:ascii="Book Antiqua" w:hAnsi="標楷體"/>
          <w:color w:val="000000" w:themeColor="text1"/>
          <w:sz w:val="24"/>
        </w:rPr>
        <w:t>第</w:t>
      </w:r>
      <w:r w:rsidR="005F3F81" w:rsidRPr="00E224E9">
        <w:rPr>
          <w:rFonts w:ascii="Book Antiqua" w:hAnsi="Book Antiqua" w:hint="eastAsia"/>
          <w:color w:val="000000" w:themeColor="text1"/>
          <w:sz w:val="24"/>
        </w:rPr>
        <w:t>3</w:t>
      </w:r>
      <w:r w:rsidR="000C6A59" w:rsidRPr="00E224E9">
        <w:rPr>
          <w:rFonts w:ascii="Book Antiqua" w:hAnsi="Book Antiqua" w:hint="eastAsia"/>
          <w:color w:val="000000" w:themeColor="text1"/>
          <w:sz w:val="24"/>
        </w:rPr>
        <w:t>9</w:t>
      </w:r>
      <w:r w:rsidRPr="00E224E9">
        <w:rPr>
          <w:rFonts w:ascii="Book Antiqua" w:hAnsi="標楷體"/>
          <w:color w:val="000000" w:themeColor="text1"/>
          <w:sz w:val="24"/>
        </w:rPr>
        <w:t>列</w:t>
      </w:r>
      <w:r w:rsidRPr="00E224E9">
        <w:rPr>
          <w:rFonts w:ascii="Book Antiqua" w:hAnsi="Book Antiqua"/>
          <w:color w:val="000000" w:themeColor="text1"/>
          <w:sz w:val="24"/>
        </w:rPr>
        <w:t>-</w:t>
      </w:r>
      <w:r w:rsidRPr="00E224E9">
        <w:rPr>
          <w:rFonts w:ascii="Book Antiqua" w:hAnsi="標楷體"/>
          <w:color w:val="000000" w:themeColor="text1"/>
          <w:sz w:val="24"/>
        </w:rPr>
        <w:t>小計為第</w:t>
      </w:r>
      <w:r w:rsidRPr="00E224E9">
        <w:rPr>
          <w:rFonts w:ascii="Book Antiqua" w:hAnsi="Book Antiqua"/>
          <w:color w:val="000000" w:themeColor="text1"/>
          <w:sz w:val="24"/>
        </w:rPr>
        <w:t>2</w:t>
      </w:r>
      <w:r w:rsidR="000C6A59" w:rsidRPr="00E224E9">
        <w:rPr>
          <w:rFonts w:ascii="Book Antiqua" w:hAnsi="Book Antiqua" w:hint="eastAsia"/>
          <w:color w:val="000000" w:themeColor="text1"/>
          <w:sz w:val="24"/>
        </w:rPr>
        <w:t>3</w:t>
      </w:r>
      <w:r w:rsidRPr="00E224E9">
        <w:rPr>
          <w:rFonts w:ascii="Book Antiqua" w:hAnsi="標楷體"/>
          <w:color w:val="000000" w:themeColor="text1"/>
          <w:sz w:val="24"/>
        </w:rPr>
        <w:t>列</w:t>
      </w:r>
      <w:r w:rsidR="005F3F81" w:rsidRPr="00E224E9">
        <w:rPr>
          <w:rFonts w:ascii="Book Antiqua" w:hAnsi="標楷體" w:hint="eastAsia"/>
          <w:color w:val="000000" w:themeColor="text1"/>
          <w:sz w:val="24"/>
        </w:rPr>
        <w:t>關係人</w:t>
      </w:r>
      <w:r w:rsidRPr="00E224E9">
        <w:rPr>
          <w:rFonts w:ascii="Book Antiqua" w:hAnsi="標楷體"/>
          <w:color w:val="000000" w:themeColor="text1"/>
          <w:sz w:val="24"/>
        </w:rPr>
        <w:t>與第</w:t>
      </w:r>
      <w:r w:rsidR="005F3F81" w:rsidRPr="00E224E9">
        <w:rPr>
          <w:rFonts w:ascii="Book Antiqua" w:hAnsi="標楷體" w:hint="eastAsia"/>
          <w:color w:val="000000" w:themeColor="text1"/>
          <w:sz w:val="24"/>
        </w:rPr>
        <w:t>3</w:t>
      </w:r>
      <w:r w:rsidR="000C6A59" w:rsidRPr="00E224E9">
        <w:rPr>
          <w:rFonts w:ascii="Book Antiqua" w:hAnsi="標楷體" w:hint="eastAsia"/>
          <w:color w:val="000000" w:themeColor="text1"/>
          <w:sz w:val="24"/>
        </w:rPr>
        <w:t>4</w:t>
      </w:r>
      <w:r w:rsidRPr="00E224E9">
        <w:rPr>
          <w:rFonts w:ascii="Book Antiqua" w:hAnsi="標楷體"/>
          <w:color w:val="000000" w:themeColor="text1"/>
          <w:sz w:val="24"/>
        </w:rPr>
        <w:t>列</w:t>
      </w:r>
      <w:r w:rsidR="005F3F81" w:rsidRPr="00E224E9">
        <w:rPr>
          <w:rFonts w:ascii="Book Antiqua" w:hAnsi="標楷體" w:hint="eastAsia"/>
          <w:color w:val="000000" w:themeColor="text1"/>
          <w:sz w:val="24"/>
        </w:rPr>
        <w:t>非關係人</w:t>
      </w:r>
      <w:r w:rsidRPr="00E224E9">
        <w:rPr>
          <w:rFonts w:ascii="Book Antiqua" w:hAnsi="標楷體"/>
          <w:color w:val="000000" w:themeColor="text1"/>
          <w:sz w:val="24"/>
        </w:rPr>
        <w:t>之合計數，亦等於表</w:t>
      </w:r>
      <w:r w:rsidRPr="00E224E9">
        <w:rPr>
          <w:rFonts w:ascii="Book Antiqua" w:hAnsi="Book Antiqua"/>
          <w:color w:val="000000" w:themeColor="text1"/>
          <w:sz w:val="24"/>
        </w:rPr>
        <w:t>11-1</w:t>
      </w:r>
      <w:r w:rsidRPr="00E224E9">
        <w:rPr>
          <w:rFonts w:ascii="Book Antiqua" w:hAnsi="標楷體"/>
          <w:color w:val="000000" w:themeColor="text1"/>
          <w:sz w:val="24"/>
        </w:rPr>
        <w:t>第</w:t>
      </w:r>
      <w:r w:rsidRPr="00E224E9">
        <w:rPr>
          <w:rFonts w:ascii="Book Antiqua" w:hAnsi="Book Antiqua"/>
          <w:color w:val="000000" w:themeColor="text1"/>
          <w:sz w:val="24"/>
        </w:rPr>
        <w:t>(</w:t>
      </w:r>
      <w:r w:rsidR="00803008" w:rsidRPr="00E224E9">
        <w:rPr>
          <w:rFonts w:ascii="Book Antiqua" w:hAnsi="Book Antiqua" w:hint="eastAsia"/>
          <w:color w:val="000000" w:themeColor="text1"/>
          <w:sz w:val="24"/>
        </w:rPr>
        <w:t>14</w:t>
      </w:r>
      <w:r w:rsidRPr="00E224E9">
        <w:rPr>
          <w:rFonts w:ascii="Book Antiqua" w:hAnsi="Book Antiqua"/>
          <w:color w:val="000000" w:themeColor="text1"/>
          <w:sz w:val="24"/>
        </w:rPr>
        <w:t>)</w:t>
      </w:r>
      <w:r w:rsidRPr="00E224E9">
        <w:rPr>
          <w:rFonts w:ascii="Book Antiqua" w:hAnsi="標楷體"/>
          <w:color w:val="000000" w:themeColor="text1"/>
          <w:sz w:val="24"/>
        </w:rPr>
        <w:t>欄－是否為具資本性質債券，填列為</w:t>
      </w:r>
      <w:r w:rsidRPr="00E224E9">
        <w:rPr>
          <w:rFonts w:ascii="Book Antiqua" w:hAnsi="Book Antiqua"/>
          <w:color w:val="000000" w:themeColor="text1"/>
          <w:sz w:val="24"/>
        </w:rPr>
        <w:t>"Y"</w:t>
      </w:r>
      <w:r w:rsidRPr="00E224E9">
        <w:rPr>
          <w:rFonts w:ascii="Book Antiqua" w:hAnsi="標楷體"/>
          <w:color w:val="000000" w:themeColor="text1"/>
          <w:sz w:val="24"/>
        </w:rPr>
        <w:t>者之期末帳載金額合計數。</w:t>
      </w:r>
    </w:p>
    <w:p w14:paraId="10917863"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0C6A59" w:rsidRPr="00E224E9">
        <w:rPr>
          <w:rFonts w:ascii="Book Antiqua" w:hAnsi="標楷體" w:hint="eastAsia"/>
          <w:color w:val="000000" w:themeColor="text1"/>
          <w:sz w:val="24"/>
        </w:rPr>
        <w:t>40</w:t>
      </w:r>
      <w:r w:rsidRPr="00E224E9">
        <w:rPr>
          <w:rFonts w:ascii="Book Antiqua" w:hAnsi="標楷體"/>
          <w:color w:val="000000" w:themeColor="text1"/>
          <w:sz w:val="24"/>
        </w:rPr>
        <w:t>列－期末公司債投資餘額</w:t>
      </w:r>
      <w:r w:rsidRPr="00E224E9">
        <w:rPr>
          <w:rFonts w:ascii="Book Antiqua" w:hAnsi="Book Antiqua"/>
          <w:color w:val="000000" w:themeColor="text1"/>
          <w:sz w:val="24"/>
        </w:rPr>
        <w:t>(</w:t>
      </w:r>
      <w:r w:rsidRPr="00E224E9">
        <w:rPr>
          <w:rFonts w:ascii="Book Antiqua" w:hAnsi="標楷體"/>
          <w:color w:val="000000" w:themeColor="text1"/>
          <w:sz w:val="24"/>
        </w:rPr>
        <w:t>列</w:t>
      </w:r>
      <w:r w:rsidRPr="00E224E9">
        <w:rPr>
          <w:rFonts w:ascii="Book Antiqua" w:hAnsi="Book Antiqua"/>
          <w:color w:val="000000" w:themeColor="text1"/>
          <w:sz w:val="24"/>
        </w:rPr>
        <w:t>16)</w:t>
      </w:r>
      <w:r w:rsidRPr="00E224E9">
        <w:rPr>
          <w:rFonts w:ascii="Book Antiqua" w:hAnsi="Book Antiqua"/>
          <w:color w:val="000000" w:themeColor="text1"/>
          <w:sz w:val="24"/>
        </w:rPr>
        <w:tab/>
      </w:r>
    </w:p>
    <w:p w14:paraId="37C43778" w14:textId="77777777" w:rsidR="00065C53" w:rsidRPr="00E224E9" w:rsidRDefault="00065C53">
      <w:pPr>
        <w:ind w:firstLineChars="200" w:firstLine="480"/>
        <w:rPr>
          <w:rFonts w:ascii="Book Antiqua" w:hAnsi="標楷體"/>
          <w:color w:val="000000" w:themeColor="text1"/>
          <w:sz w:val="24"/>
        </w:rPr>
      </w:pPr>
      <w:r w:rsidRPr="00E224E9">
        <w:rPr>
          <w:rFonts w:ascii="Book Antiqua" w:hAnsi="標楷體"/>
          <w:color w:val="000000" w:themeColor="text1"/>
          <w:sz w:val="24"/>
        </w:rPr>
        <w:t>等於第</w:t>
      </w:r>
      <w:r w:rsidRPr="00E224E9">
        <w:rPr>
          <w:rFonts w:ascii="Book Antiqua" w:hAnsi="Book Antiqua"/>
          <w:color w:val="000000" w:themeColor="text1"/>
          <w:sz w:val="24"/>
        </w:rPr>
        <w:t>16</w:t>
      </w:r>
      <w:r w:rsidRPr="00E224E9">
        <w:rPr>
          <w:rFonts w:ascii="Book Antiqua" w:hAnsi="標楷體"/>
          <w:color w:val="000000" w:themeColor="text1"/>
          <w:sz w:val="24"/>
        </w:rPr>
        <w:t>列合計數。</w:t>
      </w:r>
    </w:p>
    <w:p w14:paraId="1C667E02" w14:textId="5F8AFAC9" w:rsidR="004E5DCA" w:rsidRPr="00E224E9" w:rsidRDefault="004E5DCA" w:rsidP="004E5DCA">
      <w:pPr>
        <w:rPr>
          <w:rFonts w:ascii="Book Antiqua" w:hAnsi="標楷體"/>
          <w:color w:val="000000" w:themeColor="text1"/>
          <w:sz w:val="24"/>
        </w:rPr>
      </w:pPr>
      <w:r w:rsidRPr="00E224E9">
        <w:rPr>
          <w:rFonts w:ascii="Book Antiqua" w:hAnsi="標楷體" w:hint="eastAsia"/>
          <w:color w:val="000000" w:themeColor="text1"/>
          <w:sz w:val="24"/>
        </w:rPr>
        <w:t>第</w:t>
      </w:r>
      <w:r w:rsidRPr="00E224E9">
        <w:rPr>
          <w:rFonts w:ascii="Book Antiqua" w:hAnsi="標楷體"/>
          <w:color w:val="000000" w:themeColor="text1"/>
          <w:sz w:val="24"/>
        </w:rPr>
        <w:t>41</w:t>
      </w:r>
      <w:r w:rsidRPr="00E224E9">
        <w:rPr>
          <w:rFonts w:ascii="Book Antiqua" w:hAnsi="標楷體" w:hint="eastAsia"/>
          <w:color w:val="000000" w:themeColor="text1"/>
          <w:sz w:val="24"/>
        </w:rPr>
        <w:t>和</w:t>
      </w:r>
      <w:r w:rsidRPr="00E224E9">
        <w:rPr>
          <w:rFonts w:ascii="Book Antiqua" w:hAnsi="標楷體"/>
          <w:color w:val="000000" w:themeColor="text1"/>
          <w:sz w:val="24"/>
        </w:rPr>
        <w:t>42</w:t>
      </w:r>
      <w:r w:rsidRPr="00E224E9">
        <w:rPr>
          <w:rFonts w:ascii="Book Antiqua" w:hAnsi="標楷體" w:hint="eastAsia"/>
          <w:color w:val="000000" w:themeColor="text1"/>
          <w:sz w:val="24"/>
        </w:rPr>
        <w:t>列</w:t>
      </w:r>
      <w:r w:rsidRPr="00E224E9">
        <w:rPr>
          <w:rFonts w:ascii="Book Antiqua" w:hAnsi="標楷體"/>
          <w:color w:val="000000" w:themeColor="text1"/>
          <w:sz w:val="24"/>
        </w:rPr>
        <w:t>-</w:t>
      </w:r>
    </w:p>
    <w:p w14:paraId="1DDDB4A6" w14:textId="26DA83B3" w:rsidR="004E5DCA" w:rsidRPr="00E224E9" w:rsidRDefault="004E5DCA" w:rsidP="001C79B1">
      <w:pPr>
        <w:ind w:leftChars="204" w:left="530"/>
        <w:rPr>
          <w:rFonts w:ascii="Book Antiqua" w:hAnsi="Book Antiqua"/>
          <w:color w:val="000000" w:themeColor="text1"/>
          <w:sz w:val="24"/>
        </w:rPr>
      </w:pPr>
      <w:r w:rsidRPr="00E224E9">
        <w:rPr>
          <w:rFonts w:ascii="Book Antiqua" w:hAnsi="Book Antiqua"/>
          <w:color w:val="000000" w:themeColor="text1"/>
          <w:sz w:val="24"/>
        </w:rPr>
        <w:t>113.1.1</w:t>
      </w:r>
      <w:r w:rsidRPr="00E224E9">
        <w:rPr>
          <w:rFonts w:ascii="Book Antiqua" w:hAnsi="Book Antiqua" w:hint="eastAsia"/>
          <w:color w:val="000000" w:themeColor="text1"/>
          <w:sz w:val="24"/>
        </w:rPr>
        <w:t>起，投資於關係人且屬於國外保險相關事業之相關部位</w:t>
      </w:r>
    </w:p>
    <w:p w14:paraId="7D90D7B3" w14:textId="77777777" w:rsidR="00065C53" w:rsidRPr="00E224E9" w:rsidRDefault="00065C53">
      <w:pPr>
        <w:ind w:firstLineChars="200" w:firstLine="520"/>
        <w:rPr>
          <w:rFonts w:ascii="Book Antiqua" w:hAnsi="Book Antiqua"/>
          <w:color w:val="000000" w:themeColor="text1"/>
        </w:rPr>
      </w:pPr>
    </w:p>
    <w:p w14:paraId="38AFD774" w14:textId="77777777" w:rsidR="009942EA" w:rsidRPr="00E224E9" w:rsidRDefault="00065C53" w:rsidP="009942EA">
      <w:pPr>
        <w:pStyle w:val="1"/>
        <w:spacing w:after="120" w:line="440" w:lineRule="exact"/>
        <w:rPr>
          <w:color w:val="000000" w:themeColor="text1"/>
        </w:rPr>
      </w:pPr>
      <w:bookmarkStart w:id="53" w:name="_Toc219109739"/>
      <w:bookmarkStart w:id="54" w:name="_Toc219109811"/>
      <w:r w:rsidRPr="00E224E9">
        <w:rPr>
          <w:color w:val="000000" w:themeColor="text1"/>
        </w:rPr>
        <w:br w:type="page"/>
      </w:r>
      <w:bookmarkStart w:id="55" w:name="_Toc221524778"/>
      <w:bookmarkStart w:id="56" w:name="_Toc296928223"/>
      <w:bookmarkStart w:id="57" w:name="_Toc437450250"/>
      <w:bookmarkStart w:id="58" w:name="_Toc200468524"/>
      <w:r w:rsidR="009942EA" w:rsidRPr="00E224E9">
        <w:rPr>
          <w:color w:val="000000" w:themeColor="text1"/>
        </w:rPr>
        <w:lastRenderedPageBreak/>
        <w:t>表12-1</w:t>
      </w:r>
      <w:r w:rsidR="00664571" w:rsidRPr="00E224E9">
        <w:rPr>
          <w:rFonts w:hint="eastAsia"/>
          <w:color w:val="000000" w:themeColor="text1"/>
        </w:rPr>
        <w:t>：</w:t>
      </w:r>
      <w:r w:rsidR="009942EA" w:rsidRPr="00E224E9">
        <w:rPr>
          <w:color w:val="000000" w:themeColor="text1"/>
        </w:rPr>
        <w:t>受益憑證及國外表彰基金餘額明細表</w:t>
      </w:r>
      <w:bookmarkEnd w:id="55"/>
      <w:bookmarkEnd w:id="56"/>
      <w:bookmarkEnd w:id="57"/>
      <w:bookmarkEnd w:id="58"/>
    </w:p>
    <w:p w14:paraId="4CE9467F" w14:textId="77777777" w:rsidR="009942EA" w:rsidRPr="00E224E9" w:rsidRDefault="009942EA" w:rsidP="009942EA">
      <w:pPr>
        <w:spacing w:line="440" w:lineRule="exact"/>
        <w:ind w:firstLineChars="200" w:firstLine="520"/>
        <w:jc w:val="both"/>
        <w:rPr>
          <w:rFonts w:ascii="Book Antiqua" w:hAnsi="Book Antiqua"/>
          <w:color w:val="000000" w:themeColor="text1"/>
        </w:rPr>
      </w:pPr>
      <w:r w:rsidRPr="00E224E9">
        <w:rPr>
          <w:rFonts w:ascii="Book Antiqua" w:hAnsi="標楷體"/>
          <w:color w:val="000000" w:themeColor="text1"/>
        </w:rPr>
        <w:t>本報表的目的在於揭露保險業受益憑證及國外表彰基金使用及配置情形。</w:t>
      </w:r>
    </w:p>
    <w:p w14:paraId="2C42494F" w14:textId="77777777" w:rsidR="009942EA" w:rsidRPr="00E224E9" w:rsidRDefault="009942EA" w:rsidP="009942EA">
      <w:pPr>
        <w:spacing w:line="440" w:lineRule="exact"/>
        <w:ind w:firstLineChars="207" w:firstLine="538"/>
        <w:jc w:val="both"/>
        <w:rPr>
          <w:rFonts w:ascii="Book Antiqua" w:hAnsi="Book Antiqua"/>
          <w:color w:val="000000" w:themeColor="text1"/>
        </w:rPr>
      </w:pPr>
      <w:r w:rsidRPr="00E224E9">
        <w:rPr>
          <w:rFonts w:ascii="Book Antiqua" w:hAnsi="標楷體"/>
          <w:color w:val="000000" w:themeColor="text1"/>
        </w:rPr>
        <w:t>各項資產之欄位說明如下：</w:t>
      </w:r>
    </w:p>
    <w:p w14:paraId="06032702"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Pr="00E224E9">
        <w:rPr>
          <w:rFonts w:ascii="Book Antiqua" w:hAnsi="標楷體"/>
          <w:color w:val="000000" w:themeColor="text1"/>
        </w:rPr>
        <w:t>、</w:t>
      </w:r>
      <w:r w:rsidRPr="00E224E9">
        <w:rPr>
          <w:rFonts w:ascii="Book Antiqua" w:hAnsi="Book Antiqua"/>
          <w:color w:val="000000" w:themeColor="text1"/>
        </w:rPr>
        <w:t>5</w:t>
      </w:r>
      <w:r w:rsidRPr="00E224E9">
        <w:rPr>
          <w:rFonts w:ascii="Book Antiqua" w:hAnsi="標楷體"/>
          <w:color w:val="000000" w:themeColor="text1"/>
        </w:rPr>
        <w:t>及第</w:t>
      </w:r>
      <w:r w:rsidRPr="00E224E9">
        <w:rPr>
          <w:rFonts w:ascii="Book Antiqua" w:hAnsi="Book Antiqua"/>
          <w:color w:val="000000" w:themeColor="text1"/>
        </w:rPr>
        <w:t>10</w:t>
      </w:r>
      <w:r w:rsidRPr="00E224E9">
        <w:rPr>
          <w:rFonts w:ascii="Book Antiqua" w:hAnsi="標楷體"/>
          <w:color w:val="000000" w:themeColor="text1"/>
        </w:rPr>
        <w:t>欄－證券代號、發行機構代號及管理機構代號</w:t>
      </w:r>
      <w:r w:rsidRPr="00E224E9">
        <w:rPr>
          <w:rFonts w:ascii="Book Antiqua" w:hAnsi="Book Antiqua"/>
          <w:color w:val="000000" w:themeColor="text1"/>
        </w:rPr>
        <w:tab/>
      </w:r>
    </w:p>
    <w:p w14:paraId="41FC19E5" w14:textId="77777777" w:rsidR="009942EA" w:rsidRPr="00E224E9" w:rsidRDefault="009942EA" w:rsidP="00F3152E">
      <w:pPr>
        <w:spacing w:line="440" w:lineRule="exact"/>
        <w:ind w:leftChars="183" w:left="476" w:firstLineChars="1" w:firstLine="3"/>
        <w:rPr>
          <w:rFonts w:ascii="Book Antiqua" w:hAnsi="Book Antiqua"/>
          <w:color w:val="000000" w:themeColor="text1"/>
        </w:rPr>
      </w:pPr>
      <w:r w:rsidRPr="00E224E9">
        <w:rPr>
          <w:rFonts w:ascii="Book Antiqua" w:hAnsi="標楷體"/>
          <w:color w:val="000000" w:themeColor="text1"/>
        </w:rPr>
        <w:t>證券代號、發行機構代號及管理機構代號請洽由財團法人保險事業發展中心統一配賦。</w:t>
      </w:r>
    </w:p>
    <w:p w14:paraId="7F7A396F"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w:t>
      </w:r>
      <w:r w:rsidRPr="00E224E9">
        <w:rPr>
          <w:rFonts w:ascii="Book Antiqua" w:hAnsi="Book Antiqua"/>
          <w:color w:val="000000" w:themeColor="text1"/>
        </w:rPr>
        <w:t>6</w:t>
      </w:r>
      <w:r w:rsidRPr="00E224E9">
        <w:rPr>
          <w:rFonts w:ascii="Book Antiqua" w:hAnsi="標楷體"/>
          <w:color w:val="000000" w:themeColor="text1"/>
        </w:rPr>
        <w:t>及第</w:t>
      </w:r>
      <w:r w:rsidRPr="00E224E9">
        <w:rPr>
          <w:rFonts w:ascii="Book Antiqua" w:hAnsi="Book Antiqua"/>
          <w:color w:val="000000" w:themeColor="text1"/>
        </w:rPr>
        <w:t>11</w:t>
      </w:r>
      <w:r w:rsidRPr="00E224E9">
        <w:rPr>
          <w:rFonts w:ascii="Book Antiqua" w:hAnsi="標楷體"/>
          <w:color w:val="000000" w:themeColor="text1"/>
        </w:rPr>
        <w:t>欄－證券名稱、發行機構名稱及管理機構名稱</w:t>
      </w:r>
      <w:r w:rsidRPr="00E224E9">
        <w:rPr>
          <w:rFonts w:ascii="Book Antiqua" w:hAnsi="Book Antiqua"/>
          <w:color w:val="000000" w:themeColor="text1"/>
        </w:rPr>
        <w:tab/>
      </w:r>
    </w:p>
    <w:p w14:paraId="0EFA4FF6" w14:textId="77777777" w:rsidR="009942EA" w:rsidRPr="00E224E9" w:rsidRDefault="009942EA" w:rsidP="00F3152E">
      <w:pPr>
        <w:spacing w:line="440" w:lineRule="exact"/>
        <w:ind w:firstLineChars="200" w:firstLine="520"/>
        <w:rPr>
          <w:rFonts w:ascii="Book Antiqua" w:hAnsi="Book Antiqua"/>
          <w:color w:val="000000" w:themeColor="text1"/>
        </w:rPr>
      </w:pPr>
      <w:r w:rsidRPr="00E224E9">
        <w:rPr>
          <w:rFonts w:ascii="Book Antiqua" w:hAnsi="標楷體"/>
          <w:color w:val="000000" w:themeColor="text1"/>
        </w:rPr>
        <w:t>為購買標的、發行機構及管理機構之名稱。</w:t>
      </w:r>
    </w:p>
    <w:p w14:paraId="33DA54ED"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欄－證券種類</w:t>
      </w:r>
      <w:r w:rsidRPr="00E224E9">
        <w:rPr>
          <w:rFonts w:ascii="Book Antiqua" w:hAnsi="Book Antiqua"/>
          <w:color w:val="000000" w:themeColor="text1"/>
        </w:rPr>
        <w:tab/>
      </w:r>
    </w:p>
    <w:p w14:paraId="59F8E9A7" w14:textId="498B466A" w:rsidR="009942EA" w:rsidRPr="00E224E9" w:rsidRDefault="009942EA" w:rsidP="00F3152E">
      <w:pPr>
        <w:spacing w:line="440" w:lineRule="exact"/>
        <w:ind w:leftChars="183" w:left="476" w:firstLineChars="1" w:firstLine="3"/>
        <w:rPr>
          <w:rFonts w:ascii="Book Antiqua" w:hAnsi="Book Antiqua"/>
          <w:color w:val="000000" w:themeColor="text1"/>
        </w:rPr>
      </w:pPr>
      <w:r w:rsidRPr="00E224E9">
        <w:rPr>
          <w:rFonts w:ascii="Book Antiqua" w:hAnsi="標楷體"/>
          <w:color w:val="000000" w:themeColor="text1"/>
        </w:rPr>
        <w:t>證券種類請依序填列</w:t>
      </w:r>
      <w:r w:rsidRPr="00E224E9">
        <w:rPr>
          <w:rFonts w:ascii="Book Antiqua" w:hAnsi="Book Antiqua"/>
          <w:color w:val="000000" w:themeColor="text1"/>
        </w:rPr>
        <w:t>A.</w:t>
      </w:r>
      <w:r w:rsidRPr="00E224E9">
        <w:rPr>
          <w:rFonts w:ascii="Book Antiqua" w:hAnsi="標楷體"/>
          <w:color w:val="000000" w:themeColor="text1"/>
        </w:rPr>
        <w:t>股票型基金</w:t>
      </w:r>
      <w:r w:rsidRPr="00E224E9">
        <w:rPr>
          <w:rFonts w:ascii="Book Antiqua" w:hAnsi="Book Antiqua"/>
          <w:color w:val="000000" w:themeColor="text1"/>
        </w:rPr>
        <w:t>,B.</w:t>
      </w:r>
      <w:r w:rsidRPr="00E224E9">
        <w:rPr>
          <w:rFonts w:ascii="Book Antiqua" w:hAnsi="標楷體"/>
          <w:color w:val="000000" w:themeColor="text1"/>
        </w:rPr>
        <w:t>債券型基金</w:t>
      </w:r>
      <w:r w:rsidRPr="00E224E9">
        <w:rPr>
          <w:rFonts w:ascii="Book Antiqua" w:hAnsi="Book Antiqua"/>
          <w:color w:val="000000" w:themeColor="text1"/>
        </w:rPr>
        <w:t>,C.</w:t>
      </w:r>
      <w:r w:rsidRPr="00E224E9">
        <w:rPr>
          <w:rFonts w:ascii="Book Antiqua" w:hAnsi="標楷體"/>
          <w:color w:val="000000" w:themeColor="text1"/>
        </w:rPr>
        <w:t>平衡型基金</w:t>
      </w:r>
      <w:r w:rsidR="00B13CCC" w:rsidRPr="00E224E9">
        <w:rPr>
          <w:rFonts w:ascii="Book Antiqua" w:hAnsi="標楷體" w:hint="eastAsia"/>
          <w:color w:val="000000" w:themeColor="text1"/>
        </w:rPr>
        <w:t>及多重資產型基金</w:t>
      </w:r>
      <w:r w:rsidRPr="00E224E9">
        <w:rPr>
          <w:rFonts w:ascii="Book Antiqua" w:hAnsi="Book Antiqua"/>
          <w:color w:val="000000" w:themeColor="text1"/>
        </w:rPr>
        <w:t>,D.</w:t>
      </w:r>
      <w:r w:rsidRPr="00E224E9">
        <w:rPr>
          <w:rFonts w:ascii="Book Antiqua" w:hAnsi="標楷體"/>
          <w:color w:val="000000" w:themeColor="text1"/>
        </w:rPr>
        <w:t>國內避險型基金</w:t>
      </w:r>
      <w:r w:rsidRPr="00E224E9">
        <w:rPr>
          <w:rFonts w:ascii="Book Antiqua" w:hAnsi="Book Antiqua"/>
          <w:color w:val="000000" w:themeColor="text1"/>
        </w:rPr>
        <w:t>,E.</w:t>
      </w:r>
      <w:r w:rsidRPr="00E224E9">
        <w:rPr>
          <w:rFonts w:ascii="Book Antiqua" w:hAnsi="標楷體"/>
          <w:color w:val="000000" w:themeColor="text1"/>
        </w:rPr>
        <w:t>貨幣型基金</w:t>
      </w:r>
      <w:r w:rsidRPr="00E224E9">
        <w:rPr>
          <w:rFonts w:ascii="Book Antiqua" w:hAnsi="Book Antiqua"/>
          <w:color w:val="000000" w:themeColor="text1"/>
        </w:rPr>
        <w:t>,</w:t>
      </w:r>
      <w:r w:rsidR="00803008" w:rsidRPr="00E224E9">
        <w:rPr>
          <w:rFonts w:hint="eastAsia"/>
          <w:color w:val="000000" w:themeColor="text1"/>
        </w:rPr>
        <w:t xml:space="preserve"> </w:t>
      </w:r>
      <w:r w:rsidR="00803008" w:rsidRPr="00E224E9">
        <w:rPr>
          <w:rFonts w:ascii="Book Antiqua" w:hAnsi="Book Antiqua" w:hint="eastAsia"/>
          <w:color w:val="000000" w:themeColor="text1"/>
        </w:rPr>
        <w:t>F1.</w:t>
      </w:r>
      <w:r w:rsidR="00803008" w:rsidRPr="00E224E9">
        <w:rPr>
          <w:rFonts w:ascii="Book Antiqua" w:hAnsi="Book Antiqua" w:hint="eastAsia"/>
          <w:color w:val="000000" w:themeColor="text1"/>
        </w:rPr>
        <w:t>國家級投資公司所設立之國內私募股權基金</w:t>
      </w:r>
      <w:r w:rsidR="00803008" w:rsidRPr="00E224E9">
        <w:rPr>
          <w:rFonts w:ascii="Book Antiqua" w:hAnsi="Book Antiqua" w:hint="eastAsia"/>
          <w:color w:val="000000" w:themeColor="text1"/>
        </w:rPr>
        <w:t>,</w:t>
      </w:r>
      <w:r w:rsidR="00CA59F9" w:rsidRPr="00E224E9">
        <w:rPr>
          <w:rFonts w:hint="eastAsia"/>
          <w:color w:val="000000" w:themeColor="text1"/>
        </w:rPr>
        <w:t xml:space="preserve"> </w:t>
      </w:r>
      <w:r w:rsidR="00CA59F9" w:rsidRPr="00E224E9">
        <w:rPr>
          <w:rFonts w:ascii="Book Antiqua" w:hAnsi="Book Antiqua"/>
          <w:color w:val="000000" w:themeColor="text1"/>
        </w:rPr>
        <w:t>F2a.</w:t>
      </w:r>
      <w:r w:rsidR="00CA59F9" w:rsidRPr="00E224E9">
        <w:rPr>
          <w:rFonts w:ascii="Book Antiqua" w:hAnsi="Book Antiqua" w:hint="eastAsia"/>
          <w:color w:val="000000" w:themeColor="text1"/>
        </w:rPr>
        <w:t>證投信及證券商轉投資子公司擔任普通合夥人設立之國內私募股權基金【公共投資</w:t>
      </w:r>
      <w:r w:rsidR="00CA59F9" w:rsidRPr="00E224E9">
        <w:rPr>
          <w:rFonts w:ascii="Book Antiqua" w:hAnsi="Book Antiqua"/>
          <w:color w:val="000000" w:themeColor="text1"/>
        </w:rPr>
        <w:t>100%</w:t>
      </w:r>
      <w:r w:rsidR="00CA59F9" w:rsidRPr="00E224E9">
        <w:rPr>
          <w:rFonts w:ascii="Book Antiqua" w:hAnsi="Book Antiqua" w:hint="eastAsia"/>
          <w:color w:val="000000" w:themeColor="text1"/>
        </w:rPr>
        <w:t>】</w:t>
      </w:r>
      <w:r w:rsidR="00CA59F9" w:rsidRPr="00E224E9">
        <w:rPr>
          <w:rFonts w:ascii="Book Antiqua" w:hAnsi="Book Antiqua"/>
          <w:color w:val="000000" w:themeColor="text1"/>
        </w:rPr>
        <w:t>,F2b.</w:t>
      </w:r>
      <w:r w:rsidR="00CA59F9" w:rsidRPr="00E224E9">
        <w:rPr>
          <w:rFonts w:ascii="Book Antiqua" w:hAnsi="Book Antiqua" w:hint="eastAsia"/>
          <w:color w:val="000000" w:themeColor="text1"/>
        </w:rPr>
        <w:t>證投信及證券商轉投資子公司擔任普通合夥人設立之國內私募股權基金【公共投資</w:t>
      </w:r>
      <w:r w:rsidR="00CA59F9" w:rsidRPr="00E224E9">
        <w:rPr>
          <w:rFonts w:ascii="Book Antiqua" w:hAnsi="Book Antiqua"/>
          <w:color w:val="000000" w:themeColor="text1"/>
        </w:rPr>
        <w:t>, 5+2</w:t>
      </w:r>
      <w:r w:rsidR="00CA59F9" w:rsidRPr="00E224E9">
        <w:rPr>
          <w:rFonts w:ascii="Book Antiqua" w:hAnsi="Book Antiqua" w:hint="eastAsia"/>
          <w:color w:val="000000" w:themeColor="text1"/>
        </w:rPr>
        <w:t>及六大核心產業</w:t>
      </w:r>
      <w:r w:rsidR="00CA59F9" w:rsidRPr="00E224E9">
        <w:rPr>
          <w:rFonts w:ascii="Book Antiqua" w:hAnsi="Book Antiqua"/>
          <w:color w:val="000000" w:themeColor="text1"/>
        </w:rPr>
        <w:t>(</w:t>
      </w:r>
      <w:r w:rsidR="00CA59F9" w:rsidRPr="00E224E9">
        <w:rPr>
          <w:rFonts w:ascii="Book Antiqua" w:hAnsi="Book Antiqua" w:hint="eastAsia"/>
          <w:color w:val="000000" w:themeColor="text1"/>
        </w:rPr>
        <w:t>混合型標的</w:t>
      </w:r>
      <w:r w:rsidR="00CA59F9" w:rsidRPr="00E224E9">
        <w:rPr>
          <w:rFonts w:ascii="Book Antiqua" w:hAnsi="Book Antiqua"/>
          <w:color w:val="000000" w:themeColor="text1"/>
        </w:rPr>
        <w:t>)</w:t>
      </w:r>
      <w:r w:rsidR="00CA59F9" w:rsidRPr="00E224E9">
        <w:rPr>
          <w:rFonts w:ascii="Book Antiqua" w:hAnsi="Book Antiqua" w:hint="eastAsia"/>
          <w:color w:val="000000" w:themeColor="text1"/>
        </w:rPr>
        <w:t>】</w:t>
      </w:r>
      <w:r w:rsidR="00CA59F9" w:rsidRPr="00E224E9">
        <w:rPr>
          <w:rFonts w:ascii="Book Antiqua" w:hAnsi="Book Antiqua"/>
          <w:color w:val="000000" w:themeColor="text1"/>
        </w:rPr>
        <w:t>, F3a.</w:t>
      </w:r>
      <w:r w:rsidR="00CA59F9" w:rsidRPr="00E224E9">
        <w:rPr>
          <w:rFonts w:ascii="Book Antiqua" w:hAnsi="Book Antiqua" w:hint="eastAsia"/>
          <w:color w:val="000000" w:themeColor="text1"/>
        </w:rPr>
        <w:t>取得國家發展委員會資格函之國內私募股權基金【公共投資</w:t>
      </w:r>
      <w:r w:rsidR="00CA59F9" w:rsidRPr="00E224E9">
        <w:rPr>
          <w:rFonts w:ascii="Book Antiqua" w:hAnsi="Book Antiqua"/>
          <w:color w:val="000000" w:themeColor="text1"/>
        </w:rPr>
        <w:t>100%</w:t>
      </w:r>
      <w:r w:rsidR="00CA59F9" w:rsidRPr="00E224E9">
        <w:rPr>
          <w:rFonts w:ascii="Book Antiqua" w:hAnsi="Book Antiqua" w:hint="eastAsia"/>
          <w:color w:val="000000" w:themeColor="text1"/>
        </w:rPr>
        <w:t>】</w:t>
      </w:r>
      <w:r w:rsidR="00CA59F9" w:rsidRPr="00E224E9">
        <w:rPr>
          <w:rFonts w:ascii="Book Antiqua" w:hAnsi="Book Antiqua"/>
          <w:color w:val="000000" w:themeColor="text1"/>
        </w:rPr>
        <w:t>, F3b.</w:t>
      </w:r>
      <w:r w:rsidR="00CA59F9" w:rsidRPr="00E224E9">
        <w:rPr>
          <w:rFonts w:ascii="Book Antiqua" w:hAnsi="Book Antiqua" w:hint="eastAsia"/>
          <w:color w:val="000000" w:themeColor="text1"/>
        </w:rPr>
        <w:t>取得國家發展委員會資格函之國內私募股權基金【公共投資</w:t>
      </w:r>
      <w:r w:rsidR="00CA59F9" w:rsidRPr="00E224E9">
        <w:rPr>
          <w:rFonts w:ascii="Book Antiqua" w:hAnsi="Book Antiqua"/>
          <w:color w:val="000000" w:themeColor="text1"/>
        </w:rPr>
        <w:t>, 5+2</w:t>
      </w:r>
      <w:r w:rsidR="00CA59F9" w:rsidRPr="00E224E9">
        <w:rPr>
          <w:rFonts w:ascii="Book Antiqua" w:hAnsi="Book Antiqua" w:hint="eastAsia"/>
          <w:color w:val="000000" w:themeColor="text1"/>
        </w:rPr>
        <w:t>及六大核心產業</w:t>
      </w:r>
      <w:r w:rsidR="00CA59F9" w:rsidRPr="00E224E9">
        <w:rPr>
          <w:rFonts w:ascii="Book Antiqua" w:hAnsi="Book Antiqua"/>
          <w:color w:val="000000" w:themeColor="text1"/>
        </w:rPr>
        <w:t>(</w:t>
      </w:r>
      <w:r w:rsidR="00CA59F9" w:rsidRPr="00E224E9">
        <w:rPr>
          <w:rFonts w:ascii="Book Antiqua" w:hAnsi="Book Antiqua" w:hint="eastAsia"/>
          <w:color w:val="000000" w:themeColor="text1"/>
        </w:rPr>
        <w:t>混合型標的</w:t>
      </w:r>
      <w:r w:rsidR="00CA59F9" w:rsidRPr="00E224E9">
        <w:rPr>
          <w:rFonts w:ascii="Book Antiqua" w:hAnsi="Book Antiqua"/>
          <w:color w:val="000000" w:themeColor="text1"/>
        </w:rPr>
        <w:t>)</w:t>
      </w:r>
      <w:r w:rsidR="00CA59F9" w:rsidRPr="00E224E9">
        <w:rPr>
          <w:rFonts w:ascii="Book Antiqua" w:hAnsi="Book Antiqua" w:hint="eastAsia"/>
          <w:color w:val="000000" w:themeColor="text1"/>
        </w:rPr>
        <w:t>】</w:t>
      </w:r>
      <w:r w:rsidR="00273543" w:rsidRPr="00E224E9">
        <w:rPr>
          <w:rFonts w:ascii="Book Antiqua" w:hAnsi="Book Antiqua" w:hint="eastAsia"/>
          <w:color w:val="000000" w:themeColor="text1"/>
        </w:rPr>
        <w:t>, F4.</w:t>
      </w:r>
      <w:r w:rsidR="00273543" w:rsidRPr="00E224E9">
        <w:rPr>
          <w:rFonts w:ascii="Book Antiqua" w:hAnsi="Book Antiqua" w:hint="eastAsia"/>
          <w:color w:val="000000" w:themeColor="text1"/>
        </w:rPr>
        <w:t>其他國內私募基金</w:t>
      </w:r>
      <w:r w:rsidR="00803008" w:rsidRPr="00E224E9">
        <w:rPr>
          <w:rFonts w:ascii="Book Antiqua" w:hAnsi="Book Antiqua" w:hint="eastAsia"/>
          <w:color w:val="000000" w:themeColor="text1"/>
        </w:rPr>
        <w:t>,</w:t>
      </w:r>
      <w:r w:rsidRPr="00E224E9">
        <w:rPr>
          <w:rFonts w:ascii="Book Antiqua" w:hAnsi="Book Antiqua"/>
          <w:color w:val="000000" w:themeColor="text1"/>
        </w:rPr>
        <w:t>G.</w:t>
      </w:r>
      <w:r w:rsidRPr="00E224E9">
        <w:rPr>
          <w:rFonts w:ascii="Book Antiqua" w:hAnsi="標楷體"/>
          <w:color w:val="000000" w:themeColor="text1"/>
        </w:rPr>
        <w:t>指數型基金</w:t>
      </w:r>
      <w:r w:rsidRPr="00E224E9">
        <w:rPr>
          <w:rFonts w:ascii="Book Antiqua" w:hAnsi="Book Antiqua"/>
          <w:color w:val="000000" w:themeColor="text1"/>
        </w:rPr>
        <w:t>,H.</w:t>
      </w:r>
      <w:r w:rsidRPr="00E224E9">
        <w:rPr>
          <w:rFonts w:ascii="Book Antiqua" w:hAnsi="標楷體"/>
          <w:color w:val="000000" w:themeColor="text1"/>
        </w:rPr>
        <w:t>國外不動產投資信託基金</w:t>
      </w:r>
      <w:r w:rsidRPr="00E224E9">
        <w:rPr>
          <w:rFonts w:ascii="Book Antiqua" w:hAnsi="Book Antiqua"/>
          <w:color w:val="000000" w:themeColor="text1"/>
        </w:rPr>
        <w:t>,I.</w:t>
      </w:r>
      <w:r w:rsidRPr="00E224E9">
        <w:rPr>
          <w:rFonts w:ascii="Book Antiqua" w:hAnsi="標楷體"/>
          <w:color w:val="000000" w:themeColor="text1"/>
        </w:rPr>
        <w:t>國外對沖基金</w:t>
      </w:r>
      <w:r w:rsidRPr="00E224E9">
        <w:rPr>
          <w:rFonts w:ascii="Book Antiqua" w:hAnsi="Book Antiqua"/>
          <w:color w:val="000000" w:themeColor="text1"/>
        </w:rPr>
        <w:t>,</w:t>
      </w:r>
      <w:r w:rsidR="00B44FA7" w:rsidRPr="00E224E9">
        <w:rPr>
          <w:rFonts w:ascii="Book Antiqua" w:hAnsi="Book Antiqua" w:hint="eastAsia"/>
          <w:color w:val="000000" w:themeColor="text1"/>
        </w:rPr>
        <w:t>J1.</w:t>
      </w:r>
      <w:r w:rsidR="00B44FA7" w:rsidRPr="00E224E9">
        <w:rPr>
          <w:rFonts w:ascii="Book Antiqua" w:hAnsi="Book Antiqua" w:hint="eastAsia"/>
          <w:color w:val="000000" w:themeColor="text1"/>
        </w:rPr>
        <w:t>國外私募股權基金</w:t>
      </w:r>
      <w:r w:rsidR="00B44FA7" w:rsidRPr="00E224E9">
        <w:rPr>
          <w:rFonts w:ascii="Book Antiqua" w:hAnsi="Book Antiqua" w:hint="eastAsia"/>
          <w:color w:val="000000" w:themeColor="text1"/>
        </w:rPr>
        <w:t>,J2.</w:t>
      </w:r>
      <w:r w:rsidR="00B44FA7" w:rsidRPr="00E224E9">
        <w:rPr>
          <w:rFonts w:ascii="Book Antiqua" w:hAnsi="Book Antiqua" w:hint="eastAsia"/>
          <w:color w:val="000000" w:themeColor="text1"/>
        </w:rPr>
        <w:t>國外私募債權基金</w:t>
      </w:r>
      <w:r w:rsidR="00B44FA7" w:rsidRPr="00E224E9">
        <w:rPr>
          <w:rFonts w:ascii="Book Antiqua" w:hAnsi="Book Antiqua" w:hint="eastAsia"/>
          <w:color w:val="000000" w:themeColor="text1"/>
        </w:rPr>
        <w:t>,J3.</w:t>
      </w:r>
      <w:r w:rsidR="00B44FA7" w:rsidRPr="00E224E9">
        <w:rPr>
          <w:rFonts w:ascii="Book Antiqua" w:hAnsi="Book Antiqua" w:hint="eastAsia"/>
          <w:color w:val="000000" w:themeColor="text1"/>
        </w:rPr>
        <w:t>國外不動產私募基金</w:t>
      </w:r>
      <w:r w:rsidR="00B44FA7" w:rsidRPr="00E224E9">
        <w:rPr>
          <w:rFonts w:ascii="Book Antiqua" w:hAnsi="Book Antiqua" w:hint="eastAsia"/>
          <w:color w:val="000000" w:themeColor="text1"/>
        </w:rPr>
        <w:t>,</w:t>
      </w:r>
      <w:r w:rsidRPr="00E224E9">
        <w:rPr>
          <w:rFonts w:ascii="Book Antiqua" w:hAnsi="Book Antiqua"/>
          <w:color w:val="000000" w:themeColor="text1"/>
        </w:rPr>
        <w:t>K.</w:t>
      </w:r>
      <w:r w:rsidRPr="00E224E9">
        <w:rPr>
          <w:rFonts w:ascii="Book Antiqua" w:hAnsi="標楷體"/>
          <w:color w:val="000000" w:themeColor="text1"/>
        </w:rPr>
        <w:t>基礎建設基金</w:t>
      </w:r>
      <w:r w:rsidRPr="00E224E9">
        <w:rPr>
          <w:rFonts w:ascii="Book Antiqua" w:hAnsi="Book Antiqua"/>
          <w:color w:val="000000" w:themeColor="text1"/>
        </w:rPr>
        <w:t>,L.</w:t>
      </w:r>
      <w:r w:rsidRPr="00E224E9">
        <w:rPr>
          <w:rFonts w:ascii="Book Antiqua" w:hAnsi="標楷體"/>
          <w:color w:val="000000" w:themeColor="text1"/>
        </w:rPr>
        <w:t>商品基金</w:t>
      </w:r>
      <w:r w:rsidRPr="00E224E9">
        <w:rPr>
          <w:rFonts w:ascii="Book Antiqua" w:hAnsi="Book Antiqua"/>
          <w:color w:val="000000" w:themeColor="text1"/>
        </w:rPr>
        <w:t>,M.</w:t>
      </w:r>
      <w:r w:rsidRPr="00E224E9">
        <w:rPr>
          <w:rFonts w:ascii="Book Antiqua" w:hAnsi="標楷體"/>
          <w:color w:val="000000" w:themeColor="text1"/>
        </w:rPr>
        <w:t>其他</w:t>
      </w:r>
      <w:r w:rsidRPr="00E224E9">
        <w:rPr>
          <w:rFonts w:ascii="Book Antiqua" w:hAnsi="Book Antiqua"/>
          <w:color w:val="000000" w:themeColor="text1"/>
        </w:rPr>
        <w:t>;</w:t>
      </w:r>
      <w:r w:rsidRPr="00E224E9">
        <w:rPr>
          <w:rFonts w:ascii="Book Antiqua" w:hAnsi="標楷體"/>
          <w:color w:val="000000" w:themeColor="text1"/>
        </w:rPr>
        <w:t>國內基金分類請參考填報手冊中表</w:t>
      </w:r>
      <w:r w:rsidRPr="00E224E9">
        <w:rPr>
          <w:rFonts w:ascii="Book Antiqua" w:hAnsi="Book Antiqua"/>
          <w:color w:val="000000" w:themeColor="text1"/>
        </w:rPr>
        <w:t>05-1</w:t>
      </w:r>
      <w:r w:rsidRPr="00E224E9">
        <w:rPr>
          <w:rFonts w:ascii="Book Antiqua" w:hAnsi="標楷體"/>
          <w:color w:val="000000" w:themeColor="text1"/>
        </w:rPr>
        <w:t>第</w:t>
      </w:r>
      <w:r w:rsidR="000C6A59" w:rsidRPr="00E224E9">
        <w:rPr>
          <w:rFonts w:ascii="Book Antiqua" w:hAnsi="Book Antiqua" w:hint="eastAsia"/>
          <w:color w:val="000000" w:themeColor="text1"/>
        </w:rPr>
        <w:t>50</w:t>
      </w:r>
      <w:r w:rsidRPr="00E224E9">
        <w:rPr>
          <w:rFonts w:ascii="Book Antiqua" w:hAnsi="標楷體"/>
          <w:color w:val="000000" w:themeColor="text1"/>
        </w:rPr>
        <w:t>列之說明。若係屬於國內私募基金者，請直接填列</w:t>
      </w:r>
      <w:r w:rsidR="00AE73F7" w:rsidRPr="00E224E9">
        <w:rPr>
          <w:rFonts w:ascii="Book Antiqua" w:hAnsi="Book Antiqua" w:hint="eastAsia"/>
          <w:color w:val="000000" w:themeColor="text1"/>
        </w:rPr>
        <w:t>F1</w:t>
      </w:r>
      <w:r w:rsidR="004F07C6" w:rsidRPr="00E224E9">
        <w:rPr>
          <w:rFonts w:ascii="Book Antiqua" w:hAnsi="Book Antiqua" w:hint="eastAsia"/>
          <w:color w:val="000000" w:themeColor="text1"/>
          <w:sz w:val="24"/>
        </w:rPr>
        <w:t>~F4</w:t>
      </w:r>
      <w:r w:rsidRPr="00E224E9">
        <w:rPr>
          <w:rFonts w:ascii="Book Antiqua" w:hAnsi="標楷體"/>
          <w:color w:val="000000" w:themeColor="text1"/>
        </w:rPr>
        <w:t>，而不需考慮</w:t>
      </w:r>
      <w:r w:rsidRPr="00E224E9">
        <w:rPr>
          <w:rFonts w:ascii="Book Antiqua" w:hAnsi="Book Antiqua"/>
          <w:color w:val="000000" w:themeColor="text1"/>
        </w:rPr>
        <w:t>A</w:t>
      </w:r>
      <w:r w:rsidRPr="00E224E9">
        <w:rPr>
          <w:rFonts w:ascii="Book Antiqua" w:hAnsi="標楷體"/>
          <w:color w:val="000000" w:themeColor="text1"/>
        </w:rPr>
        <w:t>至</w:t>
      </w:r>
      <w:r w:rsidRPr="00E224E9">
        <w:rPr>
          <w:rFonts w:ascii="Book Antiqua" w:hAnsi="Book Antiqua"/>
          <w:color w:val="000000" w:themeColor="text1"/>
        </w:rPr>
        <w:t>E</w:t>
      </w:r>
      <w:r w:rsidRPr="00E224E9">
        <w:rPr>
          <w:rFonts w:ascii="Book Antiqua" w:hAnsi="標楷體"/>
          <w:color w:val="000000" w:themeColor="text1"/>
        </w:rPr>
        <w:t>之證券種類。</w:t>
      </w:r>
    </w:p>
    <w:p w14:paraId="3D28988A"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欄－募集方式</w:t>
      </w:r>
      <w:r w:rsidRPr="00E224E9">
        <w:rPr>
          <w:rFonts w:ascii="Book Antiqua" w:hAnsi="Book Antiqua"/>
          <w:color w:val="000000" w:themeColor="text1"/>
        </w:rPr>
        <w:tab/>
      </w:r>
    </w:p>
    <w:p w14:paraId="5970BD0C" w14:textId="77777777" w:rsidR="009942EA" w:rsidRPr="00E224E9" w:rsidRDefault="009942EA" w:rsidP="00F3152E">
      <w:pPr>
        <w:spacing w:line="440" w:lineRule="exact"/>
        <w:ind w:firstLineChars="200" w:firstLine="520"/>
        <w:rPr>
          <w:rFonts w:ascii="Book Antiqua" w:hAnsi="Book Antiqua"/>
          <w:color w:val="000000" w:themeColor="text1"/>
        </w:rPr>
      </w:pPr>
      <w:r w:rsidRPr="00E224E9">
        <w:rPr>
          <w:rFonts w:ascii="Book Antiqua" w:hAnsi="標楷體"/>
          <w:color w:val="000000" w:themeColor="text1"/>
        </w:rPr>
        <w:t>募集方式請依序填列</w:t>
      </w:r>
      <w:r w:rsidRPr="00E224E9">
        <w:rPr>
          <w:rFonts w:ascii="Book Antiqua" w:hAnsi="Book Antiqua"/>
          <w:color w:val="000000" w:themeColor="text1"/>
        </w:rPr>
        <w:t>A.</w:t>
      </w:r>
      <w:r w:rsidRPr="00E224E9">
        <w:rPr>
          <w:rFonts w:ascii="Book Antiqua" w:hAnsi="標楷體"/>
          <w:color w:val="000000" w:themeColor="text1"/>
        </w:rPr>
        <w:t>公開募集</w:t>
      </w:r>
      <w:r w:rsidRPr="00E224E9">
        <w:rPr>
          <w:rFonts w:ascii="Book Antiqua" w:hAnsi="Book Antiqua"/>
          <w:color w:val="000000" w:themeColor="text1"/>
        </w:rPr>
        <w:t>,B.</w:t>
      </w:r>
      <w:r w:rsidRPr="00E224E9">
        <w:rPr>
          <w:rFonts w:ascii="Book Antiqua" w:hAnsi="標楷體"/>
          <w:color w:val="000000" w:themeColor="text1"/>
        </w:rPr>
        <w:t>私募</w:t>
      </w:r>
      <w:r w:rsidRPr="00E224E9">
        <w:rPr>
          <w:rFonts w:ascii="Book Antiqua" w:hAnsi="Book Antiqua"/>
          <w:color w:val="000000" w:themeColor="text1"/>
        </w:rPr>
        <w:t>,C.</w:t>
      </w:r>
      <w:r w:rsidRPr="00E224E9">
        <w:rPr>
          <w:rFonts w:ascii="Book Antiqua" w:hAnsi="標楷體"/>
          <w:color w:val="000000" w:themeColor="text1"/>
        </w:rPr>
        <w:t>其他。</w:t>
      </w:r>
    </w:p>
    <w:p w14:paraId="55116A2C"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7</w:t>
      </w:r>
      <w:r w:rsidRPr="00E224E9">
        <w:rPr>
          <w:rFonts w:ascii="Book Antiqua" w:hAnsi="標楷體"/>
          <w:color w:val="000000" w:themeColor="text1"/>
        </w:rPr>
        <w:t>欄－是否為關係人</w:t>
      </w:r>
      <w:r w:rsidRPr="00E224E9">
        <w:rPr>
          <w:rFonts w:ascii="Book Antiqua" w:hAnsi="Book Antiqua"/>
          <w:color w:val="000000" w:themeColor="text1"/>
        </w:rPr>
        <w:tab/>
      </w:r>
    </w:p>
    <w:p w14:paraId="1822FAA5" w14:textId="77777777" w:rsidR="009942EA" w:rsidRPr="00E224E9" w:rsidRDefault="009942EA" w:rsidP="00C74DED">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是否為關係人請依序填列</w:t>
      </w:r>
      <w:r w:rsidRPr="00E224E9">
        <w:rPr>
          <w:rFonts w:ascii="Book Antiqua" w:hAnsi="Book Antiqua"/>
          <w:color w:val="000000" w:themeColor="text1"/>
        </w:rPr>
        <w:t>A.</w:t>
      </w:r>
      <w:r w:rsidRPr="00E224E9">
        <w:rPr>
          <w:rFonts w:ascii="Book Antiqua" w:hAnsi="標楷體"/>
          <w:color w:val="000000" w:themeColor="text1"/>
        </w:rPr>
        <w:t>否</w:t>
      </w:r>
      <w:r w:rsidRPr="00E224E9">
        <w:rPr>
          <w:rFonts w:ascii="Book Antiqua" w:hAnsi="Book Antiqua"/>
          <w:color w:val="000000" w:themeColor="text1"/>
        </w:rPr>
        <w:t>,B.</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非控制與從屬關係</w:t>
      </w:r>
      <w:r w:rsidRPr="00E224E9">
        <w:rPr>
          <w:rFonts w:ascii="Book Antiqua" w:hAnsi="Book Antiqua"/>
          <w:color w:val="000000" w:themeColor="text1"/>
        </w:rPr>
        <w:t>,C.</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具控制與從屬關係</w:t>
      </w:r>
      <w:r w:rsidR="00946FB7" w:rsidRPr="00E224E9">
        <w:rPr>
          <w:rFonts w:ascii="Book Antiqua" w:hAnsi="Book Antiqua" w:hint="eastAsia"/>
          <w:color w:val="000000" w:themeColor="text1"/>
        </w:rPr>
        <w:t>；</w:t>
      </w:r>
      <w:r w:rsidRPr="00E224E9">
        <w:rPr>
          <w:rFonts w:ascii="Book Antiqua" w:hAnsi="標楷體"/>
          <w:color w:val="000000" w:themeColor="text1"/>
        </w:rPr>
        <w:t>所稱關係人係依國際會計準則第</w:t>
      </w:r>
      <w:r w:rsidRPr="00E224E9">
        <w:rPr>
          <w:rFonts w:ascii="Book Antiqua" w:hAnsi="標楷體"/>
          <w:color w:val="000000" w:themeColor="text1"/>
        </w:rPr>
        <w:t>24</w:t>
      </w:r>
      <w:r w:rsidRPr="00E224E9">
        <w:rPr>
          <w:rFonts w:ascii="Book Antiqua" w:hAnsi="標楷體"/>
          <w:color w:val="000000" w:themeColor="text1"/>
        </w:rPr>
        <w:t>號公報及公司法第</w:t>
      </w:r>
      <w:r w:rsidRPr="00E224E9">
        <w:rPr>
          <w:rFonts w:ascii="Book Antiqua" w:hAnsi="Book Antiqua"/>
          <w:color w:val="000000" w:themeColor="text1"/>
        </w:rPr>
        <w:t>369-1~369-3</w:t>
      </w:r>
      <w:r w:rsidRPr="00E224E9">
        <w:rPr>
          <w:rFonts w:ascii="Book Antiqua" w:hAnsi="標楷體"/>
          <w:color w:val="000000" w:themeColor="text1"/>
        </w:rPr>
        <w:t>條、第</w:t>
      </w:r>
      <w:r w:rsidRPr="00E224E9">
        <w:rPr>
          <w:rFonts w:ascii="Book Antiqua" w:hAnsi="Book Antiqua"/>
          <w:color w:val="000000" w:themeColor="text1"/>
        </w:rPr>
        <w:t>369-9</w:t>
      </w:r>
      <w:r w:rsidRPr="00E224E9">
        <w:rPr>
          <w:rFonts w:ascii="Book Antiqua" w:hAnsi="標楷體"/>
          <w:color w:val="000000" w:themeColor="text1"/>
        </w:rPr>
        <w:t>條、及第</w:t>
      </w:r>
      <w:r w:rsidRPr="00E224E9">
        <w:rPr>
          <w:rFonts w:ascii="Book Antiqua" w:hAnsi="Book Antiqua"/>
          <w:color w:val="000000" w:themeColor="text1"/>
        </w:rPr>
        <w:t>369-11</w:t>
      </w:r>
      <w:r w:rsidRPr="00E224E9">
        <w:rPr>
          <w:rFonts w:ascii="Book Antiqua" w:hAnsi="標楷體"/>
          <w:color w:val="000000" w:themeColor="text1"/>
        </w:rPr>
        <w:t>條及關係企業合併營業報告書關係企業合併財務報表及關係報告書編製準則第六條之規定。</w:t>
      </w:r>
    </w:p>
    <w:p w14:paraId="10F64B8F" w14:textId="77777777" w:rsidR="009942EA" w:rsidRPr="00E224E9" w:rsidRDefault="009942EA" w:rsidP="00066335">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8</w:t>
      </w:r>
      <w:r w:rsidRPr="00E224E9">
        <w:rPr>
          <w:rFonts w:ascii="Book Antiqua" w:hAnsi="標楷體"/>
          <w:color w:val="000000" w:themeColor="text1"/>
        </w:rPr>
        <w:t>欄－交易種類</w:t>
      </w:r>
      <w:r w:rsidRPr="00E224E9">
        <w:rPr>
          <w:rFonts w:ascii="Book Antiqua" w:hAnsi="Book Antiqua"/>
          <w:color w:val="000000" w:themeColor="text1"/>
        </w:rPr>
        <w:tab/>
      </w:r>
    </w:p>
    <w:p w14:paraId="53BD6897" w14:textId="77777777" w:rsidR="009942EA" w:rsidRPr="00E224E9" w:rsidRDefault="009942EA" w:rsidP="00F3152E">
      <w:pPr>
        <w:spacing w:line="440" w:lineRule="exact"/>
        <w:ind w:firstLineChars="200" w:firstLine="520"/>
        <w:rPr>
          <w:rFonts w:ascii="Book Antiqua" w:hAnsi="Book Antiqua"/>
          <w:color w:val="000000" w:themeColor="text1"/>
        </w:rPr>
      </w:pPr>
      <w:r w:rsidRPr="00E224E9">
        <w:rPr>
          <w:rFonts w:ascii="Book Antiqua" w:hAnsi="標楷體"/>
          <w:color w:val="000000" w:themeColor="text1"/>
        </w:rPr>
        <w:t>交易種類請依序填</w:t>
      </w:r>
      <w:r w:rsidRPr="00E224E9">
        <w:rPr>
          <w:rFonts w:ascii="Book Antiqua" w:hAnsi="Book Antiqua"/>
          <w:color w:val="000000" w:themeColor="text1"/>
        </w:rPr>
        <w:t>A.</w:t>
      </w:r>
      <w:r w:rsidRPr="00E224E9">
        <w:rPr>
          <w:rFonts w:ascii="Book Antiqua" w:hAnsi="標楷體"/>
          <w:color w:val="000000" w:themeColor="text1"/>
        </w:rPr>
        <w:t>上市</w:t>
      </w:r>
      <w:r w:rsidRPr="00E224E9">
        <w:rPr>
          <w:rFonts w:ascii="Book Antiqua" w:hAnsi="Book Antiqua"/>
          <w:color w:val="000000" w:themeColor="text1"/>
        </w:rPr>
        <w:t>,B.</w:t>
      </w:r>
      <w:r w:rsidRPr="00E224E9">
        <w:rPr>
          <w:rFonts w:ascii="Book Antiqua" w:hAnsi="標楷體"/>
          <w:color w:val="000000" w:themeColor="text1"/>
        </w:rPr>
        <w:t>上櫃</w:t>
      </w:r>
      <w:r w:rsidRPr="00E224E9">
        <w:rPr>
          <w:rFonts w:ascii="Book Antiqua" w:hAnsi="Book Antiqua"/>
          <w:color w:val="000000" w:themeColor="text1"/>
        </w:rPr>
        <w:t>,C.</w:t>
      </w:r>
      <w:r w:rsidRPr="00E224E9">
        <w:rPr>
          <w:rFonts w:ascii="Book Antiqua" w:hAnsi="標楷體"/>
          <w:color w:val="000000" w:themeColor="text1"/>
        </w:rPr>
        <w:t>興櫃</w:t>
      </w:r>
      <w:r w:rsidRPr="00E224E9">
        <w:rPr>
          <w:rFonts w:ascii="Book Antiqua" w:hAnsi="Book Antiqua"/>
          <w:color w:val="000000" w:themeColor="text1"/>
        </w:rPr>
        <w:t>,D.</w:t>
      </w:r>
      <w:r w:rsidRPr="00E224E9">
        <w:rPr>
          <w:rFonts w:ascii="Book Antiqua" w:hAnsi="標楷體"/>
          <w:color w:val="000000" w:themeColor="text1"/>
        </w:rPr>
        <w:t>其他。</w:t>
      </w:r>
    </w:p>
    <w:p w14:paraId="2462592D"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9</w:t>
      </w:r>
      <w:r w:rsidRPr="00E224E9">
        <w:rPr>
          <w:rFonts w:ascii="Book Antiqua" w:hAnsi="標楷體"/>
          <w:color w:val="000000" w:themeColor="text1"/>
        </w:rPr>
        <w:t>欄－投資型態</w:t>
      </w:r>
      <w:r w:rsidRPr="00E224E9">
        <w:rPr>
          <w:rFonts w:ascii="Book Antiqua" w:hAnsi="Book Antiqua"/>
          <w:color w:val="000000" w:themeColor="text1"/>
        </w:rPr>
        <w:tab/>
      </w:r>
    </w:p>
    <w:p w14:paraId="6C03D189" w14:textId="77777777" w:rsidR="009942EA" w:rsidRPr="00E224E9" w:rsidRDefault="009942EA" w:rsidP="00F3152E">
      <w:pPr>
        <w:spacing w:line="440" w:lineRule="exact"/>
        <w:ind w:leftChars="171" w:left="445" w:firstLineChars="7" w:firstLine="18"/>
        <w:rPr>
          <w:rFonts w:ascii="Book Antiqua" w:hAnsi="Book Antiqua"/>
          <w:color w:val="000000" w:themeColor="text1"/>
        </w:rPr>
      </w:pPr>
      <w:r w:rsidRPr="00E224E9">
        <w:rPr>
          <w:rFonts w:ascii="Book Antiqua" w:hAnsi="標楷體"/>
          <w:color w:val="000000" w:themeColor="text1"/>
        </w:rPr>
        <w:lastRenderedPageBreak/>
        <w:t>投資型態請依序填列</w:t>
      </w:r>
      <w:r w:rsidR="00946FB7" w:rsidRPr="00E224E9">
        <w:rPr>
          <w:rFonts w:ascii="Book Antiqua" w:hAnsi="標楷體" w:hint="eastAsia"/>
          <w:color w:val="000000" w:themeColor="text1"/>
        </w:rPr>
        <w:t>A1.</w:t>
      </w:r>
      <w:r w:rsidR="00946FB7" w:rsidRPr="00E224E9">
        <w:rPr>
          <w:rFonts w:ascii="Book Antiqua" w:hAnsi="標楷體" w:hint="eastAsia"/>
          <w:color w:val="000000" w:themeColor="text1"/>
        </w:rPr>
        <w:t>透過損益按公允價值衡量之金融資產</w:t>
      </w:r>
      <w:r w:rsidR="00946FB7" w:rsidRPr="00E224E9">
        <w:rPr>
          <w:rFonts w:ascii="Book Antiqua" w:hAnsi="標楷體" w:hint="eastAsia"/>
          <w:color w:val="000000" w:themeColor="text1"/>
        </w:rPr>
        <w:t>-</w:t>
      </w:r>
      <w:r w:rsidR="00946FB7" w:rsidRPr="00E224E9">
        <w:rPr>
          <w:rFonts w:ascii="Book Antiqua" w:hAnsi="標楷體" w:hint="eastAsia"/>
          <w:color w:val="000000" w:themeColor="text1"/>
        </w:rPr>
        <w:t>採用覆蓋法</w:t>
      </w:r>
      <w:r w:rsidR="00946FB7" w:rsidRPr="00E224E9">
        <w:rPr>
          <w:rFonts w:ascii="Book Antiqua" w:hAnsi="標楷體" w:hint="eastAsia"/>
          <w:color w:val="000000" w:themeColor="text1"/>
        </w:rPr>
        <w:t>,A2.</w:t>
      </w:r>
      <w:r w:rsidR="00946FB7" w:rsidRPr="00E224E9">
        <w:rPr>
          <w:rFonts w:ascii="Book Antiqua" w:hAnsi="標楷體" w:hint="eastAsia"/>
          <w:color w:val="000000" w:themeColor="text1"/>
        </w:rPr>
        <w:t>透過損益按公允價值衡量之金融資產</w:t>
      </w:r>
      <w:r w:rsidR="00946FB7" w:rsidRPr="00E224E9">
        <w:rPr>
          <w:rFonts w:ascii="Book Antiqua" w:hAnsi="標楷體" w:hint="eastAsia"/>
          <w:color w:val="000000" w:themeColor="text1"/>
        </w:rPr>
        <w:t>-</w:t>
      </w:r>
      <w:r w:rsidR="00946FB7" w:rsidRPr="00E224E9">
        <w:rPr>
          <w:rFonts w:ascii="Book Antiqua" w:hAnsi="標楷體" w:hint="eastAsia"/>
          <w:color w:val="000000" w:themeColor="text1"/>
        </w:rPr>
        <w:t>未採用覆蓋法</w:t>
      </w:r>
      <w:r w:rsidR="00946FB7" w:rsidRPr="00E224E9">
        <w:rPr>
          <w:rFonts w:ascii="Book Antiqua" w:hAnsi="標楷體" w:hint="eastAsia"/>
          <w:color w:val="000000" w:themeColor="text1"/>
        </w:rPr>
        <w:t>,B.</w:t>
      </w:r>
      <w:r w:rsidR="00946FB7" w:rsidRPr="00E224E9">
        <w:rPr>
          <w:rFonts w:ascii="Book Antiqua" w:hAnsi="標楷體" w:hint="eastAsia"/>
          <w:color w:val="000000" w:themeColor="text1"/>
        </w:rPr>
        <w:t>透過其他綜合損益按公允價值衡量之金融資產</w:t>
      </w:r>
      <w:r w:rsidR="00946FB7" w:rsidRPr="00E224E9">
        <w:rPr>
          <w:rFonts w:ascii="Book Antiqua" w:hAnsi="標楷體" w:hint="eastAsia"/>
          <w:color w:val="000000" w:themeColor="text1"/>
        </w:rPr>
        <w:t>,C.</w:t>
      </w:r>
      <w:r w:rsidR="00946FB7" w:rsidRPr="00E224E9">
        <w:rPr>
          <w:rFonts w:ascii="Book Antiqua" w:hAnsi="標楷體" w:hint="eastAsia"/>
          <w:color w:val="000000" w:themeColor="text1"/>
        </w:rPr>
        <w:t>按攤銷後成本衡量之金融資產</w:t>
      </w:r>
      <w:r w:rsidR="00946FB7" w:rsidRPr="00E224E9">
        <w:rPr>
          <w:rFonts w:ascii="Book Antiqua" w:hAnsi="標楷體" w:hint="eastAsia"/>
          <w:color w:val="000000" w:themeColor="text1"/>
        </w:rPr>
        <w:t>,D.</w:t>
      </w:r>
      <w:r w:rsidRPr="00E224E9">
        <w:rPr>
          <w:rFonts w:ascii="Book Antiqua" w:hAnsi="標楷體"/>
          <w:color w:val="000000" w:themeColor="text1"/>
        </w:rPr>
        <w:t>其他金融資產。</w:t>
      </w:r>
    </w:p>
    <w:p w14:paraId="698A6BD4"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12</w:t>
      </w:r>
      <w:r w:rsidRPr="00E224E9">
        <w:rPr>
          <w:rFonts w:ascii="Book Antiqua" w:hAnsi="標楷體"/>
          <w:color w:val="000000" w:themeColor="text1"/>
        </w:rPr>
        <w:t>欄－管理機構規模</w:t>
      </w:r>
      <w:r w:rsidRPr="00E224E9">
        <w:rPr>
          <w:rFonts w:ascii="Book Antiqua" w:hAnsi="Book Antiqua"/>
          <w:color w:val="000000" w:themeColor="text1"/>
        </w:rPr>
        <w:tab/>
      </w:r>
    </w:p>
    <w:p w14:paraId="7E5795FA" w14:textId="77777777" w:rsidR="009942EA" w:rsidRPr="00E224E9" w:rsidRDefault="009942EA" w:rsidP="00F3152E">
      <w:pPr>
        <w:spacing w:line="440" w:lineRule="exact"/>
        <w:ind w:leftChars="171" w:left="445" w:firstLineChars="7" w:firstLine="18"/>
        <w:rPr>
          <w:rFonts w:ascii="Book Antiqua" w:hAnsi="Book Antiqua"/>
          <w:color w:val="000000" w:themeColor="text1"/>
        </w:rPr>
      </w:pPr>
      <w:r w:rsidRPr="00E224E9">
        <w:rPr>
          <w:rFonts w:ascii="Book Antiqua" w:hAnsi="標楷體"/>
          <w:color w:val="000000" w:themeColor="text1"/>
        </w:rPr>
        <w:t>管理機構規模欄請填列管理機構所管理基金總資產淨值幾億美元（請以期末匯率換算</w:t>
      </w:r>
      <w:r w:rsidR="00946FB7" w:rsidRPr="00E224E9">
        <w:rPr>
          <w:rFonts w:ascii="Book Antiqua" w:hAnsi="Book Antiqua" w:hint="eastAsia"/>
          <w:color w:val="000000" w:themeColor="text1"/>
        </w:rPr>
        <w:t>，</w:t>
      </w:r>
      <w:r w:rsidRPr="00E224E9">
        <w:rPr>
          <w:rFonts w:ascii="Book Antiqua" w:hAnsi="標楷體"/>
          <w:color w:val="000000" w:themeColor="text1"/>
        </w:rPr>
        <w:t>若屬非美元資產請換算為美元資產）</w:t>
      </w:r>
      <w:r w:rsidR="00946FB7" w:rsidRPr="00E224E9">
        <w:rPr>
          <w:rFonts w:ascii="Book Antiqua" w:hAnsi="Book Antiqua" w:hint="eastAsia"/>
          <w:color w:val="000000" w:themeColor="text1"/>
        </w:rPr>
        <w:t>，</w:t>
      </w:r>
      <w:r w:rsidRPr="00E224E9">
        <w:rPr>
          <w:rFonts w:ascii="Book Antiqua" w:hAnsi="標楷體"/>
          <w:color w:val="000000" w:themeColor="text1"/>
        </w:rPr>
        <w:t>國內投資免填。</w:t>
      </w:r>
    </w:p>
    <w:p w14:paraId="0121A297"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13</w:t>
      </w:r>
      <w:r w:rsidRPr="00E224E9">
        <w:rPr>
          <w:rFonts w:ascii="Book Antiqua" w:hAnsi="標楷體"/>
          <w:color w:val="000000" w:themeColor="text1"/>
        </w:rPr>
        <w:t>欄－管理機構成立年期</w:t>
      </w:r>
      <w:r w:rsidRPr="00E224E9">
        <w:rPr>
          <w:rFonts w:ascii="Book Antiqua" w:hAnsi="Book Antiqua"/>
          <w:color w:val="000000" w:themeColor="text1"/>
        </w:rPr>
        <w:tab/>
      </w:r>
    </w:p>
    <w:p w14:paraId="02673D9F" w14:textId="77777777" w:rsidR="009942EA" w:rsidRPr="00E224E9" w:rsidRDefault="009942EA" w:rsidP="00C74DED">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基金規模與管理機構規模及成立年期均以購買時點認計</w:t>
      </w:r>
      <w:r w:rsidR="00946FB7" w:rsidRPr="00E224E9">
        <w:rPr>
          <w:rFonts w:ascii="Book Antiqua" w:hAnsi="Book Antiqua" w:hint="eastAsia"/>
          <w:color w:val="000000" w:themeColor="text1"/>
        </w:rPr>
        <w:t>，</w:t>
      </w:r>
      <w:r w:rsidRPr="00E224E9">
        <w:rPr>
          <w:rFonts w:ascii="Book Antiqua" w:hAnsi="標楷體"/>
          <w:color w:val="000000" w:themeColor="text1"/>
        </w:rPr>
        <w:t>並得自九十三年一月一日以後新購之標的予以填列</w:t>
      </w:r>
      <w:r w:rsidR="00946FB7" w:rsidRPr="00E224E9">
        <w:rPr>
          <w:rFonts w:ascii="Book Antiqua" w:hAnsi="Book Antiqua" w:hint="eastAsia"/>
          <w:color w:val="000000" w:themeColor="text1"/>
        </w:rPr>
        <w:t>，</w:t>
      </w:r>
      <w:r w:rsidRPr="00E224E9">
        <w:rPr>
          <w:rFonts w:ascii="Book Antiqua" w:hAnsi="標楷體"/>
          <w:color w:val="000000" w:themeColor="text1"/>
        </w:rPr>
        <w:t>國內投資免填。</w:t>
      </w:r>
    </w:p>
    <w:p w14:paraId="4DB3AA2B" w14:textId="77777777" w:rsidR="009942EA" w:rsidRPr="00E224E9" w:rsidRDefault="009942EA" w:rsidP="00066335">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14</w:t>
      </w:r>
      <w:r w:rsidRPr="00E224E9">
        <w:rPr>
          <w:rFonts w:ascii="Book Antiqua" w:hAnsi="標楷體"/>
          <w:color w:val="000000" w:themeColor="text1"/>
        </w:rPr>
        <w:t>欄－持有資產幣別</w:t>
      </w:r>
      <w:r w:rsidRPr="00E224E9">
        <w:rPr>
          <w:rFonts w:ascii="Book Antiqua" w:hAnsi="Book Antiqua"/>
          <w:color w:val="000000" w:themeColor="text1"/>
        </w:rPr>
        <w:tab/>
      </w:r>
    </w:p>
    <w:p w14:paraId="00941BD0" w14:textId="77777777" w:rsidR="009942EA" w:rsidRPr="00E224E9" w:rsidRDefault="009942EA" w:rsidP="008F1CA5">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本表均含國內外投資</w:t>
      </w:r>
      <w:r w:rsidR="006122C0" w:rsidRPr="00E224E9">
        <w:rPr>
          <w:rFonts w:ascii="Book Antiqua" w:hAnsi="Book Antiqua" w:hint="eastAsia"/>
          <w:color w:val="000000" w:themeColor="text1"/>
        </w:rPr>
        <w:t>，</w:t>
      </w:r>
      <w:r w:rsidRPr="00E224E9">
        <w:rPr>
          <w:rFonts w:ascii="Book Antiqua" w:hAnsi="標楷體"/>
          <w:color w:val="000000" w:themeColor="text1"/>
        </w:rPr>
        <w:t>若屬國外投資者於持有資產幣別請填該幣別代號如</w:t>
      </w:r>
      <w:r w:rsidRPr="00E224E9">
        <w:rPr>
          <w:rFonts w:ascii="Book Antiqua" w:hAnsi="Book Antiqua"/>
          <w:color w:val="000000" w:themeColor="text1"/>
        </w:rPr>
        <w:t>USD</w:t>
      </w:r>
      <w:r w:rsidR="006122C0" w:rsidRPr="00E224E9">
        <w:rPr>
          <w:rFonts w:ascii="Book Antiqua" w:hAnsi="Book Antiqua" w:hint="eastAsia"/>
          <w:color w:val="000000" w:themeColor="text1"/>
        </w:rPr>
        <w:t>，</w:t>
      </w:r>
      <w:r w:rsidRPr="00E224E9">
        <w:rPr>
          <w:rFonts w:ascii="Book Antiqua" w:hAnsi="標楷體"/>
          <w:color w:val="000000" w:themeColor="text1"/>
        </w:rPr>
        <w:t>若投資</w:t>
      </w:r>
      <w:r w:rsidRPr="00E224E9">
        <w:rPr>
          <w:rFonts w:ascii="Book Antiqua" w:hAnsi="標楷體" w:hint="eastAsia"/>
          <w:color w:val="000000" w:themeColor="text1"/>
        </w:rPr>
        <w:t>新興市場</w:t>
      </w:r>
      <w:r w:rsidRPr="00E224E9">
        <w:rPr>
          <w:rFonts w:ascii="Book Antiqua" w:hAnsi="標楷體"/>
          <w:color w:val="000000" w:themeColor="text1"/>
        </w:rPr>
        <w:t>而按</w:t>
      </w:r>
      <w:r w:rsidRPr="00E224E9">
        <w:rPr>
          <w:rFonts w:ascii="Book Antiqua" w:hAnsi="標楷體" w:hint="eastAsia"/>
          <w:color w:val="000000" w:themeColor="text1"/>
        </w:rPr>
        <w:t>已開發國家</w:t>
      </w:r>
      <w:r w:rsidRPr="00E224E9">
        <w:rPr>
          <w:rFonts w:ascii="Book Antiqua" w:hAnsi="標楷體"/>
          <w:color w:val="000000" w:themeColor="text1"/>
        </w:rPr>
        <w:t>幣別計價者，請將該幣別增加一碼如</w:t>
      </w:r>
      <w:r w:rsidRPr="00E224E9">
        <w:rPr>
          <w:rFonts w:ascii="Book Antiqua" w:hAnsi="Book Antiqua"/>
          <w:color w:val="000000" w:themeColor="text1"/>
        </w:rPr>
        <w:t>USD-1</w:t>
      </w:r>
      <w:r w:rsidRPr="00E224E9">
        <w:rPr>
          <w:rFonts w:ascii="Book Antiqua" w:hAnsi="標楷體"/>
          <w:color w:val="000000" w:themeColor="text1"/>
        </w:rPr>
        <w:t>。</w:t>
      </w:r>
    </w:p>
    <w:p w14:paraId="4CFB99CF" w14:textId="77777777" w:rsidR="009942EA" w:rsidRPr="00E224E9" w:rsidRDefault="009942EA" w:rsidP="00BC7FC0">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16</w:t>
      </w:r>
      <w:r w:rsidRPr="00E224E9">
        <w:rPr>
          <w:rFonts w:ascii="Book Antiqua" w:hAnsi="標楷體"/>
          <w:color w:val="000000" w:themeColor="text1"/>
        </w:rPr>
        <w:t>欄－帳載金額占該基金規模比率</w:t>
      </w:r>
      <w:r w:rsidRPr="00E224E9">
        <w:rPr>
          <w:rFonts w:ascii="Book Antiqua" w:hAnsi="Book Antiqua"/>
          <w:color w:val="000000" w:themeColor="text1"/>
        </w:rPr>
        <w:tab/>
      </w:r>
    </w:p>
    <w:p w14:paraId="6B486A39" w14:textId="77777777" w:rsidR="009942EA" w:rsidRPr="00E224E9" w:rsidRDefault="009942EA" w:rsidP="00BE6FC3">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若屬國外投資規模以期末匯率換算為新台幣，再以帳載金額除以該基金規模台幣數。</w:t>
      </w:r>
    </w:p>
    <w:p w14:paraId="541FF1B6" w14:textId="77777777" w:rsidR="009942EA" w:rsidRPr="00E224E9" w:rsidRDefault="009942EA" w:rsidP="00020FEE">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17</w:t>
      </w:r>
      <w:r w:rsidRPr="00E224E9">
        <w:rPr>
          <w:rFonts w:ascii="Book Antiqua" w:hAnsi="標楷體"/>
          <w:color w:val="000000" w:themeColor="text1"/>
        </w:rPr>
        <w:t>欄－本期增加帳載金額</w:t>
      </w:r>
      <w:r w:rsidRPr="00E224E9">
        <w:rPr>
          <w:rFonts w:ascii="Book Antiqua" w:hAnsi="Book Antiqua"/>
          <w:color w:val="000000" w:themeColor="text1"/>
        </w:rPr>
        <w:tab/>
      </w:r>
    </w:p>
    <w:p w14:paraId="6888A742" w14:textId="77777777" w:rsidR="009942EA" w:rsidRPr="00E224E9" w:rsidRDefault="009942EA" w:rsidP="000004F9">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本期贖入基金之成本如屬國外投資需加上匯兌損益。</w:t>
      </w:r>
    </w:p>
    <w:p w14:paraId="5D858E81" w14:textId="77777777" w:rsidR="009942EA" w:rsidRPr="00E224E9" w:rsidRDefault="009942EA" w:rsidP="00A51CC3">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18</w:t>
      </w:r>
      <w:r w:rsidRPr="00E224E9">
        <w:rPr>
          <w:rFonts w:ascii="Book Antiqua" w:hAnsi="標楷體"/>
          <w:color w:val="000000" w:themeColor="text1"/>
        </w:rPr>
        <w:t>欄－本期減少帳載金額</w:t>
      </w:r>
      <w:r w:rsidRPr="00E224E9">
        <w:rPr>
          <w:rFonts w:ascii="Book Antiqua" w:hAnsi="Book Antiqua"/>
          <w:color w:val="000000" w:themeColor="text1"/>
        </w:rPr>
        <w:tab/>
      </w:r>
    </w:p>
    <w:p w14:paraId="67B8CA8B" w14:textId="77777777" w:rsidR="009942EA" w:rsidRPr="00E224E9" w:rsidRDefault="009942EA" w:rsidP="000206A8">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本期處分基金之成本。</w:t>
      </w:r>
    </w:p>
    <w:p w14:paraId="373F34FA" w14:textId="77777777" w:rsidR="009942EA" w:rsidRPr="00E224E9" w:rsidRDefault="009942EA" w:rsidP="000E3D2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19</w:t>
      </w:r>
      <w:r w:rsidRPr="00E224E9">
        <w:rPr>
          <w:rFonts w:ascii="Book Antiqua" w:hAnsi="標楷體"/>
          <w:color w:val="000000" w:themeColor="text1"/>
        </w:rPr>
        <w:t>欄－期末帳載金額</w:t>
      </w:r>
      <w:r w:rsidRPr="00E224E9">
        <w:rPr>
          <w:rFonts w:ascii="Book Antiqua" w:hAnsi="Book Antiqua"/>
          <w:color w:val="000000" w:themeColor="text1"/>
        </w:rPr>
        <w:t>(</w:t>
      </w:r>
      <w:r w:rsidRPr="00E224E9">
        <w:rPr>
          <w:rFonts w:ascii="Book Antiqua" w:hAnsi="標楷體"/>
          <w:color w:val="000000" w:themeColor="text1"/>
        </w:rPr>
        <w:t>主排序</w:t>
      </w:r>
      <w:r w:rsidRPr="00E224E9">
        <w:rPr>
          <w:rFonts w:ascii="Book Antiqua" w:hAnsi="Book Antiqua"/>
          <w:color w:val="000000" w:themeColor="text1"/>
        </w:rPr>
        <w:t>-</w:t>
      </w:r>
      <w:r w:rsidRPr="00E224E9">
        <w:rPr>
          <w:rFonts w:ascii="Book Antiqua" w:hAnsi="標楷體"/>
          <w:color w:val="000000" w:themeColor="text1"/>
        </w:rPr>
        <w:t>遞減</w:t>
      </w:r>
      <w:r w:rsidRPr="00E224E9">
        <w:rPr>
          <w:rFonts w:ascii="Book Antiqua" w:hAnsi="Book Antiqua"/>
          <w:color w:val="000000" w:themeColor="text1"/>
        </w:rPr>
        <w:t>)</w:t>
      </w:r>
      <w:r w:rsidRPr="00E224E9">
        <w:rPr>
          <w:rFonts w:ascii="Book Antiqua" w:hAnsi="Book Antiqua"/>
          <w:color w:val="000000" w:themeColor="text1"/>
        </w:rPr>
        <w:tab/>
      </w:r>
    </w:p>
    <w:p w14:paraId="0EE025AD" w14:textId="77777777" w:rsidR="009942EA" w:rsidRPr="00E224E9" w:rsidRDefault="009942EA" w:rsidP="000E3D27">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帳載金額以市值表示，國外投資以期末匯率換算為新台幣市值。並以金額大小做主排序－遞減。</w:t>
      </w:r>
    </w:p>
    <w:p w14:paraId="481222EE" w14:textId="77777777" w:rsidR="009942EA" w:rsidRPr="00E224E9" w:rsidRDefault="009942EA" w:rsidP="000E3D2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20</w:t>
      </w:r>
      <w:r w:rsidRPr="00E224E9">
        <w:rPr>
          <w:rFonts w:ascii="Book Antiqua" w:hAnsi="標楷體"/>
          <w:color w:val="000000" w:themeColor="text1"/>
        </w:rPr>
        <w:t>欄－最近</w:t>
      </w:r>
      <w:r w:rsidR="00A20270" w:rsidRPr="00E224E9">
        <w:rPr>
          <w:rFonts w:ascii="Book Antiqua" w:hAnsi="標楷體" w:hint="eastAsia"/>
          <w:color w:val="000000" w:themeColor="text1"/>
        </w:rPr>
        <w:t>收盤</w:t>
      </w:r>
      <w:r w:rsidRPr="00E224E9">
        <w:rPr>
          <w:rFonts w:ascii="Book Antiqua" w:hAnsi="標楷體"/>
          <w:color w:val="000000" w:themeColor="text1"/>
        </w:rPr>
        <w:t>日公允價值</w:t>
      </w:r>
      <w:r w:rsidR="00A20270" w:rsidRPr="00E224E9">
        <w:rPr>
          <w:rFonts w:ascii="Book Antiqua" w:hAnsi="標楷體" w:hint="eastAsia"/>
          <w:color w:val="000000" w:themeColor="text1"/>
        </w:rPr>
        <w:t>或淨值</w:t>
      </w:r>
      <w:r w:rsidRPr="00E224E9">
        <w:rPr>
          <w:rFonts w:ascii="Book Antiqua" w:hAnsi="標楷體"/>
          <w:color w:val="000000" w:themeColor="text1"/>
        </w:rPr>
        <w:t>總金額</w:t>
      </w:r>
      <w:r w:rsidRPr="00E224E9">
        <w:rPr>
          <w:rFonts w:ascii="Book Antiqua" w:hAnsi="Book Antiqua"/>
          <w:color w:val="000000" w:themeColor="text1"/>
        </w:rPr>
        <w:tab/>
      </w:r>
    </w:p>
    <w:p w14:paraId="7AD2F06E" w14:textId="77777777" w:rsidR="009942EA" w:rsidRPr="00E224E9" w:rsidRDefault="009942EA" w:rsidP="000E3D27">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為基金之公允價值</w:t>
      </w:r>
      <w:r w:rsidR="00A20270" w:rsidRPr="00E224E9">
        <w:rPr>
          <w:rFonts w:ascii="Book Antiqua" w:hAnsi="標楷體" w:hint="eastAsia"/>
          <w:color w:val="000000" w:themeColor="text1"/>
        </w:rPr>
        <w:t>或淨值</w:t>
      </w:r>
      <w:r w:rsidRPr="00E224E9">
        <w:rPr>
          <w:rFonts w:ascii="Book Antiqua" w:hAnsi="標楷體"/>
          <w:color w:val="000000" w:themeColor="text1"/>
        </w:rPr>
        <w:t>，國外投資以期末匯率換算為新台幣市值。</w:t>
      </w:r>
    </w:p>
    <w:p w14:paraId="095EA25A" w14:textId="77777777" w:rsidR="009942EA" w:rsidRPr="00E224E9" w:rsidRDefault="009942EA" w:rsidP="000E3D2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21</w:t>
      </w:r>
      <w:r w:rsidRPr="00E224E9">
        <w:rPr>
          <w:rFonts w:ascii="Book Antiqua" w:hAnsi="標楷體"/>
          <w:color w:val="000000" w:themeColor="text1"/>
        </w:rPr>
        <w:t>欄－未實現損益</w:t>
      </w:r>
      <w:r w:rsidR="00A20270" w:rsidRPr="00E224E9">
        <w:rPr>
          <w:rFonts w:ascii="Book Antiqua" w:hAnsi="標楷體" w:hint="eastAsia"/>
          <w:color w:val="000000" w:themeColor="text1"/>
        </w:rPr>
        <w:t>-</w:t>
      </w:r>
      <w:r w:rsidR="00A20270" w:rsidRPr="00E224E9">
        <w:rPr>
          <w:rFonts w:ascii="Book Antiqua" w:hAnsi="標楷體" w:hint="eastAsia"/>
          <w:color w:val="000000" w:themeColor="text1"/>
        </w:rPr>
        <w:t>非以公允價值評價者</w:t>
      </w:r>
      <w:r w:rsidRPr="00E224E9">
        <w:rPr>
          <w:rFonts w:ascii="Book Antiqua" w:hAnsi="Book Antiqua"/>
          <w:color w:val="000000" w:themeColor="text1"/>
        </w:rPr>
        <w:tab/>
      </w:r>
    </w:p>
    <w:p w14:paraId="0E8709E0" w14:textId="77777777" w:rsidR="009942EA" w:rsidRPr="00E224E9" w:rsidRDefault="009942EA" w:rsidP="000E3D27">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標楷體"/>
          <w:color w:val="000000" w:themeColor="text1"/>
        </w:rPr>
        <w:t>為第</w:t>
      </w:r>
      <w:r w:rsidRPr="00E224E9">
        <w:rPr>
          <w:rFonts w:ascii="Book Antiqua" w:hAnsi="Book Antiqua"/>
          <w:color w:val="000000" w:themeColor="text1"/>
        </w:rPr>
        <w:t>20</w:t>
      </w:r>
      <w:r w:rsidRPr="00E224E9">
        <w:rPr>
          <w:rFonts w:ascii="Book Antiqua" w:hAnsi="標楷體"/>
          <w:color w:val="000000" w:themeColor="text1"/>
        </w:rPr>
        <w:t>欄－最近</w:t>
      </w:r>
      <w:r w:rsidR="00A20270" w:rsidRPr="00E224E9">
        <w:rPr>
          <w:rFonts w:ascii="Book Antiqua" w:hAnsi="標楷體" w:hint="eastAsia"/>
          <w:color w:val="000000" w:themeColor="text1"/>
        </w:rPr>
        <w:t>收盤</w:t>
      </w:r>
      <w:r w:rsidRPr="00E224E9">
        <w:rPr>
          <w:rFonts w:ascii="Book Antiqua" w:hAnsi="標楷體"/>
          <w:color w:val="000000" w:themeColor="text1"/>
        </w:rPr>
        <w:t>日公允價值</w:t>
      </w:r>
      <w:r w:rsidR="00A20270" w:rsidRPr="00E224E9">
        <w:rPr>
          <w:rFonts w:ascii="Book Antiqua" w:hAnsi="標楷體" w:hint="eastAsia"/>
          <w:color w:val="000000" w:themeColor="text1"/>
        </w:rPr>
        <w:t>或淨值</w:t>
      </w:r>
      <w:r w:rsidRPr="00E224E9">
        <w:rPr>
          <w:rFonts w:ascii="Book Antiqua" w:hAnsi="標楷體"/>
          <w:color w:val="000000" w:themeColor="text1"/>
        </w:rPr>
        <w:t>總金額減去第</w:t>
      </w:r>
      <w:r w:rsidRPr="00E224E9">
        <w:rPr>
          <w:rFonts w:ascii="Book Antiqua" w:hAnsi="Book Antiqua"/>
          <w:color w:val="000000" w:themeColor="text1"/>
        </w:rPr>
        <w:t>19</w:t>
      </w:r>
      <w:r w:rsidRPr="00E224E9">
        <w:rPr>
          <w:rFonts w:ascii="Book Antiqua" w:hAnsi="標楷體"/>
          <w:color w:val="000000" w:themeColor="text1"/>
        </w:rPr>
        <w:t>欄－期末帳載金額之金額。</w:t>
      </w:r>
    </w:p>
    <w:p w14:paraId="6D928C2C" w14:textId="77777777" w:rsidR="00A20270" w:rsidRPr="00E224E9" w:rsidRDefault="00A20270" w:rsidP="00A20270">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Book Antiqua" w:hint="eastAsia"/>
          <w:color w:val="000000" w:themeColor="text1"/>
        </w:rPr>
        <w:t>2</w:t>
      </w:r>
      <w:r w:rsidRPr="00E224E9">
        <w:rPr>
          <w:rFonts w:ascii="Book Antiqua" w:hAnsi="標楷體"/>
          <w:color w:val="000000" w:themeColor="text1"/>
        </w:rPr>
        <w:t>欄－未實現損益</w:t>
      </w:r>
      <w:r w:rsidRPr="00E224E9">
        <w:rPr>
          <w:rFonts w:ascii="Book Antiqua" w:hAnsi="標楷體" w:hint="eastAsia"/>
          <w:color w:val="000000" w:themeColor="text1"/>
        </w:rPr>
        <w:t>-</w:t>
      </w:r>
      <w:r w:rsidRPr="00E224E9">
        <w:rPr>
          <w:rFonts w:ascii="Book Antiqua" w:hAnsi="標楷體" w:hint="eastAsia"/>
          <w:color w:val="000000" w:themeColor="text1"/>
        </w:rPr>
        <w:t>以公允價值評價者</w:t>
      </w:r>
    </w:p>
    <w:p w14:paraId="2A185DDC" w14:textId="77777777" w:rsidR="00A20270" w:rsidRPr="00E224E9" w:rsidRDefault="007A605F" w:rsidP="005D67C7">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hint="eastAsia"/>
          <w:color w:val="000000" w:themeColor="text1"/>
        </w:rPr>
        <w:t>為「透過損益按公允價值衡量之金融資產」或「透過其他綜合損益按公允價值</w:t>
      </w:r>
      <w:r w:rsidRPr="00E224E9">
        <w:rPr>
          <w:rFonts w:ascii="Book Antiqua" w:hAnsi="標楷體" w:hint="eastAsia"/>
          <w:color w:val="000000" w:themeColor="text1"/>
        </w:rPr>
        <w:lastRenderedPageBreak/>
        <w:t>衡量之金融資產」之未實現持有利得或損失，即按金融資產公允價值衡量而提列之累積評價調整金額。</w:t>
      </w:r>
    </w:p>
    <w:p w14:paraId="03D58DBA" w14:textId="77777777" w:rsidR="009942EA" w:rsidRPr="00E224E9" w:rsidRDefault="009942EA" w:rsidP="00C74DED">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A20270" w:rsidRPr="00E224E9">
        <w:rPr>
          <w:rFonts w:ascii="Book Antiqua" w:hAnsi="Book Antiqua" w:hint="eastAsia"/>
          <w:color w:val="000000" w:themeColor="text1"/>
        </w:rPr>
        <w:t>3</w:t>
      </w:r>
      <w:r w:rsidRPr="00E224E9">
        <w:rPr>
          <w:rFonts w:ascii="Book Antiqua" w:hAnsi="標楷體"/>
          <w:color w:val="000000" w:themeColor="text1"/>
        </w:rPr>
        <w:t>欄－帳載金額占資金總額比率</w:t>
      </w:r>
      <w:r w:rsidRPr="00E224E9">
        <w:rPr>
          <w:rFonts w:ascii="Book Antiqua" w:hAnsi="Book Antiqua"/>
          <w:color w:val="000000" w:themeColor="text1"/>
        </w:rPr>
        <w:t>%</w:t>
      </w:r>
    </w:p>
    <w:p w14:paraId="32AAD304" w14:textId="77777777" w:rsidR="009942EA" w:rsidRPr="00E224E9" w:rsidRDefault="009942EA" w:rsidP="00C74DED">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為第</w:t>
      </w:r>
      <w:r w:rsidRPr="00E224E9">
        <w:rPr>
          <w:rFonts w:ascii="Book Antiqua" w:hAnsi="Book Antiqua"/>
          <w:color w:val="000000" w:themeColor="text1"/>
        </w:rPr>
        <w:t>19</w:t>
      </w:r>
      <w:r w:rsidRPr="00E224E9">
        <w:rPr>
          <w:rFonts w:ascii="Book Antiqua" w:hAnsi="標楷體"/>
          <w:color w:val="000000" w:themeColor="text1"/>
        </w:rPr>
        <w:t>欄－</w:t>
      </w:r>
      <w:r w:rsidR="00A20270" w:rsidRPr="00E224E9">
        <w:rPr>
          <w:rFonts w:ascii="Book Antiqua" w:hAnsi="標楷體" w:hint="eastAsia"/>
          <w:color w:val="000000" w:themeColor="text1"/>
        </w:rPr>
        <w:t>期末</w:t>
      </w:r>
      <w:r w:rsidRPr="00E224E9">
        <w:rPr>
          <w:rFonts w:ascii="Book Antiqua" w:hAnsi="標楷體"/>
          <w:color w:val="000000" w:themeColor="text1"/>
        </w:rPr>
        <w:t>帳載金額之金額除以</w:t>
      </w:r>
      <w:r w:rsidR="00A20270" w:rsidRPr="00E224E9">
        <w:rPr>
          <w:rFonts w:ascii="Book Antiqua" w:hAnsi="標楷體" w:hint="eastAsia"/>
          <w:color w:val="000000" w:themeColor="text1"/>
        </w:rPr>
        <w:t>「</w:t>
      </w:r>
      <w:r w:rsidRPr="00E224E9">
        <w:rPr>
          <w:rFonts w:ascii="Book Antiqua" w:hAnsi="標楷體"/>
          <w:color w:val="000000" w:themeColor="text1"/>
        </w:rPr>
        <w:t>表</w:t>
      </w:r>
      <w:r w:rsidRPr="00E224E9">
        <w:rPr>
          <w:rFonts w:ascii="Book Antiqua" w:hAnsi="Book Antiqua"/>
          <w:color w:val="000000" w:themeColor="text1"/>
        </w:rPr>
        <w:t>05</w:t>
      </w:r>
      <w:r w:rsidR="00642662" w:rsidRPr="00E224E9">
        <w:rPr>
          <w:rFonts w:ascii="Book Antiqua" w:hAnsi="Book Antiqua" w:hint="eastAsia"/>
          <w:color w:val="000000" w:themeColor="text1"/>
        </w:rPr>
        <w:t>-1</w:t>
      </w:r>
      <w:r w:rsidR="000206A8" w:rsidRPr="00E224E9">
        <w:rPr>
          <w:rFonts w:ascii="Book Antiqua" w:hAnsi="Book Antiqua" w:hint="eastAsia"/>
          <w:color w:val="000000" w:themeColor="text1"/>
        </w:rPr>
        <w:t>：</w:t>
      </w:r>
      <w:r w:rsidRPr="00E224E9">
        <w:rPr>
          <w:rFonts w:ascii="Book Antiqua" w:hAnsi="標楷體"/>
          <w:color w:val="000000" w:themeColor="text1"/>
        </w:rPr>
        <w:t>資金運用表</w:t>
      </w:r>
      <w:r w:rsidR="00A20270" w:rsidRPr="00E224E9">
        <w:rPr>
          <w:rFonts w:ascii="Book Antiqua" w:hAnsi="標楷體" w:hint="eastAsia"/>
          <w:color w:val="000000" w:themeColor="text1"/>
        </w:rPr>
        <w:t>」</w:t>
      </w: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欄第</w:t>
      </w:r>
      <w:r w:rsidRPr="00E224E9">
        <w:rPr>
          <w:rFonts w:ascii="Book Antiqua" w:hAnsi="Book Antiqua"/>
          <w:color w:val="000000" w:themeColor="text1"/>
        </w:rPr>
        <w:t>2</w:t>
      </w:r>
      <w:r w:rsidR="000C6A59" w:rsidRPr="00E224E9">
        <w:rPr>
          <w:rFonts w:ascii="Book Antiqua" w:hAnsi="Book Antiqua" w:hint="eastAsia"/>
          <w:color w:val="000000" w:themeColor="text1"/>
        </w:rPr>
        <w:t>52</w:t>
      </w:r>
      <w:r w:rsidRPr="00E224E9">
        <w:rPr>
          <w:rFonts w:ascii="Book Antiqua" w:hAnsi="標楷體"/>
          <w:color w:val="000000" w:themeColor="text1"/>
        </w:rPr>
        <w:t>列資金來源總計。</w:t>
      </w:r>
    </w:p>
    <w:p w14:paraId="5E6E0E01" w14:textId="77777777" w:rsidR="009942EA" w:rsidRPr="00E224E9" w:rsidRDefault="009942EA" w:rsidP="00066335">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A20270" w:rsidRPr="00E224E9">
        <w:rPr>
          <w:rFonts w:ascii="Book Antiqua" w:hAnsi="Book Antiqua" w:hint="eastAsia"/>
          <w:color w:val="000000" w:themeColor="text1"/>
        </w:rPr>
        <w:t>4</w:t>
      </w:r>
      <w:r w:rsidRPr="00E224E9">
        <w:rPr>
          <w:rFonts w:ascii="Book Antiqua" w:hAnsi="標楷體"/>
          <w:color w:val="000000" w:themeColor="text1"/>
        </w:rPr>
        <w:t>欄－保管情形</w:t>
      </w:r>
    </w:p>
    <w:p w14:paraId="3F1C1621" w14:textId="77777777" w:rsidR="009942EA" w:rsidRPr="00E224E9" w:rsidRDefault="009942EA" w:rsidP="008F1CA5">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標楷體"/>
          <w:color w:val="000000" w:themeColor="text1"/>
        </w:rPr>
        <w:t>保管情形請填保管機構名稱及帳號</w:t>
      </w:r>
      <w:r w:rsidR="00A20270" w:rsidRPr="00E224E9">
        <w:rPr>
          <w:rFonts w:ascii="Book Antiqua" w:hAnsi="Book Antiqua" w:hint="eastAsia"/>
          <w:color w:val="000000" w:themeColor="text1"/>
        </w:rPr>
        <w:t>，</w:t>
      </w:r>
      <w:r w:rsidRPr="00E224E9">
        <w:rPr>
          <w:rFonts w:ascii="Book Antiqua" w:hAnsi="標楷體"/>
          <w:color w:val="000000" w:themeColor="text1"/>
        </w:rPr>
        <w:t>若屬集保帳戶請填集保。</w:t>
      </w:r>
    </w:p>
    <w:p w14:paraId="3389BAB1" w14:textId="77777777" w:rsidR="009942EA" w:rsidRPr="00E224E9" w:rsidRDefault="009942EA" w:rsidP="00BC7FC0">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A20270" w:rsidRPr="00E224E9">
        <w:rPr>
          <w:rFonts w:ascii="Book Antiqua" w:hAnsi="Book Antiqua" w:hint="eastAsia"/>
          <w:color w:val="000000" w:themeColor="text1"/>
        </w:rPr>
        <w:t>5</w:t>
      </w:r>
      <w:r w:rsidRPr="00E224E9">
        <w:rPr>
          <w:rFonts w:ascii="Book Antiqua" w:hAnsi="標楷體"/>
          <w:color w:val="000000" w:themeColor="text1"/>
        </w:rPr>
        <w:t>欄－</w:t>
      </w:r>
      <w:r w:rsidRPr="00E224E9">
        <w:rPr>
          <w:rFonts w:ascii="Book Antiqua" w:hAnsi="標楷體" w:hint="eastAsia"/>
          <w:color w:val="000000" w:themeColor="text1"/>
        </w:rPr>
        <w:t>取得成本</w:t>
      </w:r>
    </w:p>
    <w:p w14:paraId="45CBF5D0" w14:textId="77777777" w:rsidR="009942EA" w:rsidRPr="00E224E9" w:rsidRDefault="009942EA" w:rsidP="00BE6FC3">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Book Antiqua"/>
          <w:color w:val="000000" w:themeColor="text1"/>
        </w:rPr>
        <w:t>為購買標的之原始取得成本。</w:t>
      </w:r>
    </w:p>
    <w:p w14:paraId="3CA1FA6A" w14:textId="77777777" w:rsidR="009942EA" w:rsidRPr="00E224E9" w:rsidRDefault="009942EA" w:rsidP="00020FEE">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A20270" w:rsidRPr="00E224E9">
        <w:rPr>
          <w:rFonts w:ascii="Book Antiqua" w:hAnsi="Book Antiqua" w:hint="eastAsia"/>
          <w:color w:val="000000" w:themeColor="text1"/>
        </w:rPr>
        <w:t>6</w:t>
      </w:r>
      <w:r w:rsidRPr="00E224E9">
        <w:rPr>
          <w:rFonts w:ascii="Book Antiqua" w:hAnsi="標楷體"/>
          <w:color w:val="000000" w:themeColor="text1"/>
        </w:rPr>
        <w:t>欄－</w:t>
      </w:r>
      <w:r w:rsidRPr="00E224E9">
        <w:rPr>
          <w:rFonts w:ascii="Book Antiqua" w:hAnsi="標楷體" w:hint="eastAsia"/>
          <w:color w:val="000000" w:themeColor="text1"/>
        </w:rPr>
        <w:t>半年收盤平均價</w:t>
      </w:r>
    </w:p>
    <w:p w14:paraId="2D1083C9" w14:textId="77777777" w:rsidR="009942EA" w:rsidRPr="00E224E9" w:rsidRDefault="009942EA" w:rsidP="00020FEE">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hint="eastAsia"/>
          <w:color w:val="000000" w:themeColor="text1"/>
        </w:rPr>
        <w:t>係指依資產負債表日前半年每日收盤價計算之算術平均價格</w:t>
      </w:r>
      <w:r w:rsidRPr="00E224E9">
        <w:rPr>
          <w:rFonts w:ascii="Book Antiqua" w:hAnsi="標楷體"/>
          <w:color w:val="000000" w:themeColor="text1"/>
        </w:rPr>
        <w:t>。</w:t>
      </w:r>
    </w:p>
    <w:p w14:paraId="6D9C703D" w14:textId="77777777" w:rsidR="009942EA" w:rsidRPr="00E224E9" w:rsidRDefault="009942EA" w:rsidP="000004F9">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A20270" w:rsidRPr="00E224E9">
        <w:rPr>
          <w:rFonts w:ascii="Book Antiqua" w:hAnsi="Book Antiqua" w:hint="eastAsia"/>
          <w:color w:val="000000" w:themeColor="text1"/>
        </w:rPr>
        <w:t>7</w:t>
      </w:r>
      <w:r w:rsidRPr="00E224E9">
        <w:rPr>
          <w:rFonts w:ascii="Book Antiqua" w:hAnsi="標楷體"/>
          <w:color w:val="000000" w:themeColor="text1"/>
        </w:rPr>
        <w:t>欄－備註</w:t>
      </w:r>
    </w:p>
    <w:p w14:paraId="258AB32C" w14:textId="77777777" w:rsidR="009942EA" w:rsidRPr="00E224E9" w:rsidRDefault="009942EA" w:rsidP="00F3152E">
      <w:pPr>
        <w:spacing w:line="440" w:lineRule="exact"/>
        <w:ind w:firstLineChars="200" w:firstLine="520"/>
        <w:rPr>
          <w:rFonts w:ascii="Book Antiqua" w:hAnsi="Book Antiqua"/>
          <w:color w:val="000000" w:themeColor="text1"/>
        </w:rPr>
      </w:pPr>
      <w:r w:rsidRPr="00E224E9">
        <w:rPr>
          <w:rFonts w:ascii="Book Antiqua" w:hAnsi="標楷體"/>
          <w:color w:val="000000" w:themeColor="text1"/>
        </w:rPr>
        <w:t>若有其他需要補充說明之事項，請填列於此欄。</w:t>
      </w:r>
    </w:p>
    <w:p w14:paraId="55085EBF"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3D27B555"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37643F98"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1BE86929" w14:textId="77777777" w:rsidR="009942EA" w:rsidRPr="00E224E9" w:rsidRDefault="009942EA" w:rsidP="009942EA">
      <w:pPr>
        <w:pStyle w:val="1"/>
        <w:spacing w:after="120" w:line="440" w:lineRule="exact"/>
        <w:rPr>
          <w:color w:val="000000" w:themeColor="text1"/>
        </w:rPr>
      </w:pPr>
      <w:r w:rsidRPr="00E224E9">
        <w:rPr>
          <w:rFonts w:ascii="Book Antiqua" w:hAnsi="Book Antiqua"/>
          <w:color w:val="000000" w:themeColor="text1"/>
        </w:rPr>
        <w:br w:type="page"/>
      </w:r>
      <w:bookmarkStart w:id="59" w:name="_Toc219109736"/>
      <w:bookmarkStart w:id="60" w:name="_Toc219109808"/>
      <w:bookmarkStart w:id="61" w:name="_Toc221524779"/>
      <w:bookmarkStart w:id="62" w:name="_Toc296928224"/>
      <w:bookmarkStart w:id="63" w:name="_Toc437450251"/>
      <w:bookmarkStart w:id="64" w:name="_Toc200468525"/>
      <w:r w:rsidRPr="00E224E9">
        <w:rPr>
          <w:color w:val="000000" w:themeColor="text1"/>
        </w:rPr>
        <w:lastRenderedPageBreak/>
        <w:t>表12-2：</w:t>
      </w:r>
      <w:bookmarkEnd w:id="59"/>
      <w:bookmarkEnd w:id="60"/>
      <w:r w:rsidRPr="00E224E9">
        <w:rPr>
          <w:color w:val="000000" w:themeColor="text1"/>
        </w:rPr>
        <w:t>受益憑證及國外表彰基金餘額明細表(總計)</w:t>
      </w:r>
      <w:bookmarkEnd w:id="61"/>
      <w:bookmarkEnd w:id="62"/>
      <w:bookmarkEnd w:id="63"/>
      <w:bookmarkEnd w:id="64"/>
    </w:p>
    <w:p w14:paraId="3E17138D" w14:textId="77777777" w:rsidR="009942EA" w:rsidRPr="00E224E9" w:rsidRDefault="009942EA" w:rsidP="009942EA">
      <w:pPr>
        <w:spacing w:line="440" w:lineRule="exact"/>
        <w:ind w:firstLineChars="200" w:firstLine="520"/>
        <w:jc w:val="both"/>
        <w:rPr>
          <w:rFonts w:ascii="Book Antiqua" w:hAnsi="Book Antiqua"/>
          <w:color w:val="000000" w:themeColor="text1"/>
        </w:rPr>
      </w:pPr>
      <w:r w:rsidRPr="00E224E9">
        <w:rPr>
          <w:rFonts w:ascii="Book Antiqua" w:hAnsi="標楷體"/>
          <w:color w:val="000000" w:themeColor="text1"/>
        </w:rPr>
        <w:t>本報表的目的在於統計保險業受益憑證及國外表彰基金使用及配置情形。</w:t>
      </w:r>
    </w:p>
    <w:p w14:paraId="1655D0E8" w14:textId="77777777" w:rsidR="009942EA" w:rsidRPr="00E224E9" w:rsidRDefault="009942EA" w:rsidP="009942EA">
      <w:pPr>
        <w:spacing w:line="440" w:lineRule="exact"/>
        <w:ind w:firstLineChars="207" w:firstLine="538"/>
        <w:jc w:val="both"/>
        <w:rPr>
          <w:rFonts w:ascii="Book Antiqua" w:hAnsi="Book Antiqua"/>
          <w:color w:val="000000" w:themeColor="text1"/>
        </w:rPr>
      </w:pPr>
      <w:r w:rsidRPr="00E224E9">
        <w:rPr>
          <w:rFonts w:ascii="Book Antiqua" w:hAnsi="標楷體"/>
          <w:color w:val="000000" w:themeColor="text1"/>
        </w:rPr>
        <w:t>各項之欄位說明如下：</w:t>
      </w:r>
    </w:p>
    <w:p w14:paraId="753C0F19"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11</w:t>
      </w:r>
      <w:r w:rsidRPr="00E224E9">
        <w:rPr>
          <w:rFonts w:ascii="Book Antiqua" w:hAnsi="標楷體"/>
          <w:color w:val="000000" w:themeColor="text1"/>
        </w:rPr>
        <w:t>欄－備註</w:t>
      </w:r>
    </w:p>
    <w:p w14:paraId="1C1C227A" w14:textId="77777777" w:rsidR="009942EA" w:rsidRPr="00E224E9" w:rsidRDefault="009942EA" w:rsidP="009942EA">
      <w:pPr>
        <w:ind w:firstLineChars="200" w:firstLine="520"/>
        <w:rPr>
          <w:rFonts w:ascii="Book Antiqua" w:hAnsi="Book Antiqua"/>
          <w:color w:val="000000" w:themeColor="text1"/>
        </w:rPr>
      </w:pPr>
      <w:r w:rsidRPr="00E224E9">
        <w:rPr>
          <w:rFonts w:ascii="Book Antiqua" w:hAnsi="標楷體"/>
          <w:color w:val="000000" w:themeColor="text1"/>
        </w:rPr>
        <w:t>若有其他需要補充說明之事項，請填列於此欄。</w:t>
      </w:r>
    </w:p>
    <w:p w14:paraId="7E63677A"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1~3</w:t>
      </w:r>
      <w:r w:rsidRPr="00E224E9">
        <w:rPr>
          <w:rFonts w:ascii="Book Antiqua" w:hAnsi="標楷體"/>
          <w:color w:val="000000" w:themeColor="text1"/>
        </w:rPr>
        <w:t>列</w:t>
      </w:r>
      <w:r w:rsidRPr="00E224E9">
        <w:rPr>
          <w:rFonts w:ascii="Book Antiqua" w:hAnsi="Book Antiqua"/>
          <w:color w:val="000000" w:themeColor="text1"/>
        </w:rPr>
        <w:tab/>
      </w:r>
    </w:p>
    <w:p w14:paraId="4685A643" w14:textId="77777777" w:rsidR="009942EA" w:rsidRPr="00E224E9" w:rsidRDefault="009942EA" w:rsidP="009942EA">
      <w:pPr>
        <w:ind w:leftChars="183" w:left="476" w:firstLineChars="1" w:firstLine="3"/>
        <w:rPr>
          <w:rFonts w:ascii="Book Antiqua" w:hAnsi="Book Antiqua"/>
          <w:color w:val="000000" w:themeColor="text1"/>
        </w:rPr>
      </w:pPr>
      <w:r w:rsidRPr="00E224E9">
        <w:rPr>
          <w:rFonts w:ascii="Book Antiqua" w:hAnsi="標楷體"/>
          <w:color w:val="000000" w:themeColor="text1"/>
        </w:rPr>
        <w:t>分別依表</w:t>
      </w:r>
      <w:r w:rsidRPr="00E224E9">
        <w:rPr>
          <w:rFonts w:ascii="Book Antiqua" w:hAnsi="Book Antiqua"/>
          <w:color w:val="000000" w:themeColor="text1"/>
        </w:rPr>
        <w:t>12-1</w:t>
      </w: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欄－證券種類</w:t>
      </w:r>
      <w:r w:rsidRPr="00E224E9">
        <w:rPr>
          <w:rFonts w:ascii="Book Antiqua" w:hAnsi="Book Antiqua"/>
          <w:color w:val="000000" w:themeColor="text1"/>
        </w:rPr>
        <w:t>A.</w:t>
      </w:r>
      <w:r w:rsidRPr="00E224E9">
        <w:rPr>
          <w:rFonts w:ascii="Book Antiqua" w:hAnsi="標楷體"/>
          <w:color w:val="000000" w:themeColor="text1"/>
        </w:rPr>
        <w:t>股票型基金</w:t>
      </w:r>
      <w:r w:rsidRPr="00E224E9">
        <w:rPr>
          <w:rFonts w:ascii="Book Antiqua" w:hAnsi="Book Antiqua"/>
          <w:color w:val="000000" w:themeColor="text1"/>
        </w:rPr>
        <w:t>,B.</w:t>
      </w:r>
      <w:r w:rsidRPr="00E224E9">
        <w:rPr>
          <w:rFonts w:ascii="Book Antiqua" w:hAnsi="標楷體"/>
          <w:color w:val="000000" w:themeColor="text1"/>
        </w:rPr>
        <w:t>債券型基金</w:t>
      </w:r>
      <w:r w:rsidRPr="00E224E9">
        <w:rPr>
          <w:rFonts w:ascii="Book Antiqua" w:hAnsi="Book Antiqua"/>
          <w:color w:val="000000" w:themeColor="text1"/>
        </w:rPr>
        <w:t>,C.</w:t>
      </w:r>
      <w:r w:rsidRPr="00E224E9">
        <w:rPr>
          <w:rFonts w:ascii="Book Antiqua" w:hAnsi="標楷體"/>
          <w:color w:val="000000" w:themeColor="text1"/>
        </w:rPr>
        <w:t>平衡型</w:t>
      </w:r>
      <w:r w:rsidR="00166011" w:rsidRPr="00E224E9">
        <w:rPr>
          <w:rFonts w:ascii="Book Antiqua" w:hAnsi="標楷體" w:hint="eastAsia"/>
          <w:color w:val="000000" w:themeColor="text1"/>
        </w:rPr>
        <w:t>及多重資產型</w:t>
      </w:r>
      <w:r w:rsidRPr="00E224E9">
        <w:rPr>
          <w:rFonts w:ascii="Book Antiqua" w:hAnsi="標楷體"/>
          <w:color w:val="000000" w:themeColor="text1"/>
        </w:rPr>
        <w:t>基金、第</w:t>
      </w:r>
      <w:r w:rsidRPr="00E224E9">
        <w:rPr>
          <w:rFonts w:ascii="Book Antiqua" w:hAnsi="Book Antiqua"/>
          <w:color w:val="000000" w:themeColor="text1"/>
        </w:rPr>
        <w:t>7</w:t>
      </w:r>
      <w:r w:rsidRPr="00E224E9">
        <w:rPr>
          <w:rFonts w:ascii="Book Antiqua" w:hAnsi="標楷體"/>
          <w:color w:val="000000" w:themeColor="text1"/>
        </w:rPr>
        <w:t>欄－是否為關係人</w:t>
      </w:r>
      <w:r w:rsidRPr="00E224E9">
        <w:rPr>
          <w:rFonts w:ascii="Book Antiqua" w:hAnsi="Book Antiqua"/>
          <w:color w:val="000000" w:themeColor="text1"/>
        </w:rPr>
        <w:t>A.</w:t>
      </w:r>
      <w:r w:rsidRPr="00E224E9">
        <w:rPr>
          <w:rFonts w:ascii="Book Antiqua" w:hAnsi="標楷體"/>
          <w:color w:val="000000" w:themeColor="text1"/>
        </w:rPr>
        <w:t>否及第</w:t>
      </w:r>
      <w:r w:rsidRPr="00E224E9">
        <w:rPr>
          <w:rFonts w:ascii="Book Antiqua" w:hAnsi="Book Antiqua"/>
          <w:color w:val="000000" w:themeColor="text1"/>
        </w:rPr>
        <w:t>14</w:t>
      </w:r>
      <w:r w:rsidRPr="00E224E9">
        <w:rPr>
          <w:rFonts w:ascii="Book Antiqua" w:hAnsi="標楷體"/>
          <w:color w:val="000000" w:themeColor="text1"/>
        </w:rPr>
        <w:t>欄－持有資產幣別篩選之合計數。</w:t>
      </w:r>
    </w:p>
    <w:p w14:paraId="10482465"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4~5</w:t>
      </w:r>
      <w:r w:rsidRPr="00E224E9">
        <w:rPr>
          <w:rFonts w:ascii="Book Antiqua" w:hAnsi="標楷體"/>
          <w:color w:val="000000" w:themeColor="text1"/>
        </w:rPr>
        <w:t>列</w:t>
      </w:r>
      <w:r w:rsidRPr="00E224E9">
        <w:rPr>
          <w:rFonts w:ascii="Book Antiqua" w:hAnsi="Book Antiqua"/>
          <w:color w:val="000000" w:themeColor="text1"/>
        </w:rPr>
        <w:tab/>
      </w:r>
    </w:p>
    <w:p w14:paraId="3AA8F82E" w14:textId="77777777" w:rsidR="009942EA" w:rsidRPr="00E224E9" w:rsidRDefault="009942EA" w:rsidP="009942EA">
      <w:pPr>
        <w:ind w:leftChars="183" w:left="476" w:firstLineChars="1" w:firstLine="3"/>
        <w:rPr>
          <w:rFonts w:ascii="Book Antiqua" w:hAnsi="Book Antiqua"/>
          <w:color w:val="000000" w:themeColor="text1"/>
        </w:rPr>
      </w:pPr>
      <w:r w:rsidRPr="00E224E9">
        <w:rPr>
          <w:rFonts w:ascii="Book Antiqua" w:hAnsi="標楷體"/>
          <w:color w:val="000000" w:themeColor="text1"/>
        </w:rPr>
        <w:t>分別依表</w:t>
      </w:r>
      <w:r w:rsidRPr="00E224E9">
        <w:rPr>
          <w:rFonts w:ascii="Book Antiqua" w:hAnsi="Book Antiqua"/>
          <w:color w:val="000000" w:themeColor="text1"/>
        </w:rPr>
        <w:t>12-1</w:t>
      </w:r>
      <w:r w:rsidRPr="00E224E9">
        <w:rPr>
          <w:rFonts w:ascii="Book Antiqua" w:hAnsi="標楷體"/>
          <w:color w:val="000000" w:themeColor="text1"/>
        </w:rPr>
        <w:t>第</w:t>
      </w:r>
      <w:r w:rsidRPr="00E224E9">
        <w:rPr>
          <w:rFonts w:ascii="Book Antiqua" w:hAnsi="Book Antiqua"/>
          <w:color w:val="000000" w:themeColor="text1"/>
        </w:rPr>
        <w:t>7</w:t>
      </w:r>
      <w:r w:rsidRPr="00E224E9">
        <w:rPr>
          <w:rFonts w:ascii="Book Antiqua" w:hAnsi="標楷體"/>
          <w:color w:val="000000" w:themeColor="text1"/>
        </w:rPr>
        <w:t>欄－是否為關係人</w:t>
      </w:r>
      <w:r w:rsidRPr="00E224E9">
        <w:rPr>
          <w:rFonts w:ascii="Book Antiqua" w:hAnsi="Book Antiqua"/>
          <w:color w:val="000000" w:themeColor="text1"/>
        </w:rPr>
        <w:t>B.</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非控制與從屬關係</w:t>
      </w:r>
      <w:r w:rsidRPr="00E224E9">
        <w:rPr>
          <w:rFonts w:ascii="Book Antiqua" w:hAnsi="Book Antiqua"/>
          <w:color w:val="000000" w:themeColor="text1"/>
        </w:rPr>
        <w:t>,C.</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具控制與從屬關係及第</w:t>
      </w:r>
      <w:r w:rsidRPr="00E224E9">
        <w:rPr>
          <w:rFonts w:ascii="Book Antiqua" w:hAnsi="Book Antiqua"/>
          <w:color w:val="000000" w:themeColor="text1"/>
        </w:rPr>
        <w:t>14</w:t>
      </w:r>
      <w:r w:rsidRPr="00E224E9">
        <w:rPr>
          <w:rFonts w:ascii="Book Antiqua" w:hAnsi="標楷體"/>
          <w:color w:val="000000" w:themeColor="text1"/>
        </w:rPr>
        <w:t>欄－持有資產幣別篩選之合計數。</w:t>
      </w:r>
    </w:p>
    <w:p w14:paraId="7F45CD1B"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6~9</w:t>
      </w:r>
      <w:r w:rsidRPr="00E224E9">
        <w:rPr>
          <w:rFonts w:ascii="Book Antiqua" w:hAnsi="標楷體"/>
          <w:color w:val="000000" w:themeColor="text1"/>
        </w:rPr>
        <w:t>列</w:t>
      </w:r>
      <w:r w:rsidRPr="00E224E9">
        <w:rPr>
          <w:rFonts w:ascii="Book Antiqua" w:hAnsi="Book Antiqua"/>
          <w:color w:val="000000" w:themeColor="text1"/>
        </w:rPr>
        <w:tab/>
      </w:r>
    </w:p>
    <w:p w14:paraId="33DA8131" w14:textId="77777777" w:rsidR="009942EA" w:rsidRPr="00E224E9" w:rsidRDefault="009942EA" w:rsidP="009942EA">
      <w:pPr>
        <w:ind w:firstLineChars="200" w:firstLine="520"/>
        <w:rPr>
          <w:rFonts w:ascii="Book Antiqua" w:hAnsi="Book Antiqua"/>
          <w:color w:val="000000" w:themeColor="text1"/>
        </w:rPr>
      </w:pPr>
      <w:r w:rsidRPr="00E224E9">
        <w:rPr>
          <w:rFonts w:ascii="Book Antiqua" w:hAnsi="標楷體"/>
          <w:color w:val="000000" w:themeColor="text1"/>
        </w:rPr>
        <w:t>分別依表</w:t>
      </w:r>
      <w:r w:rsidRPr="00E224E9">
        <w:rPr>
          <w:rFonts w:ascii="Book Antiqua" w:hAnsi="Book Antiqua"/>
          <w:color w:val="000000" w:themeColor="text1"/>
        </w:rPr>
        <w:t>12-1</w:t>
      </w:r>
      <w:r w:rsidRPr="00E224E9">
        <w:rPr>
          <w:rFonts w:ascii="Book Antiqua" w:hAnsi="標楷體"/>
          <w:color w:val="000000" w:themeColor="text1"/>
        </w:rPr>
        <w:t>第</w:t>
      </w:r>
      <w:r w:rsidRPr="00E224E9">
        <w:rPr>
          <w:rFonts w:ascii="Book Antiqua" w:hAnsi="Book Antiqua"/>
          <w:color w:val="000000" w:themeColor="text1"/>
        </w:rPr>
        <w:t>8</w:t>
      </w:r>
      <w:r w:rsidRPr="00E224E9">
        <w:rPr>
          <w:rFonts w:ascii="Book Antiqua" w:hAnsi="標楷體"/>
          <w:color w:val="000000" w:themeColor="text1"/>
        </w:rPr>
        <w:t>欄－交易種類及第</w:t>
      </w:r>
      <w:r w:rsidRPr="00E224E9">
        <w:rPr>
          <w:rFonts w:ascii="Book Antiqua" w:hAnsi="Book Antiqua"/>
          <w:color w:val="000000" w:themeColor="text1"/>
        </w:rPr>
        <w:t>14</w:t>
      </w:r>
      <w:r w:rsidRPr="00E224E9">
        <w:rPr>
          <w:rFonts w:ascii="Book Antiqua" w:hAnsi="標楷體"/>
          <w:color w:val="000000" w:themeColor="text1"/>
        </w:rPr>
        <w:t>欄－持有資產幣別篩選之合計數。</w:t>
      </w:r>
    </w:p>
    <w:p w14:paraId="609AFC5B"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10~22</w:t>
      </w:r>
      <w:r w:rsidRPr="00E224E9">
        <w:rPr>
          <w:rFonts w:ascii="Book Antiqua" w:hAnsi="標楷體"/>
          <w:color w:val="000000" w:themeColor="text1"/>
        </w:rPr>
        <w:t>列</w:t>
      </w:r>
      <w:r w:rsidRPr="00E224E9">
        <w:rPr>
          <w:rFonts w:ascii="Book Antiqua" w:hAnsi="Book Antiqua"/>
          <w:color w:val="000000" w:themeColor="text1"/>
        </w:rPr>
        <w:tab/>
      </w:r>
    </w:p>
    <w:p w14:paraId="34D01ACE" w14:textId="77777777" w:rsidR="009942EA" w:rsidRPr="00E224E9" w:rsidRDefault="009942EA" w:rsidP="009942EA">
      <w:pPr>
        <w:ind w:leftChars="183" w:left="476" w:firstLineChars="1" w:firstLine="3"/>
        <w:rPr>
          <w:rFonts w:ascii="Book Antiqua" w:hAnsi="Book Antiqua"/>
          <w:color w:val="000000" w:themeColor="text1"/>
        </w:rPr>
      </w:pPr>
      <w:r w:rsidRPr="00E224E9">
        <w:rPr>
          <w:rFonts w:ascii="Book Antiqua" w:hAnsi="標楷體"/>
          <w:color w:val="000000" w:themeColor="text1"/>
        </w:rPr>
        <w:t>分別依表</w:t>
      </w:r>
      <w:r w:rsidRPr="00E224E9">
        <w:rPr>
          <w:rFonts w:ascii="Book Antiqua" w:hAnsi="Book Antiqua"/>
          <w:color w:val="000000" w:themeColor="text1"/>
        </w:rPr>
        <w:t>12-1</w:t>
      </w: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欄－證券種類及第</w:t>
      </w:r>
      <w:r w:rsidRPr="00E224E9">
        <w:rPr>
          <w:rFonts w:ascii="Book Antiqua" w:hAnsi="Book Antiqua"/>
          <w:color w:val="000000" w:themeColor="text1"/>
        </w:rPr>
        <w:t>14</w:t>
      </w:r>
      <w:r w:rsidRPr="00E224E9">
        <w:rPr>
          <w:rFonts w:ascii="Book Antiqua" w:hAnsi="標楷體"/>
          <w:color w:val="000000" w:themeColor="text1"/>
        </w:rPr>
        <w:t>欄－持有資產幣別篩選之合計數。</w:t>
      </w:r>
    </w:p>
    <w:p w14:paraId="2EA13252"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23</w:t>
      </w:r>
      <w:r w:rsidRPr="00E224E9">
        <w:rPr>
          <w:rFonts w:ascii="Book Antiqua" w:hAnsi="標楷體"/>
          <w:color w:val="000000" w:themeColor="text1"/>
        </w:rPr>
        <w:t>列－期末受益憑證</w:t>
      </w:r>
      <w:r w:rsidRPr="00E224E9">
        <w:rPr>
          <w:rFonts w:ascii="Book Antiqua" w:hAnsi="Book Antiqua"/>
          <w:color w:val="000000" w:themeColor="text1"/>
        </w:rPr>
        <w:t>(</w:t>
      </w:r>
      <w:r w:rsidRPr="00E224E9">
        <w:rPr>
          <w:rFonts w:ascii="Book Antiqua" w:hAnsi="標楷體"/>
          <w:color w:val="000000" w:themeColor="text1"/>
        </w:rPr>
        <w:t>基金</w:t>
      </w:r>
      <w:r w:rsidRPr="00E224E9">
        <w:rPr>
          <w:rFonts w:ascii="Book Antiqua" w:hAnsi="Book Antiqua"/>
          <w:color w:val="000000" w:themeColor="text1"/>
        </w:rPr>
        <w:t>)</w:t>
      </w:r>
      <w:r w:rsidRPr="00E224E9">
        <w:rPr>
          <w:rFonts w:ascii="Book Antiqua" w:hAnsi="標楷體"/>
          <w:color w:val="000000" w:themeColor="text1"/>
        </w:rPr>
        <w:t>投資餘額</w:t>
      </w:r>
      <w:r w:rsidRPr="00E224E9">
        <w:rPr>
          <w:rFonts w:ascii="Book Antiqua" w:hAnsi="Book Antiqua"/>
          <w:color w:val="000000" w:themeColor="text1"/>
        </w:rPr>
        <w:t>(</w:t>
      </w:r>
      <w:r w:rsidRPr="00E224E9">
        <w:rPr>
          <w:rFonts w:ascii="Book Antiqua" w:hAnsi="標楷體"/>
          <w:color w:val="000000" w:themeColor="text1"/>
        </w:rPr>
        <w:t>列</w:t>
      </w:r>
      <w:r w:rsidRPr="00E224E9">
        <w:rPr>
          <w:rFonts w:ascii="Book Antiqua" w:hAnsi="Book Antiqua"/>
          <w:color w:val="000000" w:themeColor="text1"/>
        </w:rPr>
        <w:t>6-9</w:t>
      </w:r>
      <w:r w:rsidRPr="00E224E9">
        <w:rPr>
          <w:rFonts w:ascii="Book Antiqua" w:hAnsi="標楷體"/>
          <w:color w:val="000000" w:themeColor="text1"/>
        </w:rPr>
        <w:t>合計</w:t>
      </w:r>
      <w:r w:rsidRPr="00E224E9">
        <w:rPr>
          <w:rFonts w:ascii="Book Antiqua" w:hAnsi="Book Antiqua"/>
          <w:color w:val="000000" w:themeColor="text1"/>
        </w:rPr>
        <w:t>)</w:t>
      </w:r>
      <w:r w:rsidRPr="00E224E9">
        <w:rPr>
          <w:rFonts w:ascii="Book Antiqua" w:hAnsi="Book Antiqua"/>
          <w:color w:val="000000" w:themeColor="text1"/>
        </w:rPr>
        <w:tab/>
      </w:r>
    </w:p>
    <w:p w14:paraId="79143353" w14:textId="77777777" w:rsidR="009942EA" w:rsidRPr="00E224E9" w:rsidRDefault="009942EA" w:rsidP="009942EA">
      <w:pPr>
        <w:ind w:firstLineChars="200" w:firstLine="520"/>
        <w:rPr>
          <w:rFonts w:ascii="Book Antiqua" w:hAnsi="Book Antiqua"/>
          <w:color w:val="000000" w:themeColor="text1"/>
        </w:rPr>
      </w:pPr>
      <w:r w:rsidRPr="00E224E9">
        <w:rPr>
          <w:rFonts w:ascii="Book Antiqua" w:hAnsi="標楷體"/>
          <w:color w:val="000000" w:themeColor="text1"/>
        </w:rPr>
        <w:t>等於列</w:t>
      </w:r>
      <w:r w:rsidRPr="00E224E9">
        <w:rPr>
          <w:rFonts w:ascii="Book Antiqua" w:hAnsi="Book Antiqua"/>
          <w:color w:val="000000" w:themeColor="text1"/>
        </w:rPr>
        <w:t>6-9</w:t>
      </w:r>
      <w:r w:rsidRPr="00E224E9">
        <w:rPr>
          <w:rFonts w:ascii="Book Antiqua" w:hAnsi="標楷體"/>
          <w:color w:val="000000" w:themeColor="text1"/>
        </w:rPr>
        <w:t>合計數。</w:t>
      </w:r>
    </w:p>
    <w:p w14:paraId="1701F88E" w14:textId="77777777" w:rsidR="009942EA" w:rsidRPr="00E224E9" w:rsidRDefault="009942EA" w:rsidP="009942EA">
      <w:pPr>
        <w:ind w:firstLineChars="200" w:firstLine="520"/>
        <w:rPr>
          <w:rFonts w:ascii="Book Antiqua" w:hAnsi="Book Antiqua"/>
          <w:color w:val="000000" w:themeColor="text1"/>
        </w:rPr>
      </w:pPr>
    </w:p>
    <w:p w14:paraId="41A92DBD" w14:textId="77777777" w:rsidR="009942EA" w:rsidRPr="00E224E9" w:rsidRDefault="009942EA" w:rsidP="009942EA">
      <w:pPr>
        <w:ind w:firstLineChars="200" w:firstLine="520"/>
        <w:rPr>
          <w:rFonts w:ascii="Book Antiqua" w:hAnsi="Book Antiqua"/>
          <w:color w:val="000000" w:themeColor="text1"/>
        </w:rPr>
      </w:pPr>
    </w:p>
    <w:p w14:paraId="124C7073" w14:textId="77777777" w:rsidR="009942EA" w:rsidRPr="00E224E9" w:rsidRDefault="009942EA" w:rsidP="009942EA">
      <w:pPr>
        <w:ind w:firstLineChars="200" w:firstLine="520"/>
        <w:rPr>
          <w:rFonts w:ascii="Book Antiqua" w:hAnsi="Book Antiqua"/>
          <w:color w:val="000000" w:themeColor="text1"/>
        </w:rPr>
      </w:pPr>
    </w:p>
    <w:p w14:paraId="19829584" w14:textId="77777777" w:rsidR="009942EA" w:rsidRPr="00E224E9" w:rsidRDefault="009942EA" w:rsidP="009942EA">
      <w:pPr>
        <w:ind w:firstLineChars="200" w:firstLine="520"/>
        <w:rPr>
          <w:rFonts w:ascii="Book Antiqua" w:hAnsi="Book Antiqua"/>
          <w:color w:val="000000" w:themeColor="text1"/>
        </w:rPr>
      </w:pPr>
    </w:p>
    <w:p w14:paraId="41AEA319" w14:textId="77777777" w:rsidR="009942EA" w:rsidRPr="00E224E9" w:rsidRDefault="009942EA" w:rsidP="009942EA">
      <w:pPr>
        <w:ind w:firstLineChars="200" w:firstLine="520"/>
        <w:rPr>
          <w:rFonts w:ascii="Book Antiqua" w:hAnsi="Book Antiqua"/>
          <w:color w:val="000000" w:themeColor="text1"/>
        </w:rPr>
      </w:pPr>
    </w:p>
    <w:p w14:paraId="63B3CE1F" w14:textId="77777777" w:rsidR="009942EA" w:rsidRPr="00E224E9" w:rsidRDefault="009942EA" w:rsidP="009942EA">
      <w:pPr>
        <w:ind w:firstLineChars="200" w:firstLine="520"/>
        <w:rPr>
          <w:rFonts w:ascii="Book Antiqua" w:hAnsi="Book Antiqua"/>
          <w:color w:val="000000" w:themeColor="text1"/>
        </w:rPr>
      </w:pPr>
    </w:p>
    <w:p w14:paraId="03F76584"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44FE1BCB" w14:textId="77777777" w:rsidR="00065C53" w:rsidRPr="00E224E9" w:rsidRDefault="009942EA" w:rsidP="009942EA">
      <w:pPr>
        <w:pStyle w:val="1"/>
        <w:spacing w:afterLines="0" w:line="440" w:lineRule="exact"/>
        <w:jc w:val="both"/>
        <w:rPr>
          <w:color w:val="000000" w:themeColor="text1"/>
        </w:rPr>
      </w:pPr>
      <w:r w:rsidRPr="00E224E9">
        <w:rPr>
          <w:rFonts w:ascii="Book Antiqua" w:hAnsi="Book Antiqua"/>
          <w:color w:val="000000" w:themeColor="text1"/>
        </w:rPr>
        <w:br w:type="page"/>
      </w:r>
      <w:bookmarkStart w:id="65" w:name="_Toc200468526"/>
      <w:r w:rsidR="00065C53" w:rsidRPr="00E224E9">
        <w:rPr>
          <w:color w:val="000000" w:themeColor="text1"/>
        </w:rPr>
        <w:lastRenderedPageBreak/>
        <w:t>表13-1：不動產餘額明細表</w:t>
      </w:r>
      <w:bookmarkEnd w:id="53"/>
      <w:bookmarkEnd w:id="54"/>
      <w:bookmarkEnd w:id="65"/>
    </w:p>
    <w:p w14:paraId="637D2657" w14:textId="77777777" w:rsidR="00065C53" w:rsidRPr="00E224E9" w:rsidRDefault="00065C53">
      <w:pPr>
        <w:rPr>
          <w:rFonts w:ascii="Book Antiqua" w:hAnsi="Book Antiqua"/>
          <w:color w:val="000000" w:themeColor="text1"/>
        </w:rPr>
      </w:pPr>
    </w:p>
    <w:p w14:paraId="5334D183" w14:textId="77777777" w:rsidR="00065C53" w:rsidRPr="00E224E9" w:rsidRDefault="00065C53">
      <w:pPr>
        <w:ind w:leftChars="183" w:left="476" w:firstLineChars="1" w:firstLine="2"/>
        <w:rPr>
          <w:rFonts w:ascii="Book Antiqua" w:hAnsi="Book Antiqua"/>
          <w:color w:val="000000" w:themeColor="text1"/>
          <w:sz w:val="24"/>
        </w:rPr>
      </w:pPr>
      <w:r w:rsidRPr="00E224E9">
        <w:rPr>
          <w:rFonts w:ascii="Book Antiqua" w:hAnsi="Book Antiqua"/>
          <w:color w:val="000000" w:themeColor="text1"/>
          <w:sz w:val="24"/>
        </w:rPr>
        <w:t>本報表填列的目的在於統計人壽保險業國內外不動產的使用及配置情形。</w:t>
      </w:r>
    </w:p>
    <w:p w14:paraId="2C567CBC"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Book Antiqua"/>
          <w:color w:val="000000" w:themeColor="text1"/>
          <w:sz w:val="24"/>
        </w:rPr>
        <w:t>各項資產之欄位說明如下：</w:t>
      </w:r>
    </w:p>
    <w:p w14:paraId="0CFC1297" w14:textId="77777777" w:rsidR="00065C53" w:rsidRPr="00E224E9" w:rsidRDefault="00065C53" w:rsidP="005D67C7">
      <w:pPr>
        <w:tabs>
          <w:tab w:val="left" w:pos="7093"/>
        </w:tabs>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w:t>
      </w:r>
      <w:r w:rsidRPr="00E224E9">
        <w:rPr>
          <w:rFonts w:ascii="Book Antiqua" w:hAnsi="Book Antiqua"/>
          <w:color w:val="000000" w:themeColor="text1"/>
          <w:sz w:val="24"/>
        </w:rPr>
        <w:t>欄－種類</w:t>
      </w:r>
    </w:p>
    <w:p w14:paraId="3D61D99C" w14:textId="77777777" w:rsidR="00065C53" w:rsidRPr="00E224E9" w:rsidRDefault="00065C53" w:rsidP="00F3152E">
      <w:pPr>
        <w:spacing w:line="440" w:lineRule="exact"/>
        <w:ind w:leftChars="184" w:left="478"/>
        <w:rPr>
          <w:rFonts w:ascii="Book Antiqua" w:hAnsi="Book Antiqua"/>
          <w:b/>
          <w:bCs/>
          <w:color w:val="000000" w:themeColor="text1"/>
          <w:sz w:val="24"/>
        </w:rPr>
      </w:pPr>
      <w:r w:rsidRPr="00E224E9">
        <w:rPr>
          <w:rFonts w:ascii="Book Antiqua" w:hAnsi="Book Antiqua"/>
          <w:color w:val="000000" w:themeColor="text1"/>
          <w:sz w:val="24"/>
        </w:rPr>
        <w:t>係指每一不動產對應之種類。種類請依序填列代號</w:t>
      </w:r>
      <w:r w:rsidRPr="00E224E9">
        <w:rPr>
          <w:rFonts w:ascii="Book Antiqua" w:hAnsi="Book Antiqua"/>
          <w:color w:val="000000" w:themeColor="text1"/>
          <w:sz w:val="24"/>
        </w:rPr>
        <w:t>(A</w:t>
      </w:r>
      <w:r w:rsidRPr="00E224E9">
        <w:rPr>
          <w:rFonts w:ascii="Book Antiqua" w:hAnsi="Book Antiqua"/>
          <w:color w:val="000000" w:themeColor="text1"/>
          <w:sz w:val="24"/>
        </w:rPr>
        <w:t>、</w:t>
      </w:r>
      <w:r w:rsidRPr="00E224E9">
        <w:rPr>
          <w:rFonts w:ascii="Book Antiqua" w:hAnsi="Book Antiqua"/>
          <w:color w:val="000000" w:themeColor="text1"/>
          <w:sz w:val="24"/>
        </w:rPr>
        <w:t>B</w:t>
      </w:r>
      <w:r w:rsidRPr="00E224E9">
        <w:rPr>
          <w:rFonts w:ascii="Book Antiqua" w:hAnsi="Book Antiqua"/>
          <w:color w:val="000000" w:themeColor="text1"/>
          <w:sz w:val="24"/>
        </w:rPr>
        <w:t>、</w:t>
      </w:r>
      <w:r w:rsidRPr="00E224E9">
        <w:rPr>
          <w:rFonts w:ascii="Book Antiqua" w:hAnsi="Book Antiqua"/>
          <w:color w:val="000000" w:themeColor="text1"/>
          <w:sz w:val="24"/>
        </w:rPr>
        <w:t>C</w:t>
      </w:r>
      <w:r w:rsidRPr="00E224E9">
        <w:rPr>
          <w:rFonts w:ascii="Book Antiqua" w:hAnsi="Book Antiqua"/>
          <w:color w:val="000000" w:themeColor="text1"/>
          <w:sz w:val="24"/>
        </w:rPr>
        <w:t>、</w:t>
      </w:r>
      <w:r w:rsidRPr="00E224E9">
        <w:rPr>
          <w:rFonts w:ascii="Book Antiqua" w:hAnsi="Book Antiqua"/>
          <w:color w:val="000000" w:themeColor="text1"/>
          <w:sz w:val="24"/>
        </w:rPr>
        <w:t>D</w:t>
      </w:r>
      <w:r w:rsidRPr="00E224E9">
        <w:rPr>
          <w:rFonts w:ascii="Book Antiqua" w:hAnsi="Book Antiqua"/>
          <w:color w:val="000000" w:themeColor="text1"/>
          <w:sz w:val="24"/>
        </w:rPr>
        <w:t>、</w:t>
      </w:r>
      <w:r w:rsidRPr="00E224E9">
        <w:rPr>
          <w:rFonts w:ascii="Book Antiqua" w:hAnsi="Book Antiqua"/>
          <w:color w:val="000000" w:themeColor="text1"/>
          <w:sz w:val="24"/>
        </w:rPr>
        <w:t>E</w:t>
      </w:r>
      <w:r w:rsidRPr="00E224E9">
        <w:rPr>
          <w:rFonts w:ascii="Book Antiqua" w:hAnsi="Book Antiqua"/>
          <w:color w:val="000000" w:themeColor="text1"/>
          <w:sz w:val="24"/>
        </w:rPr>
        <w:t>、</w:t>
      </w:r>
      <w:r w:rsidRPr="00E224E9">
        <w:rPr>
          <w:rFonts w:ascii="Book Antiqua" w:hAnsi="Book Antiqua"/>
          <w:color w:val="000000" w:themeColor="text1"/>
          <w:sz w:val="24"/>
        </w:rPr>
        <w:t>F)</w:t>
      </w:r>
      <w:r w:rsidRPr="00E224E9">
        <w:rPr>
          <w:rFonts w:ascii="Book Antiqua" w:hAnsi="Book Antiqua"/>
          <w:color w:val="000000" w:themeColor="text1"/>
          <w:sz w:val="24"/>
        </w:rPr>
        <w:t>即可。如</w:t>
      </w:r>
      <w:r w:rsidRPr="00E224E9">
        <w:rPr>
          <w:rFonts w:ascii="Book Antiqua" w:hAnsi="Book Antiqua"/>
          <w:color w:val="000000" w:themeColor="text1"/>
          <w:sz w:val="24"/>
        </w:rPr>
        <w:t>A.</w:t>
      </w:r>
      <w:r w:rsidRPr="00E224E9">
        <w:rPr>
          <w:rFonts w:ascii="Book Antiqua" w:hAnsi="Book Antiqua"/>
          <w:color w:val="000000" w:themeColor="text1"/>
          <w:sz w:val="24"/>
        </w:rPr>
        <w:t>土地、</w:t>
      </w:r>
      <w:r w:rsidRPr="00E224E9">
        <w:rPr>
          <w:rFonts w:ascii="Book Antiqua" w:hAnsi="Book Antiqua"/>
          <w:color w:val="000000" w:themeColor="text1"/>
          <w:sz w:val="24"/>
        </w:rPr>
        <w:t>B.</w:t>
      </w:r>
      <w:r w:rsidRPr="00E224E9">
        <w:rPr>
          <w:rFonts w:ascii="Book Antiqua" w:hAnsi="Book Antiqua"/>
          <w:color w:val="000000" w:themeColor="text1"/>
          <w:sz w:val="24"/>
        </w:rPr>
        <w:t>房屋、</w:t>
      </w:r>
      <w:r w:rsidRPr="00E224E9">
        <w:rPr>
          <w:rFonts w:ascii="Book Antiqua" w:hAnsi="Book Antiqua"/>
          <w:color w:val="000000" w:themeColor="text1"/>
          <w:sz w:val="24"/>
        </w:rPr>
        <w:t>C.</w:t>
      </w:r>
      <w:r w:rsidRPr="00E224E9">
        <w:rPr>
          <w:rFonts w:ascii="Book Antiqua" w:hAnsi="Book Antiqua"/>
          <w:color w:val="000000" w:themeColor="text1"/>
          <w:sz w:val="24"/>
        </w:rPr>
        <w:t>地上權、</w:t>
      </w:r>
      <w:r w:rsidRPr="00E224E9">
        <w:rPr>
          <w:rFonts w:ascii="Book Antiqua" w:hAnsi="Book Antiqua"/>
          <w:color w:val="000000" w:themeColor="text1"/>
          <w:sz w:val="24"/>
        </w:rPr>
        <w:t>D.</w:t>
      </w:r>
      <w:r w:rsidRPr="00E224E9">
        <w:rPr>
          <w:rFonts w:ascii="Book Antiqua" w:hAnsi="Book Antiqua"/>
          <w:color w:val="000000" w:themeColor="text1"/>
          <w:sz w:val="24"/>
        </w:rPr>
        <w:t>預付房地款、</w:t>
      </w:r>
      <w:r w:rsidRPr="00E224E9">
        <w:rPr>
          <w:rFonts w:ascii="Book Antiqua" w:hAnsi="Book Antiqua"/>
          <w:color w:val="000000" w:themeColor="text1"/>
          <w:sz w:val="24"/>
        </w:rPr>
        <w:t>E.</w:t>
      </w:r>
      <w:r w:rsidRPr="00E224E9">
        <w:rPr>
          <w:rFonts w:ascii="Book Antiqua" w:hAnsi="Book Antiqua"/>
          <w:color w:val="000000" w:themeColor="text1"/>
          <w:sz w:val="24"/>
        </w:rPr>
        <w:t>未完工程、</w:t>
      </w:r>
      <w:r w:rsidRPr="00E224E9">
        <w:rPr>
          <w:rFonts w:ascii="Book Antiqua" w:hAnsi="Book Antiqua"/>
          <w:color w:val="000000" w:themeColor="text1"/>
          <w:sz w:val="24"/>
        </w:rPr>
        <w:t>F.</w:t>
      </w:r>
      <w:r w:rsidRPr="00E224E9">
        <w:rPr>
          <w:rFonts w:ascii="Book Antiqua" w:hAnsi="Book Antiqua"/>
          <w:color w:val="000000" w:themeColor="text1"/>
          <w:sz w:val="24"/>
        </w:rPr>
        <w:t>其他。本表含在建工程或未完工程等項目填列。</w:t>
      </w:r>
    </w:p>
    <w:p w14:paraId="6DE61CB2" w14:textId="77777777" w:rsidR="00065C53" w:rsidRPr="00E224E9" w:rsidRDefault="00065C53" w:rsidP="005D67C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 xml:space="preserve">2 </w:t>
      </w:r>
      <w:r w:rsidRPr="00E224E9">
        <w:rPr>
          <w:rFonts w:ascii="Book Antiqua" w:hAnsi="Book Antiqua"/>
          <w:color w:val="000000" w:themeColor="text1"/>
          <w:sz w:val="24"/>
        </w:rPr>
        <w:t>欄－不動產座落地點</w:t>
      </w:r>
      <w:r w:rsidRPr="00E224E9">
        <w:rPr>
          <w:rFonts w:ascii="Book Antiqua" w:hAnsi="Book Antiqua"/>
          <w:color w:val="000000" w:themeColor="text1"/>
          <w:sz w:val="24"/>
        </w:rPr>
        <w:tab/>
      </w:r>
    </w:p>
    <w:p w14:paraId="2FE7CF80" w14:textId="77777777" w:rsidR="00065C53" w:rsidRPr="00E224E9" w:rsidRDefault="00065C53" w:rsidP="00F3152E">
      <w:pPr>
        <w:pStyle w:val="a7"/>
        <w:spacing w:after="0" w:line="440" w:lineRule="exact"/>
        <w:ind w:left="520"/>
        <w:rPr>
          <w:rFonts w:ascii="Book Antiqua" w:hAnsi="Book Antiqua"/>
          <w:color w:val="000000" w:themeColor="text1"/>
          <w:sz w:val="24"/>
        </w:rPr>
      </w:pPr>
      <w:r w:rsidRPr="00E224E9">
        <w:rPr>
          <w:rFonts w:ascii="Book Antiqua" w:hAnsi="Book Antiqua"/>
          <w:color w:val="000000" w:themeColor="text1"/>
          <w:sz w:val="24"/>
        </w:rPr>
        <w:t>係指每一不動產對應之座落地點。所稱座落地點於土地請填詳細地號，於房屋請填詳細地址及建號。</w:t>
      </w:r>
    </w:p>
    <w:p w14:paraId="6B103EA2" w14:textId="77777777" w:rsidR="00065C53" w:rsidRPr="00E224E9" w:rsidRDefault="00065C53" w:rsidP="00F3152E">
      <w:pPr>
        <w:pStyle w:val="a7"/>
        <w:spacing w:after="0" w:line="440" w:lineRule="exact"/>
        <w:ind w:leftChars="0" w:left="0"/>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3</w:t>
      </w:r>
      <w:r w:rsidRPr="00E224E9">
        <w:rPr>
          <w:rFonts w:ascii="Book Antiqua" w:hAnsi="Book Antiqua"/>
          <w:color w:val="000000" w:themeColor="text1"/>
          <w:sz w:val="24"/>
        </w:rPr>
        <w:t>欄－是否有收益性</w:t>
      </w:r>
    </w:p>
    <w:p w14:paraId="693FC496" w14:textId="77777777" w:rsidR="00065C53" w:rsidRPr="00E224E9" w:rsidRDefault="00065C53" w:rsidP="00F3152E">
      <w:pPr>
        <w:pStyle w:val="a7"/>
        <w:spacing w:after="0" w:line="440" w:lineRule="exact"/>
        <w:ind w:leftChars="0" w:hangingChars="200" w:hanging="480"/>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係指每一不動產是否有收益性。所稱收益性係指不動產有出租事實並有現金流入者，有收益者請填</w:t>
      </w:r>
      <w:r w:rsidRPr="00E224E9">
        <w:rPr>
          <w:rFonts w:ascii="Book Antiqua" w:hAnsi="Book Antiqua"/>
          <w:color w:val="000000" w:themeColor="text1"/>
          <w:sz w:val="24"/>
        </w:rPr>
        <w:t>Y</w:t>
      </w:r>
      <w:r w:rsidRPr="00E224E9">
        <w:rPr>
          <w:rFonts w:ascii="Book Antiqua" w:hAnsi="Book Antiqua"/>
          <w:color w:val="000000" w:themeColor="text1"/>
          <w:sz w:val="24"/>
        </w:rPr>
        <w:t>，若無請填</w:t>
      </w:r>
      <w:r w:rsidRPr="00E224E9">
        <w:rPr>
          <w:rFonts w:ascii="Book Antiqua" w:hAnsi="Book Antiqua"/>
          <w:color w:val="000000" w:themeColor="text1"/>
          <w:sz w:val="24"/>
        </w:rPr>
        <w:t>N</w:t>
      </w:r>
      <w:r w:rsidRPr="00E224E9">
        <w:rPr>
          <w:rFonts w:ascii="Book Antiqua" w:hAnsi="Book Antiqua"/>
          <w:color w:val="000000" w:themeColor="text1"/>
          <w:sz w:val="24"/>
        </w:rPr>
        <w:t>。</w:t>
      </w:r>
    </w:p>
    <w:p w14:paraId="4E659285" w14:textId="77777777" w:rsidR="00065C53" w:rsidRPr="00E224E9" w:rsidRDefault="00065C53" w:rsidP="005D67C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4</w:t>
      </w:r>
      <w:r w:rsidRPr="00E224E9">
        <w:rPr>
          <w:rFonts w:ascii="Book Antiqua" w:hAnsi="Book Antiqua"/>
          <w:color w:val="000000" w:themeColor="text1"/>
          <w:sz w:val="24"/>
        </w:rPr>
        <w:t>欄－面積</w:t>
      </w:r>
      <w:r w:rsidRPr="00E224E9">
        <w:rPr>
          <w:rFonts w:ascii="Book Antiqua" w:hAnsi="Book Antiqua"/>
          <w:color w:val="000000" w:themeColor="text1"/>
          <w:sz w:val="24"/>
        </w:rPr>
        <w:t>(</w:t>
      </w:r>
      <w:r w:rsidRPr="00E224E9">
        <w:rPr>
          <w:rFonts w:ascii="Book Antiqua" w:hAnsi="Book Antiqua"/>
          <w:color w:val="000000" w:themeColor="text1"/>
          <w:sz w:val="24"/>
        </w:rPr>
        <w:t>平方公尺</w:t>
      </w:r>
      <w:r w:rsidRPr="00E224E9">
        <w:rPr>
          <w:rFonts w:ascii="Book Antiqua" w:hAnsi="Book Antiqua"/>
          <w:color w:val="000000" w:themeColor="text1"/>
          <w:sz w:val="24"/>
        </w:rPr>
        <w:t>)</w:t>
      </w:r>
      <w:r w:rsidRPr="00E224E9">
        <w:rPr>
          <w:rFonts w:ascii="Book Antiqua" w:hAnsi="Book Antiqua"/>
          <w:color w:val="000000" w:themeColor="text1"/>
          <w:sz w:val="24"/>
        </w:rPr>
        <w:tab/>
      </w:r>
    </w:p>
    <w:p w14:paraId="29B2E4F7" w14:textId="77777777" w:rsidR="00065C53" w:rsidRPr="00E224E9" w:rsidRDefault="00065C53" w:rsidP="00C74DED">
      <w:pPr>
        <w:tabs>
          <w:tab w:val="left" w:pos="7093"/>
        </w:tabs>
        <w:spacing w:line="440" w:lineRule="exact"/>
        <w:ind w:leftChars="184" w:left="898" w:hangingChars="175" w:hanging="420"/>
        <w:jc w:val="both"/>
        <w:rPr>
          <w:rFonts w:ascii="Book Antiqua" w:hAnsi="Book Antiqua"/>
          <w:color w:val="000000" w:themeColor="text1"/>
          <w:sz w:val="24"/>
        </w:rPr>
      </w:pPr>
      <w:r w:rsidRPr="00E224E9">
        <w:rPr>
          <w:rFonts w:ascii="Book Antiqua" w:hAnsi="Book Antiqua"/>
          <w:color w:val="000000" w:themeColor="text1"/>
          <w:sz w:val="24"/>
        </w:rPr>
        <w:t>係指每一不動產對應之面積。所稱面積於土地係指土地面積，於房屋</w:t>
      </w:r>
    </w:p>
    <w:p w14:paraId="4F0699BE" w14:textId="77777777" w:rsidR="00065C53" w:rsidRPr="00E224E9" w:rsidRDefault="00065C53" w:rsidP="00066335">
      <w:pPr>
        <w:tabs>
          <w:tab w:val="left" w:pos="7093"/>
        </w:tabs>
        <w:spacing w:line="440" w:lineRule="exact"/>
        <w:ind w:leftChars="184" w:left="898" w:hangingChars="175" w:hanging="420"/>
        <w:jc w:val="both"/>
        <w:rPr>
          <w:rFonts w:ascii="Book Antiqua" w:hAnsi="Book Antiqua"/>
          <w:color w:val="000000" w:themeColor="text1"/>
          <w:sz w:val="24"/>
        </w:rPr>
      </w:pPr>
      <w:r w:rsidRPr="00E224E9">
        <w:rPr>
          <w:rFonts w:ascii="Book Antiqua" w:hAnsi="Book Antiqua"/>
          <w:color w:val="000000" w:themeColor="text1"/>
          <w:sz w:val="24"/>
        </w:rPr>
        <w:t>係指建物面積。單位為平方公尺。</w:t>
      </w:r>
    </w:p>
    <w:p w14:paraId="4B44E8D6" w14:textId="77777777" w:rsidR="00065C53" w:rsidRPr="00E224E9" w:rsidRDefault="00065C53" w:rsidP="008F1CA5">
      <w:pPr>
        <w:tabs>
          <w:tab w:val="left" w:pos="7093"/>
        </w:tabs>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5</w:t>
      </w:r>
      <w:r w:rsidRPr="00E224E9">
        <w:rPr>
          <w:rFonts w:ascii="Book Antiqua" w:hAnsi="Book Antiqua"/>
          <w:color w:val="000000" w:themeColor="text1"/>
          <w:sz w:val="24"/>
        </w:rPr>
        <w:t>欄－使用種類</w:t>
      </w:r>
      <w:r w:rsidRPr="00E224E9">
        <w:rPr>
          <w:rFonts w:ascii="Book Antiqua" w:hAnsi="Book Antiqua"/>
          <w:color w:val="000000" w:themeColor="text1"/>
          <w:sz w:val="24"/>
        </w:rPr>
        <w:tab/>
      </w:r>
    </w:p>
    <w:p w14:paraId="2DA53947" w14:textId="77777777" w:rsidR="00065C53" w:rsidRPr="00E224E9" w:rsidRDefault="00065C53" w:rsidP="00F3152E">
      <w:pPr>
        <w:spacing w:line="440" w:lineRule="exact"/>
        <w:ind w:leftChars="184" w:left="478"/>
        <w:rPr>
          <w:rFonts w:ascii="Book Antiqua" w:hAnsi="Book Antiqua"/>
          <w:color w:val="000000" w:themeColor="text1"/>
          <w:sz w:val="24"/>
        </w:rPr>
      </w:pPr>
      <w:r w:rsidRPr="00E224E9">
        <w:rPr>
          <w:rFonts w:ascii="Book Antiqua" w:hAnsi="Book Antiqua"/>
          <w:color w:val="000000" w:themeColor="text1"/>
          <w:sz w:val="24"/>
        </w:rPr>
        <w:t>係指每一不動產對應之使用種類。所稱使用種類請依序填列代號</w:t>
      </w:r>
      <w:r w:rsidRPr="00E224E9">
        <w:rPr>
          <w:rFonts w:ascii="Book Antiqua" w:hAnsi="Book Antiqua"/>
          <w:color w:val="000000" w:themeColor="text1"/>
          <w:sz w:val="24"/>
        </w:rPr>
        <w:t>(A</w:t>
      </w:r>
      <w:r w:rsidRPr="00E224E9">
        <w:rPr>
          <w:rFonts w:ascii="Book Antiqua" w:hAnsi="Book Antiqua"/>
          <w:color w:val="000000" w:themeColor="text1"/>
          <w:sz w:val="24"/>
        </w:rPr>
        <w:t>、</w:t>
      </w:r>
      <w:r w:rsidRPr="00E224E9">
        <w:rPr>
          <w:rFonts w:ascii="Book Antiqua" w:hAnsi="Book Antiqua"/>
          <w:color w:val="000000" w:themeColor="text1"/>
          <w:sz w:val="24"/>
        </w:rPr>
        <w:t>B</w:t>
      </w:r>
      <w:r w:rsidRPr="00E224E9">
        <w:rPr>
          <w:rFonts w:ascii="Book Antiqua" w:hAnsi="Book Antiqua"/>
          <w:color w:val="000000" w:themeColor="text1"/>
          <w:sz w:val="24"/>
        </w:rPr>
        <w:t>、</w:t>
      </w:r>
      <w:r w:rsidRPr="00E224E9">
        <w:rPr>
          <w:rFonts w:ascii="Book Antiqua" w:hAnsi="Book Antiqua"/>
          <w:color w:val="000000" w:themeColor="text1"/>
          <w:sz w:val="24"/>
        </w:rPr>
        <w:t>C)</w:t>
      </w:r>
      <w:r w:rsidRPr="00E224E9">
        <w:rPr>
          <w:rFonts w:ascii="Book Antiqua" w:hAnsi="Book Antiqua"/>
          <w:color w:val="000000" w:themeColor="text1"/>
          <w:sz w:val="24"/>
        </w:rPr>
        <w:t>即可。如</w:t>
      </w:r>
      <w:r w:rsidRPr="00E224E9">
        <w:rPr>
          <w:rFonts w:ascii="Book Antiqua" w:hAnsi="Book Antiqua"/>
          <w:color w:val="000000" w:themeColor="text1"/>
          <w:sz w:val="24"/>
        </w:rPr>
        <w:t>A.</w:t>
      </w:r>
      <w:r w:rsidRPr="00E224E9">
        <w:rPr>
          <w:rFonts w:ascii="Book Antiqua" w:hAnsi="Book Antiqua"/>
          <w:color w:val="000000" w:themeColor="text1"/>
          <w:sz w:val="24"/>
        </w:rPr>
        <w:t>自用、</w:t>
      </w:r>
      <w:r w:rsidRPr="00E224E9">
        <w:rPr>
          <w:rFonts w:ascii="Book Antiqua" w:hAnsi="Book Antiqua"/>
          <w:color w:val="000000" w:themeColor="text1"/>
          <w:sz w:val="24"/>
        </w:rPr>
        <w:t>B.</w:t>
      </w:r>
      <w:r w:rsidRPr="00E224E9">
        <w:rPr>
          <w:rFonts w:ascii="Book Antiqua" w:hAnsi="Book Antiqua"/>
          <w:color w:val="000000" w:themeColor="text1"/>
          <w:sz w:val="24"/>
        </w:rPr>
        <w:t>投資用、</w:t>
      </w:r>
      <w:r w:rsidRPr="00E224E9">
        <w:rPr>
          <w:rFonts w:ascii="Book Antiqua" w:hAnsi="Book Antiqua"/>
          <w:color w:val="000000" w:themeColor="text1"/>
          <w:sz w:val="24"/>
        </w:rPr>
        <w:t>C.</w:t>
      </w:r>
      <w:r w:rsidRPr="00E224E9">
        <w:rPr>
          <w:rFonts w:ascii="Book Antiqua" w:hAnsi="Book Antiqua"/>
          <w:color w:val="000000" w:themeColor="text1"/>
          <w:sz w:val="24"/>
        </w:rPr>
        <w:t>其他。若不動產有分屬投資或自用或使用人不同者，均分別列示</w:t>
      </w:r>
      <w:r w:rsidRPr="00E224E9">
        <w:rPr>
          <w:rFonts w:ascii="Book Antiqua" w:hAnsi="Book Antiqua"/>
          <w:color w:val="000000" w:themeColor="text1"/>
          <w:sz w:val="24"/>
        </w:rPr>
        <w:t>(</w:t>
      </w:r>
      <w:r w:rsidRPr="00E224E9">
        <w:rPr>
          <w:rFonts w:ascii="Book Antiqua" w:hAnsi="Book Antiqua"/>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E224E9">
        <w:rPr>
          <w:rFonts w:ascii="Book Antiqua" w:hAnsi="Book Antiqua"/>
          <w:color w:val="000000" w:themeColor="text1"/>
          <w:sz w:val="24"/>
        </w:rPr>
        <w:t>)</w:t>
      </w:r>
    </w:p>
    <w:p w14:paraId="369322F9" w14:textId="77777777" w:rsidR="00065C53" w:rsidRPr="00E224E9" w:rsidRDefault="00065C53" w:rsidP="00F3152E">
      <w:pPr>
        <w:spacing w:line="440" w:lineRule="exact"/>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6</w:t>
      </w:r>
      <w:r w:rsidRPr="00E224E9">
        <w:rPr>
          <w:rFonts w:ascii="Book Antiqua" w:hAnsi="Book Antiqua"/>
          <w:color w:val="000000" w:themeColor="text1"/>
          <w:sz w:val="24"/>
        </w:rPr>
        <w:t>欄－取得方式</w:t>
      </w:r>
    </w:p>
    <w:p w14:paraId="45B17D8D" w14:textId="77777777" w:rsidR="00065C53" w:rsidRPr="00E224E9" w:rsidRDefault="00065C53" w:rsidP="00F3152E">
      <w:pPr>
        <w:spacing w:line="440" w:lineRule="exact"/>
        <w:ind w:leftChars="200" w:left="520"/>
        <w:rPr>
          <w:rFonts w:ascii="Book Antiqua" w:hAnsi="Book Antiqua"/>
          <w:color w:val="000000" w:themeColor="text1"/>
          <w:sz w:val="24"/>
        </w:rPr>
      </w:pPr>
      <w:r w:rsidRPr="00E224E9">
        <w:rPr>
          <w:rFonts w:ascii="Book Antiqua" w:hAnsi="Book Antiqua"/>
          <w:color w:val="000000" w:themeColor="text1"/>
          <w:sz w:val="24"/>
        </w:rPr>
        <w:t>係指每一不動產對應之取得方式。所稱取得方式請依序填列代號</w:t>
      </w:r>
      <w:r w:rsidRPr="00E224E9">
        <w:rPr>
          <w:rFonts w:ascii="Book Antiqua" w:hAnsi="Book Antiqua"/>
          <w:color w:val="000000" w:themeColor="text1"/>
          <w:sz w:val="24"/>
        </w:rPr>
        <w:t>(A</w:t>
      </w:r>
      <w:r w:rsidRPr="00E224E9">
        <w:rPr>
          <w:rFonts w:ascii="Book Antiqua" w:hAnsi="Book Antiqua"/>
          <w:color w:val="000000" w:themeColor="text1"/>
          <w:sz w:val="24"/>
        </w:rPr>
        <w:t>、</w:t>
      </w:r>
      <w:r w:rsidRPr="00E224E9">
        <w:rPr>
          <w:rFonts w:ascii="Book Antiqua" w:hAnsi="Book Antiqua"/>
          <w:color w:val="000000" w:themeColor="text1"/>
          <w:sz w:val="24"/>
        </w:rPr>
        <w:t>B</w:t>
      </w:r>
      <w:r w:rsidRPr="00E224E9">
        <w:rPr>
          <w:rFonts w:ascii="Book Antiqua" w:hAnsi="Book Antiqua"/>
          <w:color w:val="000000" w:themeColor="text1"/>
          <w:sz w:val="24"/>
        </w:rPr>
        <w:t>、</w:t>
      </w:r>
      <w:r w:rsidRPr="00E224E9">
        <w:rPr>
          <w:rFonts w:ascii="Book Antiqua" w:hAnsi="Book Antiqua"/>
          <w:color w:val="000000" w:themeColor="text1"/>
          <w:sz w:val="24"/>
        </w:rPr>
        <w:t>C</w:t>
      </w:r>
      <w:r w:rsidRPr="00E224E9">
        <w:rPr>
          <w:rFonts w:ascii="Book Antiqua" w:hAnsi="Book Antiqua"/>
          <w:color w:val="000000" w:themeColor="text1"/>
          <w:sz w:val="24"/>
        </w:rPr>
        <w:t>、</w:t>
      </w:r>
      <w:r w:rsidRPr="00E224E9">
        <w:rPr>
          <w:rFonts w:ascii="Book Antiqua" w:hAnsi="Book Antiqua"/>
          <w:color w:val="000000" w:themeColor="text1"/>
          <w:sz w:val="24"/>
        </w:rPr>
        <w:t>D)</w:t>
      </w:r>
      <w:r w:rsidRPr="00E224E9">
        <w:rPr>
          <w:rFonts w:ascii="Book Antiqua" w:hAnsi="Book Antiqua"/>
          <w:color w:val="000000" w:themeColor="text1"/>
          <w:sz w:val="24"/>
        </w:rPr>
        <w:t>即可。如</w:t>
      </w:r>
      <w:r w:rsidRPr="00E224E9">
        <w:rPr>
          <w:rFonts w:ascii="Book Antiqua" w:hAnsi="Book Antiqua"/>
          <w:color w:val="000000" w:themeColor="text1"/>
          <w:sz w:val="24"/>
        </w:rPr>
        <w:t>A.</w:t>
      </w:r>
      <w:r w:rsidRPr="00E224E9">
        <w:rPr>
          <w:rFonts w:ascii="Book Antiqua" w:hAnsi="Book Antiqua"/>
          <w:color w:val="000000" w:themeColor="text1"/>
          <w:sz w:val="24"/>
        </w:rPr>
        <w:t>買賣、</w:t>
      </w:r>
      <w:r w:rsidRPr="00E224E9">
        <w:rPr>
          <w:rFonts w:ascii="Book Antiqua" w:hAnsi="Book Antiqua"/>
          <w:color w:val="000000" w:themeColor="text1"/>
          <w:sz w:val="24"/>
        </w:rPr>
        <w:t>B.</w:t>
      </w:r>
      <w:r w:rsidRPr="00E224E9">
        <w:rPr>
          <w:rFonts w:ascii="Book Antiqua" w:hAnsi="Book Antiqua"/>
          <w:color w:val="000000" w:themeColor="text1"/>
          <w:sz w:val="24"/>
        </w:rPr>
        <w:t>承受擔保</w:t>
      </w:r>
      <w:r w:rsidRPr="00E224E9">
        <w:rPr>
          <w:rFonts w:ascii="Book Antiqua" w:hAnsi="Book Antiqua"/>
          <w:color w:val="000000" w:themeColor="text1"/>
          <w:sz w:val="24"/>
        </w:rPr>
        <w:t>-</w:t>
      </w:r>
      <w:r w:rsidRPr="00E224E9">
        <w:rPr>
          <w:rFonts w:ascii="Book Antiqua" w:hAnsi="Book Antiqua"/>
          <w:color w:val="000000" w:themeColor="text1"/>
          <w:sz w:val="24"/>
        </w:rPr>
        <w:t>協議取得、</w:t>
      </w:r>
      <w:r w:rsidRPr="00E224E9">
        <w:rPr>
          <w:rFonts w:ascii="Book Antiqua" w:hAnsi="Book Antiqua"/>
          <w:color w:val="000000" w:themeColor="text1"/>
          <w:sz w:val="24"/>
        </w:rPr>
        <w:t>C.</w:t>
      </w:r>
      <w:r w:rsidRPr="00E224E9">
        <w:rPr>
          <w:rFonts w:ascii="Book Antiqua" w:hAnsi="Book Antiqua"/>
          <w:color w:val="000000" w:themeColor="text1"/>
          <w:sz w:val="24"/>
        </w:rPr>
        <w:t>承受擔保品</w:t>
      </w:r>
      <w:r w:rsidRPr="00E224E9">
        <w:rPr>
          <w:rFonts w:ascii="Book Antiqua" w:hAnsi="Book Antiqua"/>
          <w:color w:val="000000" w:themeColor="text1"/>
          <w:sz w:val="24"/>
        </w:rPr>
        <w:t>-</w:t>
      </w:r>
      <w:r w:rsidRPr="00E224E9">
        <w:rPr>
          <w:rFonts w:ascii="Book Antiqua" w:hAnsi="Book Antiqua"/>
          <w:color w:val="000000" w:themeColor="text1"/>
          <w:sz w:val="24"/>
        </w:rPr>
        <w:t>經法院拍賣取得、</w:t>
      </w:r>
      <w:r w:rsidRPr="00E224E9">
        <w:rPr>
          <w:rFonts w:ascii="Book Antiqua" w:hAnsi="Book Antiqua"/>
          <w:color w:val="000000" w:themeColor="text1"/>
          <w:sz w:val="24"/>
        </w:rPr>
        <w:t>D.</w:t>
      </w:r>
      <w:r w:rsidRPr="00E224E9">
        <w:rPr>
          <w:rFonts w:ascii="Book Antiqua" w:hAnsi="Book Antiqua"/>
          <w:color w:val="000000" w:themeColor="text1"/>
          <w:sz w:val="24"/>
        </w:rPr>
        <w:t>其他。</w:t>
      </w:r>
    </w:p>
    <w:p w14:paraId="452A74EC" w14:textId="77777777" w:rsidR="00065C53" w:rsidRPr="00E224E9" w:rsidRDefault="00065C53" w:rsidP="00F3152E">
      <w:pPr>
        <w:spacing w:line="440" w:lineRule="exact"/>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7</w:t>
      </w:r>
      <w:r w:rsidRPr="00E224E9">
        <w:rPr>
          <w:rFonts w:ascii="Book Antiqua" w:hAnsi="Book Antiqua"/>
          <w:color w:val="000000" w:themeColor="text1"/>
          <w:sz w:val="24"/>
        </w:rPr>
        <w:t>欄－取得年月日</w:t>
      </w:r>
      <w:r w:rsidRPr="00E224E9">
        <w:rPr>
          <w:rFonts w:ascii="Book Antiqua" w:hAnsi="Book Antiqua"/>
          <w:color w:val="000000" w:themeColor="text1"/>
          <w:sz w:val="24"/>
        </w:rPr>
        <w:t>(</w:t>
      </w:r>
      <w:r w:rsidRPr="00E224E9">
        <w:rPr>
          <w:rFonts w:ascii="Book Antiqua" w:hAnsi="Book Antiqua"/>
          <w:color w:val="000000" w:themeColor="text1"/>
          <w:sz w:val="24"/>
        </w:rPr>
        <w:t>主排序</w:t>
      </w:r>
      <w:r w:rsidRPr="00E224E9">
        <w:rPr>
          <w:rFonts w:ascii="Book Antiqua" w:hAnsi="Book Antiqua"/>
          <w:color w:val="000000" w:themeColor="text1"/>
          <w:sz w:val="24"/>
        </w:rPr>
        <w:t>-</w:t>
      </w:r>
      <w:r w:rsidRPr="00E224E9">
        <w:rPr>
          <w:rFonts w:ascii="Book Antiqua" w:hAnsi="Book Antiqua"/>
          <w:color w:val="000000" w:themeColor="text1"/>
          <w:sz w:val="24"/>
        </w:rPr>
        <w:t>遞減</w:t>
      </w:r>
      <w:r w:rsidRPr="00E224E9">
        <w:rPr>
          <w:rFonts w:ascii="Book Antiqua" w:hAnsi="Book Antiqua"/>
          <w:color w:val="000000" w:themeColor="text1"/>
          <w:sz w:val="24"/>
        </w:rPr>
        <w:t>)</w:t>
      </w:r>
    </w:p>
    <w:p w14:paraId="08D44E64" w14:textId="77777777" w:rsidR="00065C53" w:rsidRPr="00E224E9" w:rsidRDefault="00065C53" w:rsidP="005D67C7">
      <w:pPr>
        <w:tabs>
          <w:tab w:val="left" w:pos="7093"/>
        </w:tabs>
        <w:spacing w:line="440" w:lineRule="exact"/>
        <w:ind w:leftChars="184" w:left="898" w:hangingChars="175" w:hanging="420"/>
        <w:jc w:val="both"/>
        <w:rPr>
          <w:rFonts w:ascii="Book Antiqua" w:hAnsi="Book Antiqua"/>
          <w:color w:val="000000" w:themeColor="text1"/>
          <w:sz w:val="24"/>
        </w:rPr>
      </w:pPr>
      <w:r w:rsidRPr="00E224E9">
        <w:rPr>
          <w:rFonts w:ascii="Book Antiqua" w:hAnsi="Book Antiqua"/>
          <w:color w:val="000000" w:themeColor="text1"/>
          <w:sz w:val="24"/>
        </w:rPr>
        <w:t>係指每一不動產對應之取得年月日，並以主排序</w:t>
      </w:r>
      <w:r w:rsidRPr="00E224E9">
        <w:rPr>
          <w:rFonts w:ascii="Book Antiqua" w:hAnsi="Book Antiqua"/>
          <w:color w:val="000000" w:themeColor="text1"/>
          <w:sz w:val="24"/>
        </w:rPr>
        <w:t>-</w:t>
      </w:r>
      <w:r w:rsidRPr="00E224E9">
        <w:rPr>
          <w:rFonts w:ascii="Book Antiqua" w:hAnsi="Book Antiqua"/>
          <w:color w:val="000000" w:themeColor="text1"/>
          <w:sz w:val="24"/>
        </w:rPr>
        <w:t>遞減。所稱取得年月</w:t>
      </w:r>
    </w:p>
    <w:p w14:paraId="53CFFED6" w14:textId="77777777" w:rsidR="00065C53" w:rsidRPr="00E224E9" w:rsidRDefault="00065C53" w:rsidP="00C74DED">
      <w:pPr>
        <w:tabs>
          <w:tab w:val="left" w:pos="7093"/>
        </w:tabs>
        <w:spacing w:line="440" w:lineRule="exact"/>
        <w:ind w:leftChars="184" w:left="898" w:hangingChars="175" w:hanging="420"/>
        <w:jc w:val="both"/>
        <w:rPr>
          <w:rFonts w:ascii="Book Antiqua" w:hAnsi="Book Antiqua"/>
          <w:color w:val="000000" w:themeColor="text1"/>
          <w:sz w:val="24"/>
        </w:rPr>
      </w:pPr>
      <w:r w:rsidRPr="00E224E9">
        <w:rPr>
          <w:rFonts w:ascii="Book Antiqua" w:hAnsi="Book Antiqua"/>
          <w:color w:val="000000" w:themeColor="text1"/>
          <w:sz w:val="24"/>
        </w:rPr>
        <w:t>日，係指以權狀登記日為準。其填寫方式如</w:t>
      </w:r>
      <w:r w:rsidRPr="00E224E9">
        <w:rPr>
          <w:rFonts w:ascii="Book Antiqua" w:hAnsi="Book Antiqua"/>
          <w:color w:val="000000" w:themeColor="text1"/>
          <w:sz w:val="24"/>
        </w:rPr>
        <w:t>2005/06/25</w:t>
      </w:r>
      <w:r w:rsidRPr="00E224E9">
        <w:rPr>
          <w:rFonts w:ascii="Book Antiqua" w:hAnsi="Book Antiqua"/>
          <w:color w:val="000000" w:themeColor="text1"/>
          <w:sz w:val="24"/>
        </w:rPr>
        <w:t>。在建工程或未完工</w:t>
      </w:r>
    </w:p>
    <w:p w14:paraId="6D702D88" w14:textId="77777777" w:rsidR="00065C53" w:rsidRPr="00E224E9" w:rsidRDefault="00065C53" w:rsidP="00066335">
      <w:pPr>
        <w:tabs>
          <w:tab w:val="left" w:pos="7093"/>
        </w:tabs>
        <w:spacing w:line="440" w:lineRule="exact"/>
        <w:ind w:leftChars="184" w:left="898" w:hangingChars="175" w:hanging="420"/>
        <w:jc w:val="both"/>
        <w:rPr>
          <w:rFonts w:ascii="Book Antiqua" w:hAnsi="Book Antiqua"/>
          <w:color w:val="000000" w:themeColor="text1"/>
          <w:sz w:val="24"/>
        </w:rPr>
      </w:pPr>
      <w:r w:rsidRPr="00E224E9">
        <w:rPr>
          <w:rFonts w:ascii="Book Antiqua" w:hAnsi="Book Antiqua"/>
          <w:color w:val="000000" w:themeColor="text1"/>
          <w:sz w:val="24"/>
        </w:rPr>
        <w:t>程者，請填無。</w:t>
      </w:r>
    </w:p>
    <w:p w14:paraId="038FB9CA" w14:textId="77777777" w:rsidR="00065C53" w:rsidRPr="00E224E9" w:rsidRDefault="00065C53" w:rsidP="008F1CA5">
      <w:pPr>
        <w:tabs>
          <w:tab w:val="left" w:pos="7093"/>
        </w:tabs>
        <w:spacing w:line="440" w:lineRule="exact"/>
        <w:ind w:firstLineChars="100" w:firstLine="240"/>
        <w:jc w:val="both"/>
        <w:rPr>
          <w:rFonts w:ascii="Book Antiqua" w:hAnsi="Book Antiqua"/>
          <w:b/>
          <w:bCs/>
          <w:color w:val="000000" w:themeColor="text1"/>
          <w:sz w:val="24"/>
        </w:rPr>
      </w:pPr>
      <w:r w:rsidRPr="00E224E9">
        <w:rPr>
          <w:rFonts w:ascii="Book Antiqua" w:hAnsi="Book Antiqua"/>
          <w:b/>
          <w:bCs/>
          <w:color w:val="000000" w:themeColor="text1"/>
          <w:sz w:val="24"/>
        </w:rPr>
        <w:t>出賣人</w:t>
      </w:r>
    </w:p>
    <w:p w14:paraId="3BD725C4" w14:textId="77777777" w:rsidR="00065C53" w:rsidRPr="00E224E9" w:rsidRDefault="00065C53" w:rsidP="008F1CA5">
      <w:pPr>
        <w:tabs>
          <w:tab w:val="left" w:pos="7093"/>
        </w:tabs>
        <w:spacing w:line="440" w:lineRule="exact"/>
        <w:ind w:leftChars="92" w:left="239"/>
        <w:jc w:val="both"/>
        <w:rPr>
          <w:rFonts w:ascii="Book Antiqua" w:hAnsi="Book Antiqua"/>
          <w:color w:val="000000" w:themeColor="text1"/>
          <w:sz w:val="24"/>
        </w:rPr>
      </w:pPr>
      <w:r w:rsidRPr="00E224E9">
        <w:rPr>
          <w:rFonts w:ascii="Book Antiqua" w:hAnsi="Book Antiqua"/>
          <w:color w:val="000000" w:themeColor="text1"/>
          <w:sz w:val="24"/>
        </w:rPr>
        <w:lastRenderedPageBreak/>
        <w:t>若現所持有不動產係五年內購自於關係人者</w:t>
      </w:r>
      <w:r w:rsidRPr="00E224E9">
        <w:rPr>
          <w:rFonts w:ascii="Book Antiqua" w:hAnsi="Book Antiqua"/>
          <w:color w:val="000000" w:themeColor="text1"/>
          <w:sz w:val="24"/>
        </w:rPr>
        <w:t>,</w:t>
      </w:r>
      <w:r w:rsidRPr="00E224E9">
        <w:rPr>
          <w:rFonts w:ascii="Book Antiqua" w:hAnsi="Book Antiqua"/>
          <w:color w:val="000000" w:themeColor="text1"/>
          <w:sz w:val="24"/>
        </w:rPr>
        <w:t>應於出賣人欄填列出賣人名稱及代號</w:t>
      </w:r>
      <w:r w:rsidRPr="00E224E9">
        <w:rPr>
          <w:rFonts w:ascii="Book Antiqua" w:hAnsi="Book Antiqua"/>
          <w:color w:val="000000" w:themeColor="text1"/>
          <w:sz w:val="24"/>
        </w:rPr>
        <w:t>,</w:t>
      </w:r>
      <w:r w:rsidRPr="00E224E9">
        <w:rPr>
          <w:rFonts w:ascii="Book Antiqua" w:hAnsi="Book Antiqua"/>
          <w:color w:val="000000" w:themeColor="text1"/>
          <w:sz w:val="24"/>
        </w:rPr>
        <w:t>餘若不可考者免填。</w:t>
      </w:r>
    </w:p>
    <w:p w14:paraId="47D0B090" w14:textId="77777777" w:rsidR="00065C53" w:rsidRPr="00E224E9" w:rsidRDefault="00065C53" w:rsidP="00F3152E">
      <w:pPr>
        <w:spacing w:line="440" w:lineRule="exact"/>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8</w:t>
      </w:r>
      <w:r w:rsidRPr="00E224E9">
        <w:rPr>
          <w:rFonts w:ascii="Book Antiqua" w:hAnsi="Book Antiqua"/>
          <w:color w:val="000000" w:themeColor="text1"/>
          <w:sz w:val="24"/>
        </w:rPr>
        <w:t>欄－代號</w:t>
      </w:r>
    </w:p>
    <w:p w14:paraId="2C124E6B" w14:textId="77777777" w:rsidR="00065C53" w:rsidRPr="00E224E9" w:rsidRDefault="00065C53" w:rsidP="005D67C7">
      <w:pPr>
        <w:spacing w:line="440" w:lineRule="exact"/>
        <w:ind w:firstLineChars="200" w:firstLine="480"/>
        <w:jc w:val="both"/>
        <w:rPr>
          <w:rFonts w:ascii="Book Antiqua" w:hAnsi="Book Antiqua"/>
          <w:color w:val="000000" w:themeColor="text1"/>
          <w:sz w:val="24"/>
        </w:rPr>
      </w:pPr>
      <w:r w:rsidRPr="00E224E9">
        <w:rPr>
          <w:rFonts w:ascii="Book Antiqua" w:hAnsi="Book Antiqua"/>
          <w:color w:val="000000" w:themeColor="text1"/>
          <w:sz w:val="24"/>
        </w:rPr>
        <w:t>係指相對應之身分代號。如屬自然人且具有中華民國國籍之身分者，</w:t>
      </w:r>
    </w:p>
    <w:p w14:paraId="55572AFF" w14:textId="77777777" w:rsidR="00065C53" w:rsidRPr="00E224E9" w:rsidRDefault="00065C53" w:rsidP="00C74DED">
      <w:pPr>
        <w:spacing w:line="440" w:lineRule="exact"/>
        <w:ind w:firstLineChars="200" w:firstLine="480"/>
        <w:jc w:val="both"/>
        <w:rPr>
          <w:rFonts w:ascii="Book Antiqua" w:hAnsi="Book Antiqua"/>
          <w:color w:val="000000" w:themeColor="text1"/>
          <w:sz w:val="24"/>
        </w:rPr>
      </w:pPr>
      <w:r w:rsidRPr="00E224E9">
        <w:rPr>
          <w:rFonts w:ascii="Book Antiqua" w:hAnsi="Book Antiqua"/>
          <w:color w:val="000000" w:themeColor="text1"/>
          <w:sz w:val="24"/>
        </w:rPr>
        <w:t>請填列身分證字號；如屬自然人且未具有中華民國國籍之身分者，請</w:t>
      </w:r>
    </w:p>
    <w:p w14:paraId="0C196776" w14:textId="77777777" w:rsidR="00065C53" w:rsidRPr="00E224E9" w:rsidRDefault="00065C53" w:rsidP="00066335">
      <w:pPr>
        <w:spacing w:line="440" w:lineRule="exact"/>
        <w:ind w:firstLineChars="200" w:firstLine="480"/>
        <w:jc w:val="both"/>
        <w:rPr>
          <w:rFonts w:ascii="Book Antiqua" w:hAnsi="Book Antiqua"/>
          <w:color w:val="000000" w:themeColor="text1"/>
          <w:sz w:val="24"/>
        </w:rPr>
      </w:pPr>
      <w:r w:rsidRPr="00E224E9">
        <w:rPr>
          <w:rFonts w:ascii="Book Antiqua" w:hAnsi="Book Antiqua"/>
          <w:color w:val="000000" w:themeColor="text1"/>
          <w:sz w:val="24"/>
        </w:rPr>
        <w:t>填列護照號碼。如屬法人者，請填列統一編號。</w:t>
      </w:r>
    </w:p>
    <w:p w14:paraId="45A2BFC8" w14:textId="77777777" w:rsidR="00065C53" w:rsidRPr="00E224E9"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9</w:t>
      </w:r>
      <w:r w:rsidRPr="00E224E9">
        <w:rPr>
          <w:rFonts w:ascii="Book Antiqua" w:hAnsi="Book Antiqua"/>
          <w:color w:val="000000" w:themeColor="text1"/>
          <w:sz w:val="24"/>
        </w:rPr>
        <w:t>欄－名稱</w:t>
      </w:r>
    </w:p>
    <w:p w14:paraId="0FA4320D" w14:textId="77777777" w:rsidR="00065C53" w:rsidRPr="00E224E9" w:rsidRDefault="00065C53" w:rsidP="00BC7FC0">
      <w:pPr>
        <w:tabs>
          <w:tab w:val="left" w:pos="7093"/>
        </w:tabs>
        <w:spacing w:line="440" w:lineRule="exact"/>
        <w:ind w:leftChars="200" w:left="940" w:hangingChars="175" w:hanging="420"/>
        <w:jc w:val="both"/>
        <w:rPr>
          <w:rFonts w:ascii="Book Antiqua" w:hAnsi="Book Antiqua"/>
          <w:color w:val="000000" w:themeColor="text1"/>
          <w:sz w:val="24"/>
        </w:rPr>
      </w:pPr>
      <w:r w:rsidRPr="00E224E9">
        <w:rPr>
          <w:rFonts w:ascii="Book Antiqua" w:hAnsi="Book Antiqua"/>
          <w:color w:val="000000" w:themeColor="text1"/>
          <w:sz w:val="24"/>
        </w:rPr>
        <w:t>係指相對應之名稱。如屬自然人者，請填列姓名；如屬法人者，請填</w:t>
      </w:r>
    </w:p>
    <w:p w14:paraId="2920E0C2" w14:textId="77777777" w:rsidR="00065C53" w:rsidRPr="00E224E9" w:rsidRDefault="00065C53" w:rsidP="00BE6FC3">
      <w:pPr>
        <w:tabs>
          <w:tab w:val="left" w:pos="7093"/>
        </w:tabs>
        <w:spacing w:line="440" w:lineRule="exact"/>
        <w:ind w:leftChars="200" w:left="940" w:hangingChars="175" w:hanging="420"/>
        <w:jc w:val="both"/>
        <w:rPr>
          <w:rFonts w:ascii="Book Antiqua" w:hAnsi="Book Antiqua"/>
          <w:color w:val="000000" w:themeColor="text1"/>
          <w:sz w:val="24"/>
        </w:rPr>
      </w:pPr>
      <w:r w:rsidRPr="00E224E9">
        <w:rPr>
          <w:rFonts w:ascii="Book Antiqua" w:hAnsi="Book Antiqua"/>
          <w:color w:val="000000" w:themeColor="text1"/>
          <w:sz w:val="24"/>
        </w:rPr>
        <w:t>列全名。</w:t>
      </w:r>
    </w:p>
    <w:p w14:paraId="6D5B499E" w14:textId="77777777" w:rsidR="00065C53" w:rsidRPr="00E224E9" w:rsidRDefault="00065C53" w:rsidP="00020FEE">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10</w:t>
      </w:r>
      <w:r w:rsidRPr="00E224E9">
        <w:rPr>
          <w:rFonts w:ascii="Book Antiqua" w:hAnsi="Book Antiqua"/>
          <w:color w:val="000000" w:themeColor="text1"/>
          <w:sz w:val="24"/>
        </w:rPr>
        <w:t>欄－是否為關係人</w:t>
      </w:r>
    </w:p>
    <w:p w14:paraId="622415C0" w14:textId="77777777" w:rsidR="00065C53" w:rsidRPr="00E224E9" w:rsidRDefault="00065C53" w:rsidP="000004F9">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是否為關係人請填列代號</w:t>
      </w:r>
      <w:r w:rsidRPr="00E224E9">
        <w:rPr>
          <w:rFonts w:ascii="Book Antiqua" w:hAnsi="Book Antiqua"/>
          <w:color w:val="000000" w:themeColor="text1"/>
          <w:sz w:val="24"/>
        </w:rPr>
        <w:t>(A</w:t>
      </w:r>
      <w:r w:rsidRPr="00E224E9">
        <w:rPr>
          <w:rFonts w:ascii="Book Antiqua" w:hAnsi="Book Antiqua"/>
          <w:color w:val="000000" w:themeColor="text1"/>
          <w:sz w:val="24"/>
        </w:rPr>
        <w:t>、</w:t>
      </w:r>
      <w:r w:rsidRPr="00E224E9">
        <w:rPr>
          <w:rFonts w:ascii="Book Antiqua" w:hAnsi="Book Antiqua"/>
          <w:color w:val="000000" w:themeColor="text1"/>
          <w:sz w:val="24"/>
        </w:rPr>
        <w:t>B</w:t>
      </w:r>
      <w:r w:rsidRPr="00E224E9">
        <w:rPr>
          <w:rFonts w:ascii="Book Antiqua" w:hAnsi="Book Antiqua"/>
          <w:color w:val="000000" w:themeColor="text1"/>
          <w:sz w:val="24"/>
        </w:rPr>
        <w:t>、</w:t>
      </w:r>
      <w:r w:rsidRPr="00E224E9">
        <w:rPr>
          <w:rFonts w:ascii="Book Antiqua" w:hAnsi="Book Antiqua"/>
          <w:color w:val="000000" w:themeColor="text1"/>
          <w:sz w:val="24"/>
        </w:rPr>
        <w:t>C)</w:t>
      </w:r>
      <w:r w:rsidRPr="00E224E9">
        <w:rPr>
          <w:rFonts w:ascii="Book Antiqua" w:hAnsi="Book Antiqua"/>
          <w:color w:val="000000" w:themeColor="text1"/>
          <w:sz w:val="24"/>
        </w:rPr>
        <w:t>即可。如</w:t>
      </w:r>
      <w:r w:rsidRPr="00E224E9">
        <w:rPr>
          <w:rFonts w:ascii="Book Antiqua" w:hAnsi="Book Antiqua"/>
          <w:color w:val="000000" w:themeColor="text1"/>
          <w:sz w:val="24"/>
        </w:rPr>
        <w:t>A.</w:t>
      </w:r>
      <w:r w:rsidRPr="00E224E9">
        <w:rPr>
          <w:rFonts w:ascii="Book Antiqua" w:hAnsi="Book Antiqua"/>
          <w:color w:val="000000" w:themeColor="text1"/>
          <w:sz w:val="24"/>
        </w:rPr>
        <w:t>否</w:t>
      </w:r>
      <w:r w:rsidRPr="00E224E9">
        <w:rPr>
          <w:rFonts w:ascii="Book Antiqua" w:hAnsi="Book Antiqua"/>
          <w:color w:val="000000" w:themeColor="text1"/>
          <w:sz w:val="24"/>
        </w:rPr>
        <w:t>,B.</w:t>
      </w:r>
      <w:r w:rsidRPr="00E224E9">
        <w:rPr>
          <w:rFonts w:ascii="Book Antiqua" w:hAnsi="Book Antiqua"/>
          <w:color w:val="000000" w:themeColor="text1"/>
          <w:sz w:val="24"/>
        </w:rPr>
        <w:t>關係人</w:t>
      </w:r>
      <w:r w:rsidRPr="00E224E9">
        <w:rPr>
          <w:rFonts w:ascii="Book Antiqua" w:hAnsi="Book Antiqua"/>
          <w:color w:val="000000" w:themeColor="text1"/>
          <w:sz w:val="24"/>
        </w:rPr>
        <w:t>-</w:t>
      </w:r>
      <w:r w:rsidRPr="00E224E9">
        <w:rPr>
          <w:rFonts w:ascii="Book Antiqua" w:hAnsi="Book Antiqua"/>
          <w:color w:val="000000" w:themeColor="text1"/>
          <w:sz w:val="24"/>
        </w:rPr>
        <w:t>非控制與從</w:t>
      </w:r>
    </w:p>
    <w:p w14:paraId="1D63618F" w14:textId="77777777" w:rsidR="00065C53" w:rsidRPr="00E224E9" w:rsidRDefault="00065C53" w:rsidP="00A51CC3">
      <w:pPr>
        <w:tabs>
          <w:tab w:val="left" w:pos="7093"/>
        </w:tabs>
        <w:spacing w:line="440" w:lineRule="exact"/>
        <w:ind w:leftChars="220" w:left="572"/>
        <w:jc w:val="both"/>
        <w:rPr>
          <w:rFonts w:ascii="Book Antiqua" w:hAnsi="Book Antiqua"/>
          <w:color w:val="000000" w:themeColor="text1"/>
          <w:sz w:val="24"/>
        </w:rPr>
      </w:pPr>
      <w:r w:rsidRPr="00E224E9">
        <w:rPr>
          <w:rFonts w:ascii="Book Antiqua" w:hAnsi="Book Antiqua"/>
          <w:color w:val="000000" w:themeColor="text1"/>
          <w:sz w:val="24"/>
        </w:rPr>
        <w:t>屬關係</w:t>
      </w:r>
      <w:r w:rsidRPr="00E224E9">
        <w:rPr>
          <w:rFonts w:ascii="Book Antiqua" w:hAnsi="Book Antiqua"/>
          <w:color w:val="000000" w:themeColor="text1"/>
          <w:sz w:val="24"/>
        </w:rPr>
        <w:t>,C.</w:t>
      </w:r>
      <w:r w:rsidRPr="00E224E9">
        <w:rPr>
          <w:rFonts w:ascii="Book Antiqua" w:hAnsi="Book Antiqua"/>
          <w:color w:val="000000" w:themeColor="text1"/>
          <w:sz w:val="24"/>
        </w:rPr>
        <w:t>關係人</w:t>
      </w:r>
      <w:r w:rsidRPr="00E224E9">
        <w:rPr>
          <w:rFonts w:ascii="Book Antiqua" w:hAnsi="Book Antiqua"/>
          <w:color w:val="000000" w:themeColor="text1"/>
          <w:sz w:val="24"/>
        </w:rPr>
        <w:t>-</w:t>
      </w:r>
      <w:r w:rsidRPr="00E224E9">
        <w:rPr>
          <w:rFonts w:ascii="Book Antiqua" w:hAnsi="Book Antiqua"/>
          <w:color w:val="000000" w:themeColor="text1"/>
          <w:sz w:val="24"/>
        </w:rPr>
        <w:t>具控制與從屬關係</w:t>
      </w:r>
      <w:r w:rsidRPr="00E224E9">
        <w:rPr>
          <w:rFonts w:ascii="Book Antiqua" w:hAnsi="Book Antiqua"/>
          <w:color w:val="000000" w:themeColor="text1"/>
          <w:sz w:val="24"/>
        </w:rPr>
        <w:t>;</w:t>
      </w:r>
      <w:r w:rsidRPr="00E224E9">
        <w:rPr>
          <w:rFonts w:ascii="Book Antiqua" w:hAnsi="Book Antiqua"/>
          <w:color w:val="000000" w:themeColor="text1"/>
          <w:sz w:val="24"/>
        </w:rPr>
        <w:t>所稱關係人係依</w:t>
      </w:r>
      <w:r w:rsidR="00C65703" w:rsidRPr="00E224E9">
        <w:rPr>
          <w:rFonts w:ascii="Book Antiqua" w:hAnsi="Book Antiqua"/>
          <w:color w:val="000000" w:themeColor="text1"/>
          <w:sz w:val="24"/>
        </w:rPr>
        <w:t>國際會計準則第</w:t>
      </w:r>
      <w:r w:rsidR="00C65703" w:rsidRPr="00E224E9">
        <w:rPr>
          <w:rFonts w:ascii="Book Antiqua" w:hAnsi="Book Antiqua"/>
          <w:color w:val="000000" w:themeColor="text1"/>
          <w:sz w:val="24"/>
        </w:rPr>
        <w:t>24</w:t>
      </w:r>
      <w:r w:rsidR="00C65703" w:rsidRPr="00E224E9">
        <w:rPr>
          <w:rFonts w:ascii="Book Antiqua" w:hAnsi="Book Antiqua"/>
          <w:color w:val="000000" w:themeColor="text1"/>
          <w:sz w:val="24"/>
        </w:rPr>
        <w:t>號公報</w:t>
      </w:r>
      <w:r w:rsidRPr="00E224E9">
        <w:rPr>
          <w:rFonts w:ascii="Book Antiqua" w:hAnsi="Book Antiqua"/>
          <w:color w:val="000000" w:themeColor="text1"/>
          <w:sz w:val="24"/>
        </w:rPr>
        <w:t>及公司法第</w:t>
      </w:r>
      <w:r w:rsidRPr="00E224E9">
        <w:rPr>
          <w:rFonts w:ascii="Book Antiqua" w:hAnsi="Book Antiqua"/>
          <w:color w:val="000000" w:themeColor="text1"/>
          <w:sz w:val="24"/>
        </w:rPr>
        <w:t>369-1~369-3</w:t>
      </w:r>
      <w:r w:rsidRPr="00E224E9">
        <w:rPr>
          <w:rFonts w:ascii="Book Antiqua" w:hAnsi="Book Antiqua"/>
          <w:color w:val="000000" w:themeColor="text1"/>
          <w:sz w:val="24"/>
        </w:rPr>
        <w:t>條、第</w:t>
      </w:r>
      <w:r w:rsidRPr="00E224E9">
        <w:rPr>
          <w:rFonts w:ascii="Book Antiqua" w:hAnsi="Book Antiqua"/>
          <w:color w:val="000000" w:themeColor="text1"/>
          <w:sz w:val="24"/>
        </w:rPr>
        <w:t>369-9</w:t>
      </w:r>
      <w:r w:rsidRPr="00E224E9">
        <w:rPr>
          <w:rFonts w:ascii="Book Antiqua" w:hAnsi="Book Antiqua"/>
          <w:color w:val="000000" w:themeColor="text1"/>
          <w:sz w:val="24"/>
        </w:rPr>
        <w:t>條、及第</w:t>
      </w:r>
      <w:r w:rsidRPr="00E224E9">
        <w:rPr>
          <w:rFonts w:ascii="Book Antiqua" w:hAnsi="Book Antiqua"/>
          <w:color w:val="000000" w:themeColor="text1"/>
          <w:sz w:val="24"/>
        </w:rPr>
        <w:t>369-11</w:t>
      </w:r>
      <w:r w:rsidRPr="00E224E9">
        <w:rPr>
          <w:rFonts w:ascii="Book Antiqua" w:hAnsi="Book Antiqua"/>
          <w:color w:val="000000" w:themeColor="text1"/>
          <w:sz w:val="24"/>
        </w:rPr>
        <w:t>條及關係企業合併營業報告書關係企業合併財務報表及關係報告書編製準則第六條之規定。</w:t>
      </w:r>
    </w:p>
    <w:p w14:paraId="08A279A1" w14:textId="77777777" w:rsidR="00065C53" w:rsidRPr="00E224E9" w:rsidRDefault="00065C53" w:rsidP="000206A8">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11</w:t>
      </w:r>
      <w:r w:rsidRPr="00E224E9">
        <w:rPr>
          <w:rFonts w:ascii="Book Antiqua" w:hAnsi="Book Antiqua"/>
          <w:color w:val="000000" w:themeColor="text1"/>
          <w:sz w:val="24"/>
        </w:rPr>
        <w:t>欄－持有資產之幣別</w:t>
      </w:r>
    </w:p>
    <w:p w14:paraId="5C20BE53" w14:textId="77777777" w:rsidR="00065C53" w:rsidRPr="00E224E9" w:rsidRDefault="00065C53" w:rsidP="000E3D27">
      <w:pPr>
        <w:tabs>
          <w:tab w:val="left" w:pos="7093"/>
        </w:tabs>
        <w:spacing w:line="440" w:lineRule="exact"/>
        <w:ind w:leftChars="276" w:left="898" w:hangingChars="75" w:hanging="180"/>
        <w:jc w:val="both"/>
        <w:rPr>
          <w:rFonts w:ascii="Book Antiqua" w:hAnsi="Book Antiqua"/>
          <w:color w:val="000000" w:themeColor="text1"/>
          <w:sz w:val="24"/>
        </w:rPr>
      </w:pPr>
      <w:r w:rsidRPr="00E224E9">
        <w:rPr>
          <w:rFonts w:ascii="Book Antiqua" w:hAnsi="Book Antiqua"/>
          <w:color w:val="000000" w:themeColor="text1"/>
          <w:sz w:val="24"/>
        </w:rPr>
        <w:t>本表均含國內外投資。若屬國外投資者，於持有資產幣別請填該幣別代</w:t>
      </w:r>
    </w:p>
    <w:p w14:paraId="6F324FC4" w14:textId="77777777" w:rsidR="00065C53" w:rsidRPr="00E224E9" w:rsidRDefault="00065C53" w:rsidP="000E3D27">
      <w:pPr>
        <w:tabs>
          <w:tab w:val="left" w:pos="7093"/>
        </w:tabs>
        <w:spacing w:line="440" w:lineRule="exact"/>
        <w:ind w:leftChars="276" w:left="898" w:hangingChars="75" w:hanging="180"/>
        <w:jc w:val="both"/>
        <w:rPr>
          <w:rFonts w:ascii="Book Antiqua" w:hAnsi="Book Antiqua"/>
          <w:color w:val="000000" w:themeColor="text1"/>
          <w:sz w:val="24"/>
        </w:rPr>
      </w:pPr>
      <w:r w:rsidRPr="00E224E9">
        <w:rPr>
          <w:rFonts w:ascii="Book Antiqua" w:hAnsi="Book Antiqua"/>
          <w:color w:val="000000" w:themeColor="text1"/>
          <w:sz w:val="24"/>
        </w:rPr>
        <w:t>號，如</w:t>
      </w:r>
      <w:r w:rsidRPr="00E224E9">
        <w:rPr>
          <w:rFonts w:ascii="Book Antiqua" w:hAnsi="Book Antiqua"/>
          <w:color w:val="000000" w:themeColor="text1"/>
          <w:sz w:val="24"/>
        </w:rPr>
        <w:t>USD</w:t>
      </w:r>
      <w:r w:rsidRPr="00E224E9">
        <w:rPr>
          <w:rFonts w:ascii="Book Antiqua" w:hAnsi="Book Antiqua"/>
          <w:color w:val="000000" w:themeColor="text1"/>
          <w:sz w:val="24"/>
        </w:rPr>
        <w:t>；若投資</w:t>
      </w:r>
      <w:r w:rsidR="003E0C1B" w:rsidRPr="00E224E9">
        <w:rPr>
          <w:rFonts w:ascii="Book Antiqua" w:hAnsi="標楷體" w:hint="eastAsia"/>
          <w:color w:val="000000" w:themeColor="text1"/>
          <w:sz w:val="24"/>
        </w:rPr>
        <w:t>新興市場</w:t>
      </w:r>
      <w:r w:rsidRPr="00E224E9">
        <w:rPr>
          <w:rFonts w:ascii="Book Antiqua" w:hAnsi="Book Antiqua"/>
          <w:color w:val="000000" w:themeColor="text1"/>
          <w:sz w:val="24"/>
        </w:rPr>
        <w:t>而按</w:t>
      </w:r>
      <w:r w:rsidR="00BA2EB6" w:rsidRPr="00E224E9">
        <w:rPr>
          <w:rFonts w:ascii="Book Antiqua" w:hAnsi="標楷體" w:hint="eastAsia"/>
          <w:color w:val="000000" w:themeColor="text1"/>
          <w:sz w:val="24"/>
        </w:rPr>
        <w:t>已開發國家</w:t>
      </w:r>
      <w:r w:rsidRPr="00E224E9">
        <w:rPr>
          <w:rFonts w:ascii="Book Antiqua" w:hAnsi="Book Antiqua"/>
          <w:color w:val="000000" w:themeColor="text1"/>
          <w:sz w:val="24"/>
        </w:rPr>
        <w:t>幣別計價者，請將該</w:t>
      </w:r>
    </w:p>
    <w:p w14:paraId="782AF555" w14:textId="77777777" w:rsidR="00065C53" w:rsidRPr="00E224E9" w:rsidRDefault="00065C53" w:rsidP="000E3D27">
      <w:pPr>
        <w:tabs>
          <w:tab w:val="left" w:pos="7093"/>
        </w:tabs>
        <w:spacing w:line="440" w:lineRule="exact"/>
        <w:ind w:leftChars="276" w:left="898" w:hangingChars="75" w:hanging="180"/>
        <w:jc w:val="both"/>
        <w:rPr>
          <w:rFonts w:ascii="Book Antiqua" w:hAnsi="Book Antiqua"/>
          <w:color w:val="000000" w:themeColor="text1"/>
          <w:sz w:val="24"/>
        </w:rPr>
      </w:pPr>
      <w:r w:rsidRPr="00E224E9">
        <w:rPr>
          <w:rFonts w:ascii="Book Antiqua" w:hAnsi="Book Antiqua"/>
          <w:color w:val="000000" w:themeColor="text1"/>
          <w:sz w:val="24"/>
        </w:rPr>
        <w:t>幣別增加一碼如</w:t>
      </w:r>
      <w:r w:rsidRPr="00E224E9">
        <w:rPr>
          <w:rFonts w:ascii="Book Antiqua" w:hAnsi="Book Antiqua"/>
          <w:color w:val="000000" w:themeColor="text1"/>
          <w:sz w:val="24"/>
        </w:rPr>
        <w:t>USD-1</w:t>
      </w:r>
      <w:r w:rsidRPr="00E224E9">
        <w:rPr>
          <w:rFonts w:ascii="Book Antiqua" w:hAnsi="Book Antiqua"/>
          <w:color w:val="000000" w:themeColor="text1"/>
          <w:sz w:val="24"/>
        </w:rPr>
        <w:t>。</w:t>
      </w:r>
    </w:p>
    <w:p w14:paraId="2312A3B5" w14:textId="77777777" w:rsidR="00065C53" w:rsidRPr="00E224E9" w:rsidRDefault="00065C53" w:rsidP="000E3D27">
      <w:pPr>
        <w:tabs>
          <w:tab w:val="left" w:pos="7093"/>
        </w:tabs>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12</w:t>
      </w:r>
      <w:r w:rsidRPr="00E224E9">
        <w:rPr>
          <w:rFonts w:ascii="Book Antiqua" w:hAnsi="Book Antiqua"/>
          <w:color w:val="000000" w:themeColor="text1"/>
          <w:sz w:val="24"/>
        </w:rPr>
        <w:t>欄－取得時投入成本</w:t>
      </w:r>
    </w:p>
    <w:p w14:paraId="1D1F2AE7" w14:textId="77777777" w:rsidR="00065C53" w:rsidRPr="00E224E9" w:rsidRDefault="00065C53" w:rsidP="000E3D27">
      <w:pPr>
        <w:tabs>
          <w:tab w:val="left" w:pos="7093"/>
        </w:tabs>
        <w:spacing w:line="440" w:lineRule="exact"/>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凡使設備資產達可用狀態及地點前，一切合理必要之支出。皆屬成本。所</w:t>
      </w:r>
    </w:p>
    <w:p w14:paraId="4FBD92B8" w14:textId="77777777" w:rsidR="00065C53" w:rsidRPr="00E224E9" w:rsidRDefault="00065C53" w:rsidP="000E3D27">
      <w:pPr>
        <w:tabs>
          <w:tab w:val="left" w:pos="7093"/>
        </w:tabs>
        <w:spacing w:line="440" w:lineRule="exact"/>
        <w:ind w:firstLineChars="300" w:firstLine="720"/>
        <w:jc w:val="both"/>
        <w:rPr>
          <w:rFonts w:ascii="Book Antiqua" w:hAnsi="Book Antiqua"/>
          <w:color w:val="000000" w:themeColor="text1"/>
          <w:sz w:val="24"/>
        </w:rPr>
      </w:pPr>
      <w:r w:rsidRPr="00E224E9">
        <w:rPr>
          <w:rFonts w:ascii="Book Antiqua" w:hAnsi="Book Antiqua"/>
          <w:color w:val="000000" w:themeColor="text1"/>
          <w:sz w:val="24"/>
        </w:rPr>
        <w:t>稱取得時投入成本，亦含修繕不動產之資本支出。</w:t>
      </w:r>
    </w:p>
    <w:p w14:paraId="36B27C87" w14:textId="77777777" w:rsidR="00065C53" w:rsidRPr="00E224E9" w:rsidRDefault="00065C53" w:rsidP="000E3D27">
      <w:pPr>
        <w:tabs>
          <w:tab w:val="left" w:pos="7093"/>
        </w:tabs>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13</w:t>
      </w:r>
      <w:r w:rsidRPr="00E224E9">
        <w:rPr>
          <w:rFonts w:ascii="Book Antiqua" w:hAnsi="Book Antiqua"/>
          <w:color w:val="000000" w:themeColor="text1"/>
          <w:sz w:val="24"/>
        </w:rPr>
        <w:t>欄－重估增值金額</w:t>
      </w:r>
    </w:p>
    <w:p w14:paraId="78601F28" w14:textId="77777777" w:rsidR="00065C53" w:rsidRPr="00E224E9" w:rsidRDefault="00065C53" w:rsidP="000E3D27">
      <w:pPr>
        <w:tabs>
          <w:tab w:val="left" w:pos="7093"/>
        </w:tabs>
        <w:spacing w:line="440" w:lineRule="exact"/>
        <w:ind w:left="720" w:hangingChars="300" w:hanging="72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若不動產對應之種類屬土地者，係依據公告現值辦理重估價；若不動產對應之種類非屬土地者，依據所得稅法第</w:t>
      </w:r>
      <w:r w:rsidRPr="00E224E9">
        <w:rPr>
          <w:rFonts w:ascii="Book Antiqua" w:hAnsi="Book Antiqua"/>
          <w:color w:val="000000" w:themeColor="text1"/>
          <w:sz w:val="24"/>
        </w:rPr>
        <w:t>61</w:t>
      </w:r>
      <w:r w:rsidRPr="00E224E9">
        <w:rPr>
          <w:rFonts w:ascii="Book Antiqua" w:hAnsi="Book Antiqua"/>
          <w:color w:val="000000" w:themeColor="text1"/>
          <w:sz w:val="24"/>
        </w:rPr>
        <w:t>條之規定：凡物價上漲達百分之二十五時，得可申請辦理資產重估價。所稱重估增值金額係指前項辦理重估價後增加之金額。</w:t>
      </w:r>
    </w:p>
    <w:p w14:paraId="1A9832C0"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14</w:t>
      </w:r>
      <w:r w:rsidRPr="00E224E9">
        <w:rPr>
          <w:rFonts w:ascii="Book Antiqua" w:hAnsi="Book Antiqua"/>
          <w:color w:val="000000" w:themeColor="text1"/>
          <w:sz w:val="24"/>
        </w:rPr>
        <w:t>欄－首次採用國際會計準則調整數</w:t>
      </w:r>
    </w:p>
    <w:p w14:paraId="5BDFB4E8" w14:textId="77777777" w:rsidR="000E4BD9" w:rsidRPr="00E224E9" w:rsidRDefault="000E4BD9" w:rsidP="000E3D27">
      <w:pPr>
        <w:tabs>
          <w:tab w:val="left" w:pos="7093"/>
        </w:tabs>
        <w:spacing w:line="440" w:lineRule="exact"/>
        <w:ind w:left="720" w:hangingChars="300" w:hanging="720"/>
        <w:jc w:val="both"/>
        <w:rPr>
          <w:rFonts w:ascii="Book Antiqua" w:hAnsi="標楷體"/>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係指依國際財務報導準則第</w:t>
      </w:r>
      <w:r w:rsidRPr="00E224E9">
        <w:rPr>
          <w:rFonts w:ascii="Book Antiqua" w:hAnsi="Book Antiqua"/>
          <w:color w:val="000000" w:themeColor="text1"/>
          <w:sz w:val="24"/>
        </w:rPr>
        <w:t>1</w:t>
      </w:r>
      <w:r w:rsidRPr="00E224E9">
        <w:rPr>
          <w:rFonts w:ascii="Book Antiqua" w:hAnsi="Book Antiqua"/>
          <w:color w:val="000000" w:themeColor="text1"/>
          <w:sz w:val="24"/>
        </w:rPr>
        <w:t>號公報之規定，於首次採用國際會</w:t>
      </w:r>
      <w:r w:rsidRPr="00E224E9">
        <w:rPr>
          <w:rFonts w:ascii="Book Antiqua" w:hAnsi="Book Antiqua" w:hint="eastAsia"/>
          <w:color w:val="000000" w:themeColor="text1"/>
          <w:sz w:val="24"/>
        </w:rPr>
        <w:t>計準則時得以公允價值值作為認定成本之調整數</w:t>
      </w:r>
      <w:r w:rsidRPr="00E224E9">
        <w:rPr>
          <w:rFonts w:ascii="Book Antiqua" w:hAnsi="標楷體"/>
          <w:color w:val="000000" w:themeColor="text1"/>
          <w:sz w:val="24"/>
        </w:rPr>
        <w:t>。</w:t>
      </w:r>
    </w:p>
    <w:p w14:paraId="302C1B39" w14:textId="77777777" w:rsidR="00F65B5D" w:rsidRPr="00E224E9" w:rsidRDefault="00F65B5D"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Book Antiqua" w:hint="eastAsia"/>
          <w:color w:val="000000" w:themeColor="text1"/>
          <w:sz w:val="24"/>
        </w:rPr>
        <w:t>5</w:t>
      </w:r>
      <w:r w:rsidRPr="00E224E9">
        <w:rPr>
          <w:rFonts w:ascii="Book Antiqua" w:hAnsi="標楷體"/>
          <w:color w:val="000000" w:themeColor="text1"/>
          <w:sz w:val="24"/>
        </w:rPr>
        <w:t>欄－</w:t>
      </w:r>
      <w:r w:rsidR="00560496" w:rsidRPr="00E224E9">
        <w:rPr>
          <w:rFonts w:ascii="Book Antiqua" w:hAnsi="標楷體" w:hint="eastAsia"/>
          <w:color w:val="000000" w:themeColor="text1"/>
          <w:sz w:val="24"/>
        </w:rPr>
        <w:t>後續衡量採用公允價值模式之影響金額</w:t>
      </w:r>
    </w:p>
    <w:p w14:paraId="271D259C" w14:textId="77777777" w:rsidR="00F65B5D" w:rsidRPr="00E224E9"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E224E9">
        <w:rPr>
          <w:rFonts w:ascii="Book Antiqua" w:hAnsi="標楷體" w:hint="eastAsia"/>
          <w:color w:val="000000" w:themeColor="text1"/>
          <w:sz w:val="24"/>
        </w:rPr>
        <w:t>為</w:t>
      </w:r>
      <w:r w:rsidR="006A0336" w:rsidRPr="00E224E9">
        <w:rPr>
          <w:rFonts w:ascii="Book Antiqua" w:hAnsi="標楷體" w:hint="eastAsia"/>
          <w:color w:val="000000" w:themeColor="text1"/>
          <w:sz w:val="24"/>
        </w:rPr>
        <w:t>第</w:t>
      </w:r>
      <w:r w:rsidR="006A0336" w:rsidRPr="00E224E9">
        <w:rPr>
          <w:rFonts w:ascii="Book Antiqua" w:hAnsi="標楷體" w:hint="eastAsia"/>
          <w:color w:val="000000" w:themeColor="text1"/>
          <w:sz w:val="24"/>
        </w:rPr>
        <w:t>16</w:t>
      </w:r>
      <w:r w:rsidR="006A0336" w:rsidRPr="00E224E9">
        <w:rPr>
          <w:rFonts w:ascii="Book Antiqua" w:hAnsi="標楷體" w:hint="eastAsia"/>
          <w:color w:val="000000" w:themeColor="text1"/>
          <w:sz w:val="24"/>
        </w:rPr>
        <w:t>欄－帳面金額</w:t>
      </w:r>
      <w:r w:rsidR="006A0336" w:rsidRPr="00E224E9">
        <w:rPr>
          <w:rFonts w:ascii="Book Antiqua" w:hAnsi="標楷體" w:hint="eastAsia"/>
          <w:color w:val="000000" w:themeColor="text1"/>
          <w:sz w:val="24"/>
        </w:rPr>
        <w:t>-</w:t>
      </w: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12</w:t>
      </w:r>
      <w:r w:rsidRPr="00E224E9">
        <w:rPr>
          <w:rFonts w:ascii="Book Antiqua" w:hAnsi="標楷體" w:hint="eastAsia"/>
          <w:color w:val="000000" w:themeColor="text1"/>
          <w:sz w:val="24"/>
        </w:rPr>
        <w:t>欄－取得時投入成本之金額</w:t>
      </w:r>
      <w:r w:rsidR="006A0336" w:rsidRPr="00E224E9">
        <w:rPr>
          <w:rFonts w:ascii="Book Antiqua" w:hAnsi="標楷體" w:hint="eastAsia"/>
          <w:color w:val="000000" w:themeColor="text1"/>
          <w:sz w:val="24"/>
        </w:rPr>
        <w:t>-</w:t>
      </w: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13</w:t>
      </w:r>
      <w:r w:rsidRPr="00E224E9">
        <w:rPr>
          <w:rFonts w:ascii="Book Antiqua" w:hAnsi="標楷體" w:hint="eastAsia"/>
          <w:color w:val="000000" w:themeColor="text1"/>
          <w:sz w:val="24"/>
        </w:rPr>
        <w:t>欄－重估增值金額</w:t>
      </w:r>
      <w:r w:rsidR="006A0336" w:rsidRPr="00E224E9">
        <w:rPr>
          <w:rFonts w:ascii="Book Antiqua" w:hAnsi="標楷體" w:hint="eastAsia"/>
          <w:color w:val="000000" w:themeColor="text1"/>
          <w:sz w:val="24"/>
        </w:rPr>
        <w:t>-</w:t>
      </w: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14</w:t>
      </w:r>
      <w:r w:rsidRPr="00E224E9">
        <w:rPr>
          <w:rFonts w:ascii="Book Antiqua" w:hAnsi="標楷體" w:hint="eastAsia"/>
          <w:color w:val="000000" w:themeColor="text1"/>
          <w:sz w:val="24"/>
        </w:rPr>
        <w:t>欄－首次採用國際會計準則調整數</w:t>
      </w:r>
      <w:r w:rsidR="006A0336" w:rsidRPr="00E224E9">
        <w:rPr>
          <w:rFonts w:ascii="Book Antiqua" w:hAnsi="標楷體" w:hint="eastAsia"/>
          <w:color w:val="000000" w:themeColor="text1"/>
          <w:sz w:val="24"/>
        </w:rPr>
        <w:t>後</w:t>
      </w:r>
      <w:r w:rsidRPr="00E224E9">
        <w:rPr>
          <w:rFonts w:ascii="Book Antiqua" w:hAnsi="標楷體" w:hint="eastAsia"/>
          <w:color w:val="000000" w:themeColor="text1"/>
          <w:sz w:val="24"/>
        </w:rPr>
        <w:t>之金額</w:t>
      </w:r>
      <w:r w:rsidRPr="00E224E9">
        <w:rPr>
          <w:rFonts w:ascii="Book Antiqua" w:hAnsi="標楷體"/>
          <w:color w:val="000000" w:themeColor="text1"/>
          <w:sz w:val="24"/>
        </w:rPr>
        <w:t>。</w:t>
      </w:r>
    </w:p>
    <w:p w14:paraId="2438AB96" w14:textId="77777777" w:rsidR="00F65B5D" w:rsidRPr="00E224E9" w:rsidRDefault="00F65B5D"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Pr="00E224E9">
        <w:rPr>
          <w:rFonts w:ascii="Book Antiqua" w:hAnsi="Book Antiqua" w:hint="eastAsia"/>
          <w:color w:val="000000" w:themeColor="text1"/>
          <w:sz w:val="24"/>
        </w:rPr>
        <w:t>16</w:t>
      </w:r>
      <w:r w:rsidRPr="00E224E9">
        <w:rPr>
          <w:rFonts w:ascii="Book Antiqua" w:hAnsi="標楷體"/>
          <w:color w:val="000000" w:themeColor="text1"/>
          <w:sz w:val="24"/>
        </w:rPr>
        <w:t>欄－帳面金額</w:t>
      </w:r>
    </w:p>
    <w:p w14:paraId="2D1B7222" w14:textId="77777777" w:rsidR="00F65B5D" w:rsidRPr="00E224E9"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E224E9">
        <w:rPr>
          <w:rFonts w:ascii="Book Antiqua" w:hAnsi="標楷體"/>
          <w:color w:val="000000" w:themeColor="text1"/>
          <w:sz w:val="24"/>
        </w:rPr>
        <w:t>係指保險業總帳及明細分類帳所紀錄之各不動產項目的金額。國外</w:t>
      </w:r>
    </w:p>
    <w:p w14:paraId="10F657A0" w14:textId="77777777" w:rsidR="00F65B5D" w:rsidRPr="00E224E9"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E224E9">
        <w:rPr>
          <w:rFonts w:ascii="Book Antiqua" w:hAnsi="標楷體"/>
          <w:color w:val="000000" w:themeColor="text1"/>
          <w:sz w:val="24"/>
        </w:rPr>
        <w:t>投資以期末匯率換算為新台幣帳面價值。亦為第</w:t>
      </w:r>
      <w:r w:rsidRPr="00E224E9">
        <w:rPr>
          <w:rFonts w:ascii="Book Antiqua" w:hAnsi="Book Antiqua"/>
          <w:color w:val="000000" w:themeColor="text1"/>
          <w:sz w:val="24"/>
        </w:rPr>
        <w:t>12</w:t>
      </w:r>
      <w:r w:rsidRPr="00E224E9">
        <w:rPr>
          <w:rFonts w:ascii="Book Antiqua" w:hAnsi="標楷體"/>
          <w:color w:val="000000" w:themeColor="text1"/>
          <w:sz w:val="24"/>
        </w:rPr>
        <w:t>欄－取得時投入成本</w:t>
      </w:r>
    </w:p>
    <w:p w14:paraId="558C3D5C" w14:textId="77777777" w:rsidR="00F65B5D" w:rsidRPr="00E224E9"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E224E9">
        <w:rPr>
          <w:rFonts w:ascii="Book Antiqua" w:hAnsi="Book Antiqua"/>
          <w:color w:val="000000" w:themeColor="text1"/>
          <w:sz w:val="24"/>
        </w:rPr>
        <w:t>+</w:t>
      </w:r>
      <w:r w:rsidRPr="00E224E9">
        <w:rPr>
          <w:rFonts w:ascii="Book Antiqua" w:hAnsi="標楷體"/>
          <w:color w:val="000000" w:themeColor="text1"/>
          <w:sz w:val="24"/>
        </w:rPr>
        <w:t>第</w:t>
      </w:r>
      <w:r w:rsidRPr="00E224E9">
        <w:rPr>
          <w:rFonts w:ascii="Book Antiqua" w:hAnsi="Book Antiqua"/>
          <w:color w:val="000000" w:themeColor="text1"/>
          <w:sz w:val="24"/>
        </w:rPr>
        <w:t>13</w:t>
      </w:r>
      <w:r w:rsidRPr="00E224E9">
        <w:rPr>
          <w:rFonts w:ascii="Book Antiqua" w:hAnsi="標楷體"/>
          <w:color w:val="000000" w:themeColor="text1"/>
          <w:sz w:val="24"/>
        </w:rPr>
        <w:t>欄－重估增值金額之合計數</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14</w:t>
      </w:r>
      <w:r w:rsidRPr="00E224E9">
        <w:rPr>
          <w:rFonts w:ascii="Book Antiqua" w:hAnsi="標楷體" w:hint="eastAsia"/>
          <w:color w:val="000000" w:themeColor="text1"/>
          <w:sz w:val="24"/>
        </w:rPr>
        <w:t>欄</w:t>
      </w:r>
      <w:r w:rsidRPr="00E224E9">
        <w:rPr>
          <w:rFonts w:ascii="Book Antiqua" w:hAnsi="標楷體"/>
          <w:color w:val="000000" w:themeColor="text1"/>
          <w:sz w:val="24"/>
        </w:rPr>
        <w:t>－</w:t>
      </w:r>
      <w:r w:rsidRPr="00E224E9">
        <w:rPr>
          <w:rFonts w:ascii="Book Antiqua" w:hAnsi="標楷體" w:hint="eastAsia"/>
          <w:color w:val="000000" w:themeColor="text1"/>
          <w:sz w:val="24"/>
        </w:rPr>
        <w:t>首次採用國際會計準則調整數</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15</w:t>
      </w:r>
      <w:r w:rsidRPr="00E224E9">
        <w:rPr>
          <w:rFonts w:ascii="Book Antiqua" w:hAnsi="標楷體" w:hint="eastAsia"/>
          <w:color w:val="000000" w:themeColor="text1"/>
          <w:sz w:val="24"/>
        </w:rPr>
        <w:t>欄－</w:t>
      </w:r>
      <w:r w:rsidR="00560496" w:rsidRPr="00E224E9">
        <w:rPr>
          <w:rFonts w:ascii="Book Antiqua" w:hAnsi="標楷體" w:hint="eastAsia"/>
          <w:color w:val="000000" w:themeColor="text1"/>
          <w:sz w:val="24"/>
        </w:rPr>
        <w:t>後續衡量採用公允價值模式之影響金額</w:t>
      </w:r>
      <w:r w:rsidRPr="00E224E9">
        <w:rPr>
          <w:rFonts w:ascii="Book Antiqua" w:hAnsi="標楷體"/>
          <w:color w:val="000000" w:themeColor="text1"/>
          <w:sz w:val="24"/>
        </w:rPr>
        <w:t>。</w:t>
      </w:r>
    </w:p>
    <w:p w14:paraId="001AE105"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17</w:t>
      </w:r>
      <w:r w:rsidRPr="00E224E9">
        <w:rPr>
          <w:rFonts w:ascii="Book Antiqua" w:hAnsi="標楷體"/>
          <w:color w:val="000000" w:themeColor="text1"/>
          <w:sz w:val="24"/>
        </w:rPr>
        <w:t>欄－</w:t>
      </w:r>
      <w:r w:rsidR="000750E8" w:rsidRPr="00E224E9">
        <w:rPr>
          <w:rFonts w:ascii="Book Antiqua" w:hAnsi="標楷體" w:hint="eastAsia"/>
          <w:color w:val="000000" w:themeColor="text1"/>
          <w:sz w:val="24"/>
        </w:rPr>
        <w:t>後續衡量未採用公允價值模式</w:t>
      </w:r>
    </w:p>
    <w:p w14:paraId="22373431" w14:textId="77777777" w:rsidR="000E4BD9" w:rsidRPr="00E224E9" w:rsidRDefault="000E4BD9" w:rsidP="000E3D27">
      <w:pPr>
        <w:tabs>
          <w:tab w:val="left" w:pos="7093"/>
        </w:tabs>
        <w:spacing w:line="440" w:lineRule="exact"/>
        <w:ind w:left="720" w:hangingChars="300" w:hanging="720"/>
        <w:jc w:val="both"/>
        <w:rPr>
          <w:rFonts w:ascii="Book Antiqua" w:hAnsi="標楷體"/>
          <w:color w:val="000000" w:themeColor="text1"/>
          <w:sz w:val="24"/>
        </w:rPr>
      </w:pPr>
      <w:r w:rsidRPr="00E224E9">
        <w:rPr>
          <w:rFonts w:ascii="Book Antiqua" w:hAnsi="Book Antiqua"/>
          <w:color w:val="000000" w:themeColor="text1"/>
          <w:sz w:val="24"/>
        </w:rPr>
        <w:t xml:space="preserve">      </w:t>
      </w:r>
      <w:r w:rsidR="00855AA5" w:rsidRPr="00E224E9">
        <w:rPr>
          <w:rFonts w:ascii="Book Antiqua" w:hAnsi="標楷體"/>
          <w:color w:val="000000" w:themeColor="text1"/>
          <w:sz w:val="24"/>
        </w:rPr>
        <w:t>所稱抵減項目於房屋部分指累計折舊</w:t>
      </w:r>
      <w:r w:rsidR="00855AA5" w:rsidRPr="00E224E9">
        <w:rPr>
          <w:rFonts w:ascii="Book Antiqua" w:hAnsi="標楷體" w:hint="eastAsia"/>
          <w:color w:val="000000" w:themeColor="text1"/>
          <w:sz w:val="24"/>
        </w:rPr>
        <w:t>、</w:t>
      </w:r>
      <w:r w:rsidRPr="00E224E9">
        <w:rPr>
          <w:rFonts w:ascii="Book Antiqua" w:hAnsi="標楷體"/>
          <w:color w:val="000000" w:themeColor="text1"/>
          <w:sz w:val="24"/>
        </w:rPr>
        <w:t>累計減損</w:t>
      </w:r>
      <w:r w:rsidR="00855AA5" w:rsidRPr="00E224E9">
        <w:rPr>
          <w:rFonts w:ascii="Book Antiqua" w:hAnsi="標楷體" w:hint="eastAsia"/>
          <w:color w:val="000000" w:themeColor="text1"/>
          <w:sz w:val="24"/>
        </w:rPr>
        <w:t>及建物增值稅</w:t>
      </w:r>
      <w:r w:rsidRPr="00E224E9">
        <w:rPr>
          <w:rFonts w:ascii="Book Antiqua" w:hAnsi="標楷體"/>
          <w:color w:val="000000" w:themeColor="text1"/>
          <w:sz w:val="24"/>
        </w:rPr>
        <w:t>；土地部分指土地增值稅準備及累計減損。</w:t>
      </w:r>
    </w:p>
    <w:p w14:paraId="3AD9F832" w14:textId="77777777" w:rsidR="006C7267" w:rsidRPr="00E224E9" w:rsidRDefault="006C7267"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18</w:t>
      </w:r>
      <w:r w:rsidRPr="00E224E9">
        <w:rPr>
          <w:rFonts w:ascii="Book Antiqua" w:hAnsi="標楷體"/>
          <w:color w:val="000000" w:themeColor="text1"/>
          <w:sz w:val="24"/>
        </w:rPr>
        <w:t>欄－</w:t>
      </w:r>
      <w:r w:rsidRPr="00E224E9">
        <w:rPr>
          <w:rFonts w:ascii="Book Antiqua" w:hAnsi="標楷體" w:hint="eastAsia"/>
          <w:color w:val="000000" w:themeColor="text1"/>
          <w:sz w:val="24"/>
        </w:rPr>
        <w:t>後續衡量採用公允價值模式之差異數</w:t>
      </w:r>
    </w:p>
    <w:p w14:paraId="57136776" w14:textId="77777777" w:rsidR="006C7267" w:rsidRPr="00E224E9" w:rsidRDefault="006C7267" w:rsidP="000E3D27">
      <w:pPr>
        <w:tabs>
          <w:tab w:val="left" w:pos="7093"/>
        </w:tabs>
        <w:spacing w:line="440" w:lineRule="exact"/>
        <w:ind w:left="720" w:hangingChars="300" w:hanging="72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hint="eastAsia"/>
          <w:color w:val="000000" w:themeColor="text1"/>
          <w:sz w:val="24"/>
        </w:rPr>
        <w:t>係指投資性不動產後續衡量採用公允價值模式者，其與在採用成本模式下抵減項目之差異數</w:t>
      </w:r>
      <w:r w:rsidRPr="00E224E9">
        <w:rPr>
          <w:rFonts w:ascii="Book Antiqua" w:hAnsi="Book Antiqua"/>
          <w:color w:val="000000" w:themeColor="text1"/>
          <w:sz w:val="24"/>
        </w:rPr>
        <w:t>。</w:t>
      </w:r>
    </w:p>
    <w:p w14:paraId="1E74F6C8"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1</w:t>
      </w:r>
      <w:r w:rsidR="006C7267" w:rsidRPr="00E224E9">
        <w:rPr>
          <w:rFonts w:ascii="Book Antiqua" w:hAnsi="Book Antiqua" w:hint="eastAsia"/>
          <w:color w:val="000000" w:themeColor="text1"/>
          <w:sz w:val="24"/>
        </w:rPr>
        <w:t>9</w:t>
      </w:r>
      <w:r w:rsidRPr="00E224E9">
        <w:rPr>
          <w:rFonts w:ascii="Book Antiqua" w:hAnsi="標楷體"/>
          <w:color w:val="000000" w:themeColor="text1"/>
          <w:sz w:val="24"/>
        </w:rPr>
        <w:t>欄－帳面淨額</w:t>
      </w:r>
    </w:p>
    <w:p w14:paraId="082C1321" w14:textId="77777777" w:rsidR="000E4BD9" w:rsidRPr="00E224E9" w:rsidRDefault="000E4BD9" w:rsidP="000E3D27">
      <w:pPr>
        <w:tabs>
          <w:tab w:val="left" w:pos="7093"/>
        </w:tabs>
        <w:spacing w:line="440" w:lineRule="exact"/>
        <w:ind w:leftChars="292" w:left="999" w:hangingChars="100" w:hanging="240"/>
        <w:jc w:val="both"/>
        <w:rPr>
          <w:rFonts w:ascii="Book Antiqua" w:hAnsi="標楷體"/>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1</w:t>
      </w:r>
      <w:r w:rsidR="00716EF1" w:rsidRPr="00E224E9">
        <w:rPr>
          <w:rFonts w:ascii="Book Antiqua" w:hAnsi="Book Antiqua" w:hint="eastAsia"/>
          <w:color w:val="000000" w:themeColor="text1"/>
          <w:sz w:val="24"/>
        </w:rPr>
        <w:t>6</w:t>
      </w:r>
      <w:r w:rsidRPr="00E224E9">
        <w:rPr>
          <w:rFonts w:ascii="Book Antiqua" w:hAnsi="標楷體"/>
          <w:color w:val="000000" w:themeColor="text1"/>
          <w:sz w:val="24"/>
        </w:rPr>
        <w:t>欄－帳面金額減除第</w:t>
      </w:r>
      <w:r w:rsidRPr="00E224E9">
        <w:rPr>
          <w:rFonts w:ascii="Book Antiqua" w:hAnsi="Book Antiqua"/>
          <w:color w:val="000000" w:themeColor="text1"/>
          <w:sz w:val="24"/>
        </w:rPr>
        <w:t>1</w:t>
      </w:r>
      <w:r w:rsidR="00716EF1" w:rsidRPr="00E224E9">
        <w:rPr>
          <w:rFonts w:ascii="Book Antiqua" w:hAnsi="Book Antiqua" w:hint="eastAsia"/>
          <w:color w:val="000000" w:themeColor="text1"/>
          <w:sz w:val="24"/>
        </w:rPr>
        <w:t>7</w:t>
      </w:r>
      <w:r w:rsidRPr="00E224E9">
        <w:rPr>
          <w:rFonts w:ascii="Book Antiqua" w:hAnsi="標楷體"/>
          <w:color w:val="000000" w:themeColor="text1"/>
          <w:sz w:val="24"/>
        </w:rPr>
        <w:t>欄</w:t>
      </w:r>
      <w:r w:rsidR="006C7267" w:rsidRPr="00E224E9">
        <w:rPr>
          <w:rFonts w:ascii="Book Antiqua" w:hAnsi="標楷體" w:hint="eastAsia"/>
          <w:color w:val="000000" w:themeColor="text1"/>
          <w:sz w:val="24"/>
        </w:rPr>
        <w:t>及第</w:t>
      </w:r>
      <w:r w:rsidR="006C7267" w:rsidRPr="00E224E9">
        <w:rPr>
          <w:rFonts w:ascii="Book Antiqua" w:hAnsi="標楷體" w:hint="eastAsia"/>
          <w:color w:val="000000" w:themeColor="text1"/>
          <w:sz w:val="24"/>
        </w:rPr>
        <w:t>18</w:t>
      </w:r>
      <w:r w:rsidR="006C7267" w:rsidRPr="00E224E9">
        <w:rPr>
          <w:rFonts w:ascii="Book Antiqua" w:hAnsi="標楷體" w:hint="eastAsia"/>
          <w:color w:val="000000" w:themeColor="text1"/>
          <w:sz w:val="24"/>
        </w:rPr>
        <w:t>欄</w:t>
      </w:r>
      <w:r w:rsidRPr="00E224E9">
        <w:rPr>
          <w:rFonts w:ascii="Book Antiqua" w:hAnsi="標楷體"/>
          <w:color w:val="000000" w:themeColor="text1"/>
          <w:sz w:val="24"/>
        </w:rPr>
        <w:t>－抵減項目之合計數。</w:t>
      </w:r>
    </w:p>
    <w:p w14:paraId="1DE67C82" w14:textId="77777777" w:rsidR="006C7267" w:rsidRPr="00E224E9" w:rsidRDefault="006C7267"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96C69" w:rsidRPr="00E224E9">
        <w:rPr>
          <w:rFonts w:ascii="Book Antiqua" w:hAnsi="Book Antiqua" w:hint="eastAsia"/>
          <w:color w:val="000000" w:themeColor="text1"/>
          <w:sz w:val="24"/>
        </w:rPr>
        <w:t>20</w:t>
      </w:r>
      <w:r w:rsidRPr="00E224E9">
        <w:rPr>
          <w:rFonts w:ascii="Book Antiqua" w:hAnsi="標楷體"/>
          <w:color w:val="000000" w:themeColor="text1"/>
          <w:sz w:val="24"/>
        </w:rPr>
        <w:t>欄－</w:t>
      </w:r>
      <w:r w:rsidR="00696C69" w:rsidRPr="00E224E9">
        <w:rPr>
          <w:rFonts w:ascii="Book Antiqua" w:hAnsi="標楷體" w:hint="eastAsia"/>
          <w:color w:val="000000" w:themeColor="text1"/>
          <w:sz w:val="24"/>
        </w:rPr>
        <w:t>後續衡量採用公允價值模式之影響淨額</w:t>
      </w:r>
    </w:p>
    <w:p w14:paraId="2E433E73" w14:textId="77777777" w:rsidR="00696C69" w:rsidRPr="00E224E9" w:rsidRDefault="006C7267" w:rsidP="000E3D27">
      <w:pPr>
        <w:tabs>
          <w:tab w:val="left" w:pos="7093"/>
        </w:tabs>
        <w:spacing w:line="440" w:lineRule="exact"/>
        <w:ind w:left="720" w:hangingChars="300" w:hanging="720"/>
        <w:jc w:val="both"/>
        <w:rPr>
          <w:rFonts w:ascii="Book Antiqua" w:hAnsi="Book Antiqua"/>
          <w:color w:val="000000" w:themeColor="text1"/>
          <w:sz w:val="24"/>
        </w:rPr>
      </w:pPr>
      <w:r w:rsidRPr="00E224E9">
        <w:rPr>
          <w:rFonts w:ascii="Book Antiqua" w:hAnsi="Book Antiqua"/>
          <w:color w:val="000000" w:themeColor="text1"/>
          <w:sz w:val="24"/>
        </w:rPr>
        <w:t xml:space="preserve">      </w:t>
      </w:r>
      <w:r w:rsidR="00696C69" w:rsidRPr="00E224E9">
        <w:rPr>
          <w:rFonts w:ascii="Book Antiqua" w:hAnsi="Book Antiqua"/>
          <w:color w:val="000000" w:themeColor="text1"/>
          <w:sz w:val="24"/>
        </w:rPr>
        <w:t>為第</w:t>
      </w:r>
      <w:r w:rsidR="00696C69" w:rsidRPr="00E224E9">
        <w:rPr>
          <w:rFonts w:ascii="Book Antiqua" w:hAnsi="Book Antiqua"/>
          <w:color w:val="000000" w:themeColor="text1"/>
          <w:sz w:val="24"/>
        </w:rPr>
        <w:t>1</w:t>
      </w:r>
      <w:r w:rsidR="00696C69" w:rsidRPr="00E224E9">
        <w:rPr>
          <w:rFonts w:ascii="Book Antiqua" w:hAnsi="Book Antiqua" w:hint="eastAsia"/>
          <w:color w:val="000000" w:themeColor="text1"/>
          <w:sz w:val="24"/>
        </w:rPr>
        <w:t>5</w:t>
      </w:r>
      <w:r w:rsidR="00696C69" w:rsidRPr="00E224E9">
        <w:rPr>
          <w:rFonts w:ascii="Book Antiqua" w:hAnsi="Book Antiqua"/>
          <w:color w:val="000000" w:themeColor="text1"/>
          <w:sz w:val="24"/>
        </w:rPr>
        <w:t>欄－</w:t>
      </w:r>
      <w:r w:rsidR="00696C69" w:rsidRPr="00E224E9">
        <w:rPr>
          <w:rFonts w:ascii="Book Antiqua" w:hAnsi="Book Antiqua" w:hint="eastAsia"/>
          <w:color w:val="000000" w:themeColor="text1"/>
          <w:sz w:val="24"/>
        </w:rPr>
        <w:t>後續衡量採用公允價值模式之影響金額</w:t>
      </w:r>
      <w:r w:rsidR="00696C69" w:rsidRPr="00E224E9">
        <w:rPr>
          <w:rFonts w:ascii="Book Antiqua" w:hAnsi="Book Antiqua"/>
          <w:color w:val="000000" w:themeColor="text1"/>
          <w:sz w:val="24"/>
        </w:rPr>
        <w:t>減除</w:t>
      </w:r>
      <w:r w:rsidR="00696C69" w:rsidRPr="00E224E9">
        <w:rPr>
          <w:rFonts w:ascii="Book Antiqua" w:hAnsi="Book Antiqua" w:hint="eastAsia"/>
          <w:color w:val="000000" w:themeColor="text1"/>
          <w:sz w:val="24"/>
        </w:rPr>
        <w:t>及第</w:t>
      </w:r>
      <w:r w:rsidR="00696C69" w:rsidRPr="00E224E9">
        <w:rPr>
          <w:rFonts w:ascii="Book Antiqua" w:hAnsi="Book Antiqua" w:hint="eastAsia"/>
          <w:color w:val="000000" w:themeColor="text1"/>
          <w:sz w:val="24"/>
        </w:rPr>
        <w:t>18</w:t>
      </w:r>
      <w:r w:rsidR="00696C69" w:rsidRPr="00E224E9">
        <w:rPr>
          <w:rFonts w:ascii="Book Antiqua" w:hAnsi="Book Antiqua" w:hint="eastAsia"/>
          <w:color w:val="000000" w:themeColor="text1"/>
          <w:sz w:val="24"/>
        </w:rPr>
        <w:t>欄</w:t>
      </w:r>
      <w:r w:rsidR="00696C69" w:rsidRPr="00E224E9">
        <w:rPr>
          <w:rFonts w:ascii="Book Antiqua" w:hAnsi="Book Antiqua"/>
          <w:color w:val="000000" w:themeColor="text1"/>
          <w:sz w:val="24"/>
        </w:rPr>
        <w:t>－</w:t>
      </w:r>
      <w:r w:rsidR="00696C69" w:rsidRPr="00E224E9">
        <w:rPr>
          <w:rFonts w:ascii="Book Antiqua" w:hAnsi="Book Antiqua" w:hint="eastAsia"/>
          <w:color w:val="000000" w:themeColor="text1"/>
          <w:sz w:val="24"/>
        </w:rPr>
        <w:t>後續衡量採用公允價值模式之差異數</w:t>
      </w:r>
      <w:r w:rsidR="00696C69" w:rsidRPr="00E224E9">
        <w:rPr>
          <w:rFonts w:ascii="Book Antiqua" w:hAnsi="Book Antiqua"/>
          <w:color w:val="000000" w:themeColor="text1"/>
          <w:sz w:val="24"/>
        </w:rPr>
        <w:t>之合計數。</w:t>
      </w:r>
    </w:p>
    <w:p w14:paraId="64BF9698" w14:textId="77777777" w:rsidR="006C7267" w:rsidRPr="00E224E9" w:rsidRDefault="006C7267"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96C69" w:rsidRPr="00E224E9">
        <w:rPr>
          <w:rFonts w:ascii="Book Antiqua" w:hAnsi="Book Antiqua" w:hint="eastAsia"/>
          <w:color w:val="000000" w:themeColor="text1"/>
          <w:sz w:val="24"/>
        </w:rPr>
        <w:t>21</w:t>
      </w:r>
      <w:r w:rsidRPr="00E224E9">
        <w:rPr>
          <w:rFonts w:ascii="Book Antiqua" w:hAnsi="標楷體"/>
          <w:color w:val="000000" w:themeColor="text1"/>
          <w:sz w:val="24"/>
        </w:rPr>
        <w:t>欄－</w:t>
      </w:r>
      <w:r w:rsidR="00696C69" w:rsidRPr="00E224E9">
        <w:rPr>
          <w:rFonts w:ascii="Book Antiqua" w:hAnsi="標楷體" w:hint="eastAsia"/>
          <w:color w:val="000000" w:themeColor="text1"/>
          <w:sz w:val="24"/>
        </w:rPr>
        <w:t>後續衡量未採用公允價值模式之帳面淨額</w:t>
      </w:r>
    </w:p>
    <w:p w14:paraId="250136BD" w14:textId="77777777" w:rsidR="006C7267" w:rsidRPr="00E224E9" w:rsidRDefault="006C7267" w:rsidP="000E3D27">
      <w:pPr>
        <w:tabs>
          <w:tab w:val="left" w:pos="7093"/>
        </w:tabs>
        <w:spacing w:line="440" w:lineRule="exact"/>
        <w:ind w:left="720" w:hangingChars="300" w:hanging="720"/>
        <w:jc w:val="both"/>
        <w:rPr>
          <w:rFonts w:ascii="Book Antiqua" w:hAnsi="Book Antiqua"/>
          <w:color w:val="000000" w:themeColor="text1"/>
          <w:sz w:val="24"/>
        </w:rPr>
      </w:pPr>
      <w:r w:rsidRPr="00E224E9">
        <w:rPr>
          <w:rFonts w:ascii="Book Antiqua" w:hAnsi="Book Antiqua"/>
          <w:color w:val="000000" w:themeColor="text1"/>
          <w:sz w:val="24"/>
        </w:rPr>
        <w:t xml:space="preserve">      </w:t>
      </w:r>
      <w:r w:rsidR="00696C69" w:rsidRPr="00E224E9">
        <w:rPr>
          <w:rFonts w:ascii="Book Antiqua" w:hAnsi="Book Antiqua"/>
          <w:color w:val="000000" w:themeColor="text1"/>
          <w:sz w:val="24"/>
        </w:rPr>
        <w:t>為第</w:t>
      </w:r>
      <w:r w:rsidR="00696C69" w:rsidRPr="00E224E9">
        <w:rPr>
          <w:rFonts w:ascii="Book Antiqua" w:hAnsi="Book Antiqua"/>
          <w:color w:val="000000" w:themeColor="text1"/>
          <w:sz w:val="24"/>
        </w:rPr>
        <w:t>1</w:t>
      </w:r>
      <w:r w:rsidR="00696C69" w:rsidRPr="00E224E9">
        <w:rPr>
          <w:rFonts w:ascii="Book Antiqua" w:hAnsi="Book Antiqua" w:hint="eastAsia"/>
          <w:color w:val="000000" w:themeColor="text1"/>
          <w:sz w:val="24"/>
        </w:rPr>
        <w:t>9</w:t>
      </w:r>
      <w:r w:rsidR="00696C69" w:rsidRPr="00E224E9">
        <w:rPr>
          <w:rFonts w:ascii="Book Antiqua" w:hAnsi="Book Antiqua"/>
          <w:color w:val="000000" w:themeColor="text1"/>
          <w:sz w:val="24"/>
        </w:rPr>
        <w:t>欄－</w:t>
      </w:r>
      <w:r w:rsidR="00696C69" w:rsidRPr="00E224E9">
        <w:rPr>
          <w:rFonts w:ascii="Book Antiqua" w:hAnsi="標楷體"/>
          <w:color w:val="000000" w:themeColor="text1"/>
          <w:sz w:val="24"/>
        </w:rPr>
        <w:t>帳面淨額</w:t>
      </w:r>
      <w:r w:rsidR="00696C69" w:rsidRPr="00E224E9">
        <w:rPr>
          <w:rFonts w:ascii="Book Antiqua" w:hAnsi="Book Antiqua"/>
          <w:color w:val="000000" w:themeColor="text1"/>
          <w:sz w:val="24"/>
        </w:rPr>
        <w:t>減除</w:t>
      </w:r>
      <w:r w:rsidR="00696C69" w:rsidRPr="00E224E9">
        <w:rPr>
          <w:rFonts w:ascii="Book Antiqua" w:hAnsi="Book Antiqua" w:hint="eastAsia"/>
          <w:color w:val="000000" w:themeColor="text1"/>
          <w:sz w:val="24"/>
        </w:rPr>
        <w:t>及第</w:t>
      </w:r>
      <w:r w:rsidR="00696C69" w:rsidRPr="00E224E9">
        <w:rPr>
          <w:rFonts w:ascii="Book Antiqua" w:hAnsi="Book Antiqua" w:hint="eastAsia"/>
          <w:color w:val="000000" w:themeColor="text1"/>
          <w:sz w:val="24"/>
        </w:rPr>
        <w:t>20</w:t>
      </w:r>
      <w:r w:rsidR="00696C69" w:rsidRPr="00E224E9">
        <w:rPr>
          <w:rFonts w:ascii="Book Antiqua" w:hAnsi="Book Antiqua" w:hint="eastAsia"/>
          <w:color w:val="000000" w:themeColor="text1"/>
          <w:sz w:val="24"/>
        </w:rPr>
        <w:t>欄</w:t>
      </w:r>
      <w:r w:rsidR="00696C69" w:rsidRPr="00E224E9">
        <w:rPr>
          <w:rFonts w:ascii="Book Antiqua" w:hAnsi="Book Antiqua"/>
          <w:color w:val="000000" w:themeColor="text1"/>
          <w:sz w:val="24"/>
        </w:rPr>
        <w:t>－</w:t>
      </w:r>
      <w:r w:rsidR="00696C69" w:rsidRPr="00E224E9">
        <w:rPr>
          <w:rFonts w:ascii="Book Antiqua" w:hAnsi="標楷體" w:hint="eastAsia"/>
          <w:color w:val="000000" w:themeColor="text1"/>
          <w:sz w:val="24"/>
        </w:rPr>
        <w:t>後續衡量採用公允價值模式之影響淨額</w:t>
      </w:r>
      <w:r w:rsidR="00696C69" w:rsidRPr="00E224E9">
        <w:rPr>
          <w:rFonts w:ascii="Book Antiqua" w:hAnsi="Book Antiqua"/>
          <w:color w:val="000000" w:themeColor="text1"/>
          <w:sz w:val="24"/>
        </w:rPr>
        <w:t>之合計數。</w:t>
      </w:r>
    </w:p>
    <w:p w14:paraId="3A9DAB41" w14:textId="77777777" w:rsidR="000E4BD9" w:rsidRPr="00E224E9" w:rsidRDefault="000E4BD9" w:rsidP="000E3D27">
      <w:pPr>
        <w:tabs>
          <w:tab w:val="left" w:pos="7093"/>
        </w:tabs>
        <w:spacing w:line="440" w:lineRule="exact"/>
        <w:ind w:firstLineChars="100" w:firstLine="240"/>
        <w:jc w:val="both"/>
        <w:rPr>
          <w:rFonts w:ascii="Book Antiqua" w:hAnsi="Book Antiqua"/>
          <w:b/>
          <w:bCs/>
          <w:color w:val="000000" w:themeColor="text1"/>
          <w:sz w:val="24"/>
        </w:rPr>
      </w:pPr>
      <w:r w:rsidRPr="00E224E9">
        <w:rPr>
          <w:rFonts w:ascii="Book Antiqua" w:hAnsi="標楷體"/>
          <w:b/>
          <w:bCs/>
          <w:color w:val="000000" w:themeColor="text1"/>
          <w:sz w:val="24"/>
        </w:rPr>
        <w:t>取得時鑑價公司</w:t>
      </w:r>
    </w:p>
    <w:p w14:paraId="4DBFB81A" w14:textId="77777777" w:rsidR="000E4BD9" w:rsidRPr="00E224E9" w:rsidRDefault="000E4BD9" w:rsidP="000E3D27">
      <w:pPr>
        <w:tabs>
          <w:tab w:val="left" w:pos="7093"/>
        </w:tabs>
        <w:spacing w:line="440" w:lineRule="exact"/>
        <w:ind w:firstLineChars="100" w:firstLine="240"/>
        <w:jc w:val="both"/>
        <w:rPr>
          <w:rFonts w:ascii="Book Antiqua" w:hAnsi="Book Antiqua"/>
          <w:color w:val="000000" w:themeColor="text1"/>
          <w:sz w:val="24"/>
        </w:rPr>
      </w:pPr>
      <w:r w:rsidRPr="00E224E9">
        <w:rPr>
          <w:rFonts w:ascii="Book Antiqua" w:hAnsi="標楷體"/>
          <w:color w:val="000000" w:themeColor="text1"/>
          <w:sz w:val="24"/>
        </w:rPr>
        <w:t>鑑價公司係指九十年以後取得</w:t>
      </w:r>
      <w:r w:rsidRPr="00E224E9">
        <w:rPr>
          <w:rFonts w:ascii="Book Antiqua" w:hAnsi="Book Antiqua"/>
          <w:color w:val="000000" w:themeColor="text1"/>
          <w:sz w:val="24"/>
        </w:rPr>
        <w:t>(</w:t>
      </w:r>
      <w:r w:rsidRPr="00E224E9">
        <w:rPr>
          <w:rFonts w:ascii="Book Antiqua" w:hAnsi="標楷體"/>
          <w:color w:val="000000" w:themeColor="text1"/>
          <w:sz w:val="24"/>
        </w:rPr>
        <w:t>買賣交易</w:t>
      </w:r>
      <w:r w:rsidRPr="00E224E9">
        <w:rPr>
          <w:rFonts w:ascii="Book Antiqua" w:hAnsi="Book Antiqua"/>
          <w:color w:val="000000" w:themeColor="text1"/>
          <w:sz w:val="24"/>
        </w:rPr>
        <w:t>)</w:t>
      </w:r>
      <w:r w:rsidRPr="00E224E9">
        <w:rPr>
          <w:rFonts w:ascii="Book Antiqua" w:hAnsi="標楷體"/>
          <w:color w:val="000000" w:themeColor="text1"/>
          <w:sz w:val="24"/>
        </w:rPr>
        <w:t>不動產時之鑑價公司。</w:t>
      </w:r>
    </w:p>
    <w:p w14:paraId="4F068EF7"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F7828" w:rsidRPr="00E224E9">
        <w:rPr>
          <w:rFonts w:ascii="Book Antiqua" w:hAnsi="Book Antiqua" w:hint="eastAsia"/>
          <w:color w:val="000000" w:themeColor="text1"/>
          <w:sz w:val="24"/>
        </w:rPr>
        <w:t>22</w:t>
      </w:r>
      <w:r w:rsidRPr="00E224E9">
        <w:rPr>
          <w:rFonts w:ascii="Book Antiqua" w:hAnsi="標楷體"/>
          <w:color w:val="000000" w:themeColor="text1"/>
          <w:sz w:val="24"/>
        </w:rPr>
        <w:t>欄－代號</w:t>
      </w:r>
    </w:p>
    <w:p w14:paraId="49A78B8C" w14:textId="77777777" w:rsidR="000E4BD9" w:rsidRPr="00E224E9" w:rsidRDefault="000E4BD9" w:rsidP="000E3D27">
      <w:pPr>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係指相對應之身分代號。請填列統一編號。</w:t>
      </w:r>
    </w:p>
    <w:p w14:paraId="3BA15054"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F7828" w:rsidRPr="00E224E9">
        <w:rPr>
          <w:rFonts w:ascii="Book Antiqua" w:hAnsi="Book Antiqua" w:hint="eastAsia"/>
          <w:color w:val="000000" w:themeColor="text1"/>
          <w:sz w:val="24"/>
        </w:rPr>
        <w:t>23</w:t>
      </w:r>
      <w:r w:rsidRPr="00E224E9">
        <w:rPr>
          <w:rFonts w:ascii="Book Antiqua" w:hAnsi="標楷體"/>
          <w:color w:val="000000" w:themeColor="text1"/>
          <w:sz w:val="24"/>
        </w:rPr>
        <w:t>欄－名稱</w:t>
      </w:r>
    </w:p>
    <w:p w14:paraId="36937185" w14:textId="77777777" w:rsidR="000E4BD9" w:rsidRPr="00E224E9" w:rsidRDefault="000E4BD9" w:rsidP="000E3D27">
      <w:pPr>
        <w:tabs>
          <w:tab w:val="left" w:pos="7093"/>
        </w:tabs>
        <w:spacing w:line="440" w:lineRule="exact"/>
        <w:ind w:leftChars="300" w:left="960" w:hangingChars="75" w:hanging="180"/>
        <w:jc w:val="both"/>
        <w:rPr>
          <w:rFonts w:ascii="Book Antiqua" w:hAnsi="Book Antiqua"/>
          <w:color w:val="000000" w:themeColor="text1"/>
          <w:sz w:val="24"/>
        </w:rPr>
      </w:pPr>
      <w:r w:rsidRPr="00E224E9">
        <w:rPr>
          <w:rFonts w:ascii="Book Antiqua" w:hAnsi="標楷體"/>
          <w:color w:val="000000" w:themeColor="text1"/>
          <w:sz w:val="24"/>
        </w:rPr>
        <w:t>係指相對應之名稱。請填列全名。</w:t>
      </w:r>
    </w:p>
    <w:p w14:paraId="5176CE56"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2</w:t>
      </w:r>
      <w:r w:rsidR="00AF7828" w:rsidRPr="00E224E9">
        <w:rPr>
          <w:rFonts w:ascii="Book Antiqua" w:hAnsi="Book Antiqua" w:hint="eastAsia"/>
          <w:color w:val="000000" w:themeColor="text1"/>
          <w:sz w:val="24"/>
        </w:rPr>
        <w:t>4</w:t>
      </w:r>
      <w:r w:rsidRPr="00E224E9">
        <w:rPr>
          <w:rFonts w:ascii="Book Antiqua" w:hAnsi="標楷體"/>
          <w:color w:val="000000" w:themeColor="text1"/>
          <w:sz w:val="24"/>
        </w:rPr>
        <w:t>欄－鑑價價格</w:t>
      </w:r>
    </w:p>
    <w:p w14:paraId="55D69CF9" w14:textId="77777777" w:rsidR="000E4BD9" w:rsidRPr="00E224E9" w:rsidRDefault="000E4BD9" w:rsidP="000E3D27">
      <w:pPr>
        <w:tabs>
          <w:tab w:val="left" w:pos="7093"/>
        </w:tabs>
        <w:spacing w:line="440" w:lineRule="exact"/>
        <w:jc w:val="both"/>
        <w:rPr>
          <w:rFonts w:ascii="Book Antiqua" w:hAnsi="標楷體"/>
          <w:color w:val="000000" w:themeColor="text1"/>
          <w:sz w:val="24"/>
        </w:rPr>
      </w:pPr>
      <w:r w:rsidRPr="00E224E9">
        <w:rPr>
          <w:rFonts w:ascii="Book Antiqua" w:hAnsi="Book Antiqua"/>
          <w:color w:val="000000" w:themeColor="text1"/>
          <w:sz w:val="24"/>
        </w:rPr>
        <w:t xml:space="preserve">       </w:t>
      </w:r>
      <w:r w:rsidRPr="00E224E9">
        <w:rPr>
          <w:rFonts w:ascii="Book Antiqua" w:hAnsi="標楷體"/>
          <w:color w:val="000000" w:themeColor="text1"/>
          <w:sz w:val="24"/>
        </w:rPr>
        <w:t>係指經專業人士鑑定後之價格。</w:t>
      </w:r>
    </w:p>
    <w:p w14:paraId="2550CD3B" w14:textId="77777777" w:rsidR="000E4BD9" w:rsidRPr="00E224E9" w:rsidRDefault="000E4BD9" w:rsidP="000E3D27">
      <w:pPr>
        <w:tabs>
          <w:tab w:val="left" w:pos="7093"/>
        </w:tabs>
        <w:spacing w:line="440" w:lineRule="exact"/>
        <w:ind w:firstLineChars="100" w:firstLine="240"/>
        <w:jc w:val="both"/>
        <w:rPr>
          <w:rFonts w:ascii="Book Antiqua" w:hAnsi="標楷體"/>
          <w:b/>
          <w:bCs/>
          <w:color w:val="000000" w:themeColor="text1"/>
          <w:sz w:val="24"/>
        </w:rPr>
      </w:pPr>
      <w:r w:rsidRPr="00E224E9">
        <w:rPr>
          <w:rFonts w:ascii="Book Antiqua" w:hAnsi="標楷體" w:hint="eastAsia"/>
          <w:b/>
          <w:bCs/>
          <w:color w:val="000000" w:themeColor="text1"/>
          <w:sz w:val="24"/>
        </w:rPr>
        <w:t>首次採用</w:t>
      </w:r>
      <w:r w:rsidRPr="00E224E9">
        <w:rPr>
          <w:rFonts w:ascii="Book Antiqua" w:hAnsi="標楷體" w:hint="eastAsia"/>
          <w:b/>
          <w:bCs/>
          <w:color w:val="000000" w:themeColor="text1"/>
          <w:sz w:val="24"/>
        </w:rPr>
        <w:t>IFRSs</w:t>
      </w:r>
      <w:r w:rsidRPr="00E224E9">
        <w:rPr>
          <w:rFonts w:ascii="Book Antiqua" w:hAnsi="標楷體" w:hint="eastAsia"/>
          <w:b/>
          <w:bCs/>
          <w:color w:val="000000" w:themeColor="text1"/>
          <w:sz w:val="24"/>
        </w:rPr>
        <w:t>依公允價值調整認定成本時之鑑價公司</w:t>
      </w:r>
    </w:p>
    <w:p w14:paraId="27DE22EE"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F7828" w:rsidRPr="00E224E9">
        <w:rPr>
          <w:rFonts w:ascii="Book Antiqua" w:hAnsi="Book Antiqua" w:hint="eastAsia"/>
          <w:color w:val="000000" w:themeColor="text1"/>
          <w:sz w:val="24"/>
        </w:rPr>
        <w:t>25</w:t>
      </w:r>
      <w:r w:rsidRPr="00E224E9">
        <w:rPr>
          <w:rFonts w:ascii="Book Antiqua" w:hAnsi="標楷體"/>
          <w:color w:val="000000" w:themeColor="text1"/>
          <w:sz w:val="24"/>
        </w:rPr>
        <w:t>欄－代號</w:t>
      </w:r>
    </w:p>
    <w:p w14:paraId="0FEEDDC7" w14:textId="77777777" w:rsidR="000E4BD9" w:rsidRPr="00E224E9" w:rsidRDefault="000E4BD9" w:rsidP="000E3D27">
      <w:pPr>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係指相對應之身分代號。請填列統一編號。</w:t>
      </w:r>
    </w:p>
    <w:p w14:paraId="59BEE28C"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2</w:t>
      </w:r>
      <w:r w:rsidR="00AF7828" w:rsidRPr="00E224E9">
        <w:rPr>
          <w:rFonts w:ascii="Book Antiqua" w:hAnsi="Book Antiqua" w:hint="eastAsia"/>
          <w:color w:val="000000" w:themeColor="text1"/>
          <w:sz w:val="24"/>
        </w:rPr>
        <w:t>6</w:t>
      </w:r>
      <w:r w:rsidRPr="00E224E9">
        <w:rPr>
          <w:rFonts w:ascii="Book Antiqua" w:hAnsi="標楷體"/>
          <w:color w:val="000000" w:themeColor="text1"/>
          <w:sz w:val="24"/>
        </w:rPr>
        <w:t>欄－名稱</w:t>
      </w:r>
    </w:p>
    <w:p w14:paraId="0B060B1A" w14:textId="77777777" w:rsidR="000E4BD9" w:rsidRPr="00E224E9" w:rsidRDefault="000E4BD9" w:rsidP="000E3D27">
      <w:pPr>
        <w:tabs>
          <w:tab w:val="left" w:pos="7093"/>
        </w:tabs>
        <w:spacing w:line="440" w:lineRule="exact"/>
        <w:ind w:leftChars="300" w:left="960" w:hangingChars="75" w:hanging="180"/>
        <w:jc w:val="both"/>
        <w:rPr>
          <w:rFonts w:ascii="Book Antiqua" w:hAnsi="Book Antiqua"/>
          <w:color w:val="000000" w:themeColor="text1"/>
          <w:sz w:val="24"/>
        </w:rPr>
      </w:pPr>
      <w:r w:rsidRPr="00E224E9">
        <w:rPr>
          <w:rFonts w:ascii="Book Antiqua" w:hAnsi="標楷體"/>
          <w:color w:val="000000" w:themeColor="text1"/>
          <w:sz w:val="24"/>
        </w:rPr>
        <w:lastRenderedPageBreak/>
        <w:t>係指相對應之名稱。請填列全名。</w:t>
      </w:r>
    </w:p>
    <w:p w14:paraId="01E489B0"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2</w:t>
      </w:r>
      <w:r w:rsidR="00AF7828" w:rsidRPr="00E224E9">
        <w:rPr>
          <w:rFonts w:ascii="Book Antiqua" w:hAnsi="Book Antiqua" w:hint="eastAsia"/>
          <w:color w:val="000000" w:themeColor="text1"/>
          <w:sz w:val="24"/>
        </w:rPr>
        <w:t>7</w:t>
      </w:r>
      <w:r w:rsidRPr="00E224E9">
        <w:rPr>
          <w:rFonts w:ascii="Book Antiqua" w:hAnsi="標楷體"/>
          <w:color w:val="000000" w:themeColor="text1"/>
          <w:sz w:val="24"/>
        </w:rPr>
        <w:t>欄－鑑價價格</w:t>
      </w:r>
    </w:p>
    <w:p w14:paraId="3782E2FB" w14:textId="77777777" w:rsidR="000E4BD9" w:rsidRPr="00E224E9" w:rsidRDefault="000E4BD9" w:rsidP="000E3D27">
      <w:pPr>
        <w:tabs>
          <w:tab w:val="left" w:pos="7093"/>
        </w:tabs>
        <w:spacing w:line="440" w:lineRule="exact"/>
        <w:ind w:firstLineChars="100" w:firstLine="240"/>
        <w:jc w:val="both"/>
        <w:rPr>
          <w:rFonts w:ascii="Book Antiqua" w:hAnsi="標楷體"/>
          <w:b/>
          <w:bCs/>
          <w:color w:val="000000" w:themeColor="text1"/>
          <w:sz w:val="24"/>
        </w:rPr>
      </w:pPr>
      <w:r w:rsidRPr="00E224E9">
        <w:rPr>
          <w:rFonts w:ascii="Book Antiqua" w:hAnsi="Book Antiqua"/>
          <w:color w:val="000000" w:themeColor="text1"/>
          <w:sz w:val="24"/>
        </w:rPr>
        <w:t xml:space="preserve">       </w:t>
      </w:r>
      <w:r w:rsidRPr="00E224E9">
        <w:rPr>
          <w:rFonts w:ascii="Book Antiqua" w:hAnsi="標楷體"/>
          <w:color w:val="000000" w:themeColor="text1"/>
          <w:sz w:val="24"/>
        </w:rPr>
        <w:t>係指經專業人士鑑定後之價格。</w:t>
      </w:r>
    </w:p>
    <w:p w14:paraId="334A79F3"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2</w:t>
      </w:r>
      <w:r w:rsidR="00AF7828" w:rsidRPr="00E224E9">
        <w:rPr>
          <w:rFonts w:ascii="Book Antiqua" w:hAnsi="Book Antiqua" w:hint="eastAsia"/>
          <w:color w:val="000000" w:themeColor="text1"/>
          <w:sz w:val="24"/>
        </w:rPr>
        <w:t>8</w:t>
      </w:r>
      <w:r w:rsidRPr="00E224E9">
        <w:rPr>
          <w:rFonts w:ascii="Book Antiqua" w:hAnsi="標楷體"/>
          <w:color w:val="000000" w:themeColor="text1"/>
          <w:sz w:val="24"/>
        </w:rPr>
        <w:t>欄－是否符合計入自有資本調整項之規範</w:t>
      </w:r>
    </w:p>
    <w:p w14:paraId="4B3523B0" w14:textId="281663AC" w:rsidR="000E4BD9" w:rsidRPr="00E224E9" w:rsidRDefault="000E4BD9" w:rsidP="000E3D27">
      <w:pPr>
        <w:tabs>
          <w:tab w:val="left" w:pos="7093"/>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係依「</w:t>
      </w:r>
      <w:r w:rsidR="00D156A8" w:rsidRPr="00E224E9">
        <w:rPr>
          <w:rFonts w:ascii="Book Antiqua" w:hAnsi="標楷體" w:hint="eastAsia"/>
          <w:color w:val="000000" w:themeColor="text1"/>
          <w:sz w:val="24"/>
        </w:rPr>
        <w:t>填報手冊表</w:t>
      </w:r>
      <w:r w:rsidR="00D156A8" w:rsidRPr="00E224E9">
        <w:rPr>
          <w:rFonts w:ascii="Book Antiqua" w:hAnsi="標楷體" w:hint="eastAsia"/>
          <w:color w:val="000000" w:themeColor="text1"/>
          <w:sz w:val="24"/>
        </w:rPr>
        <w:t>30-7-3</w:t>
      </w:r>
      <w:r w:rsidR="00D156A8" w:rsidRPr="00E224E9">
        <w:rPr>
          <w:rFonts w:ascii="Book Antiqua" w:hAnsi="標楷體" w:hint="eastAsia"/>
          <w:color w:val="000000" w:themeColor="text1"/>
          <w:sz w:val="24"/>
        </w:rPr>
        <w:t>：不動產投資採公允價值評價計入自有資本調整計算表：一、適用範圍</w:t>
      </w:r>
      <w:r w:rsidRPr="00E224E9">
        <w:rPr>
          <w:rFonts w:ascii="Book Antiqua" w:hAnsi="標楷體"/>
          <w:color w:val="000000" w:themeColor="text1"/>
          <w:sz w:val="24"/>
        </w:rPr>
        <w:t>」判斷之。請填列</w:t>
      </w:r>
      <w:r w:rsidRPr="00E224E9">
        <w:rPr>
          <w:rFonts w:ascii="Book Antiqua" w:hAnsi="Book Antiqua"/>
          <w:color w:val="000000" w:themeColor="text1"/>
          <w:sz w:val="24"/>
        </w:rPr>
        <w:t>Y.</w:t>
      </w:r>
      <w:r w:rsidRPr="00E224E9">
        <w:rPr>
          <w:rFonts w:ascii="Book Antiqua" w:hAnsi="標楷體"/>
          <w:color w:val="000000" w:themeColor="text1"/>
          <w:sz w:val="24"/>
        </w:rPr>
        <w:t>符合適用範圍，</w:t>
      </w:r>
      <w:r w:rsidRPr="00E224E9">
        <w:rPr>
          <w:rFonts w:ascii="Book Antiqua" w:hAnsi="Book Antiqua"/>
          <w:color w:val="000000" w:themeColor="text1"/>
          <w:sz w:val="24"/>
        </w:rPr>
        <w:t>N.</w:t>
      </w:r>
      <w:r w:rsidRPr="00E224E9">
        <w:rPr>
          <w:rFonts w:ascii="Book Antiqua" w:hAnsi="標楷體"/>
          <w:color w:val="000000" w:themeColor="text1"/>
          <w:sz w:val="24"/>
        </w:rPr>
        <w:t>不符合適用範圍。</w:t>
      </w:r>
    </w:p>
    <w:p w14:paraId="50A6EA8F" w14:textId="77777777" w:rsidR="000E4BD9" w:rsidRPr="00E224E9" w:rsidRDefault="000E4BD9" w:rsidP="000E3D27">
      <w:pPr>
        <w:tabs>
          <w:tab w:val="left" w:pos="7093"/>
        </w:tabs>
        <w:spacing w:line="440" w:lineRule="exact"/>
        <w:ind w:firstLineChars="100" w:firstLine="240"/>
        <w:jc w:val="both"/>
        <w:rPr>
          <w:rFonts w:ascii="Book Antiqua" w:hAnsi="Book Antiqua"/>
          <w:b/>
          <w:color w:val="000000" w:themeColor="text1"/>
          <w:sz w:val="24"/>
        </w:rPr>
      </w:pPr>
      <w:r w:rsidRPr="00E224E9">
        <w:rPr>
          <w:rFonts w:ascii="Book Antiqua" w:hAnsi="標楷體"/>
          <w:b/>
          <w:color w:val="000000" w:themeColor="text1"/>
          <w:sz w:val="24"/>
        </w:rPr>
        <w:t>最近三個月內之鑑價結果</w:t>
      </w:r>
    </w:p>
    <w:p w14:paraId="2E813EB3"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2</w:t>
      </w:r>
      <w:r w:rsidR="00AF7828" w:rsidRPr="00E224E9">
        <w:rPr>
          <w:rFonts w:ascii="Book Antiqua" w:hAnsi="Book Antiqua" w:hint="eastAsia"/>
          <w:color w:val="000000" w:themeColor="text1"/>
          <w:sz w:val="24"/>
        </w:rPr>
        <w:t>9</w:t>
      </w:r>
      <w:r w:rsidRPr="00E224E9">
        <w:rPr>
          <w:rFonts w:ascii="Book Antiqua" w:hAnsi="標楷體"/>
          <w:color w:val="000000" w:themeColor="text1"/>
          <w:sz w:val="24"/>
        </w:rPr>
        <w:t>欄－代號</w:t>
      </w:r>
    </w:p>
    <w:p w14:paraId="2F4F2F32" w14:textId="77777777" w:rsidR="000E4BD9" w:rsidRPr="00E224E9" w:rsidRDefault="000E4BD9" w:rsidP="000E3D27">
      <w:pPr>
        <w:tabs>
          <w:tab w:val="left" w:pos="7093"/>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係指相對應之身分代號。請填列統一編號。</w:t>
      </w:r>
    </w:p>
    <w:p w14:paraId="0BD266A9"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F7828" w:rsidRPr="00E224E9">
        <w:rPr>
          <w:rFonts w:ascii="Book Antiqua" w:hAnsi="Book Antiqua" w:hint="eastAsia"/>
          <w:color w:val="000000" w:themeColor="text1"/>
          <w:sz w:val="24"/>
        </w:rPr>
        <w:t>30</w:t>
      </w:r>
      <w:r w:rsidRPr="00E224E9">
        <w:rPr>
          <w:rFonts w:ascii="Book Antiqua" w:hAnsi="標楷體"/>
          <w:color w:val="000000" w:themeColor="text1"/>
          <w:sz w:val="24"/>
        </w:rPr>
        <w:t>欄－名稱</w:t>
      </w:r>
    </w:p>
    <w:p w14:paraId="21B91E8A" w14:textId="77777777" w:rsidR="000E4BD9" w:rsidRPr="00E224E9" w:rsidRDefault="000E4BD9" w:rsidP="000E3D27">
      <w:pPr>
        <w:tabs>
          <w:tab w:val="left" w:pos="7093"/>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係指相對應之名稱。請填列全名。</w:t>
      </w:r>
    </w:p>
    <w:p w14:paraId="55D55000"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F7828" w:rsidRPr="00E224E9">
        <w:rPr>
          <w:rFonts w:ascii="Book Antiqua" w:hAnsi="Book Antiqua" w:hint="eastAsia"/>
          <w:color w:val="000000" w:themeColor="text1"/>
          <w:sz w:val="24"/>
        </w:rPr>
        <w:t>31</w:t>
      </w:r>
      <w:r w:rsidRPr="00E224E9">
        <w:rPr>
          <w:rFonts w:ascii="Book Antiqua" w:hAnsi="標楷體"/>
          <w:color w:val="000000" w:themeColor="text1"/>
          <w:sz w:val="24"/>
        </w:rPr>
        <w:t>欄－鑑價價格</w:t>
      </w:r>
    </w:p>
    <w:p w14:paraId="736AEEDB" w14:textId="77777777" w:rsidR="000E4BD9" w:rsidRPr="00E224E9" w:rsidRDefault="000E4BD9" w:rsidP="000E3D27">
      <w:pPr>
        <w:tabs>
          <w:tab w:val="left" w:pos="7093"/>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係指經專業人士鑑定後之價格。</w:t>
      </w:r>
    </w:p>
    <w:p w14:paraId="685A461C"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F7828" w:rsidRPr="00E224E9">
        <w:rPr>
          <w:rFonts w:ascii="Book Antiqua" w:hAnsi="Book Antiqua" w:hint="eastAsia"/>
          <w:color w:val="000000" w:themeColor="text1"/>
          <w:sz w:val="24"/>
        </w:rPr>
        <w:t>32</w:t>
      </w:r>
      <w:r w:rsidRPr="00E224E9">
        <w:rPr>
          <w:rFonts w:ascii="Book Antiqua" w:hAnsi="標楷體"/>
          <w:color w:val="000000" w:themeColor="text1"/>
          <w:sz w:val="24"/>
        </w:rPr>
        <w:t>欄－未實現增值應負擔之稅負</w:t>
      </w:r>
    </w:p>
    <w:p w14:paraId="6A40986E" w14:textId="77777777" w:rsidR="000E4BD9" w:rsidRPr="00E224E9" w:rsidRDefault="000E4BD9" w:rsidP="000E3D27">
      <w:pPr>
        <w:tabs>
          <w:tab w:val="left" w:pos="7093"/>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w:t>
      </w:r>
      <w:r w:rsidR="007C679C" w:rsidRPr="00E224E9">
        <w:rPr>
          <w:rFonts w:ascii="Book Antiqua" w:hAnsi="標楷體" w:hint="eastAsia"/>
          <w:color w:val="000000" w:themeColor="text1"/>
          <w:sz w:val="24"/>
        </w:rPr>
        <w:t>與不動產取得時相比較，</w:t>
      </w:r>
      <w:r w:rsidRPr="00E224E9">
        <w:rPr>
          <w:rFonts w:ascii="Book Antiqua" w:hAnsi="標楷體"/>
          <w:color w:val="000000" w:themeColor="text1"/>
          <w:sz w:val="24"/>
        </w:rPr>
        <w:t>不動產增值依相關稅務法規計算，所應負擔之稅負。</w:t>
      </w:r>
    </w:p>
    <w:p w14:paraId="4B24A241"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3</w:t>
      </w:r>
      <w:r w:rsidR="00AF7828" w:rsidRPr="00E224E9">
        <w:rPr>
          <w:rFonts w:ascii="Book Antiqua" w:hAnsi="Book Antiqua" w:hint="eastAsia"/>
          <w:color w:val="000000" w:themeColor="text1"/>
          <w:sz w:val="24"/>
        </w:rPr>
        <w:t>3</w:t>
      </w:r>
      <w:r w:rsidRPr="00E224E9">
        <w:rPr>
          <w:rFonts w:ascii="Book Antiqua" w:hAnsi="標楷體"/>
          <w:color w:val="000000" w:themeColor="text1"/>
          <w:sz w:val="24"/>
        </w:rPr>
        <w:t>欄－稅後增值或稅後減少之金額</w:t>
      </w:r>
    </w:p>
    <w:p w14:paraId="57717FD6" w14:textId="77777777" w:rsidR="000E4BD9" w:rsidRPr="00E224E9" w:rsidRDefault="000E4BD9" w:rsidP="000E3D27">
      <w:pPr>
        <w:tabs>
          <w:tab w:val="left" w:pos="7093"/>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不動產投資最近三個月內之鑑價價格扣除稅額及帳面價值後之金額。</w:t>
      </w:r>
    </w:p>
    <w:p w14:paraId="384227FC"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3</w:t>
      </w:r>
      <w:r w:rsidR="00AF7828" w:rsidRPr="00E224E9">
        <w:rPr>
          <w:rFonts w:ascii="Book Antiqua" w:hAnsi="Book Antiqua" w:hint="eastAsia"/>
          <w:color w:val="000000" w:themeColor="text1"/>
          <w:sz w:val="24"/>
        </w:rPr>
        <w:t>4</w:t>
      </w:r>
      <w:r w:rsidRPr="00E224E9">
        <w:rPr>
          <w:rFonts w:ascii="Book Antiqua" w:hAnsi="標楷體"/>
          <w:color w:val="000000" w:themeColor="text1"/>
          <w:sz w:val="24"/>
        </w:rPr>
        <w:t>欄－</w:t>
      </w:r>
      <w:r w:rsidR="00C312D7" w:rsidRPr="00E224E9">
        <w:rPr>
          <w:rFonts w:ascii="Book Antiqua" w:hAnsi="標楷體" w:hint="eastAsia"/>
          <w:color w:val="000000" w:themeColor="text1"/>
          <w:sz w:val="24"/>
        </w:rPr>
        <w:t>調整後不動產稅後增值或稅後減少之金額</w:t>
      </w:r>
    </w:p>
    <w:p w14:paraId="5D04AFF5" w14:textId="77777777" w:rsidR="00461A76" w:rsidRPr="00E224E9" w:rsidRDefault="00C312D7" w:rsidP="004373AD">
      <w:pPr>
        <w:numPr>
          <w:ilvl w:val="0"/>
          <w:numId w:val="35"/>
        </w:numPr>
        <w:tabs>
          <w:tab w:val="left" w:pos="1134"/>
        </w:tabs>
        <w:spacing w:line="420" w:lineRule="exact"/>
        <w:jc w:val="both"/>
        <w:rPr>
          <w:rFonts w:ascii="Book Antiqua" w:hAnsi="標楷體"/>
          <w:color w:val="000000" w:themeColor="text1"/>
          <w:sz w:val="24"/>
        </w:rPr>
      </w:pPr>
      <w:r w:rsidRPr="00E224E9">
        <w:rPr>
          <w:rFonts w:ascii="Book Antiqua" w:hAnsi="標楷體" w:hint="eastAsia"/>
          <w:color w:val="000000" w:themeColor="text1"/>
          <w:sz w:val="24"/>
        </w:rPr>
        <w:t>調整後不動產稅後增值或稅後減少之金額</w:t>
      </w:r>
      <w:r w:rsidR="00461A76" w:rsidRPr="00E224E9">
        <w:rPr>
          <w:rFonts w:ascii="Book Antiqua" w:hAnsi="標楷體" w:hint="eastAsia"/>
          <w:color w:val="000000" w:themeColor="text1"/>
          <w:sz w:val="24"/>
        </w:rPr>
        <w:t>，第</w:t>
      </w:r>
      <w:r w:rsidR="00461A76" w:rsidRPr="00E224E9">
        <w:rPr>
          <w:rFonts w:ascii="Book Antiqua" w:hAnsi="標楷體" w:hint="eastAsia"/>
          <w:color w:val="000000" w:themeColor="text1"/>
          <w:sz w:val="24"/>
        </w:rPr>
        <w:t>(28)</w:t>
      </w:r>
      <w:r w:rsidR="00461A76" w:rsidRPr="00E224E9">
        <w:rPr>
          <w:rFonts w:ascii="Book Antiqua" w:hAnsi="標楷體" w:hint="eastAsia"/>
          <w:color w:val="000000" w:themeColor="text1"/>
          <w:sz w:val="24"/>
        </w:rPr>
        <w:t>欄為</w:t>
      </w:r>
      <w:r w:rsidR="00461A76" w:rsidRPr="00E224E9">
        <w:rPr>
          <w:rFonts w:ascii="Book Antiqua" w:hAnsi="標楷體" w:hint="eastAsia"/>
          <w:color w:val="000000" w:themeColor="text1"/>
          <w:sz w:val="24"/>
        </w:rPr>
        <w:t>Y</w:t>
      </w:r>
      <w:r w:rsidR="00461A76" w:rsidRPr="00E224E9">
        <w:rPr>
          <w:rFonts w:ascii="Book Antiqua" w:hAnsi="標楷體" w:hint="eastAsia"/>
          <w:color w:val="000000" w:themeColor="text1"/>
          <w:sz w:val="24"/>
        </w:rPr>
        <w:t>者，其財務報表針對投資性不動產之後續衡量採公允價值模式之保險公司，</w:t>
      </w:r>
      <w:r w:rsidR="00944BF6" w:rsidRPr="00E224E9">
        <w:rPr>
          <w:rFonts w:ascii="Book Antiqua" w:hAnsi="標楷體" w:hint="eastAsia"/>
          <w:color w:val="000000" w:themeColor="text1"/>
          <w:sz w:val="24"/>
        </w:rPr>
        <w:t>於中華民國</w:t>
      </w:r>
      <w:r w:rsidR="00944BF6" w:rsidRPr="00E224E9">
        <w:rPr>
          <w:rFonts w:ascii="Book Antiqua" w:hAnsi="標楷體" w:hint="eastAsia"/>
          <w:color w:val="000000" w:themeColor="text1"/>
          <w:sz w:val="24"/>
        </w:rPr>
        <w:t>109</w:t>
      </w:r>
      <w:r w:rsidR="000039F3" w:rsidRPr="00E224E9">
        <w:rPr>
          <w:rFonts w:ascii="Book Antiqua" w:hAnsi="標楷體" w:hint="eastAsia"/>
          <w:color w:val="000000" w:themeColor="text1"/>
          <w:sz w:val="24"/>
        </w:rPr>
        <w:t>年</w:t>
      </w:r>
      <w:r w:rsidR="00944BF6" w:rsidRPr="00E224E9">
        <w:rPr>
          <w:rFonts w:ascii="Book Antiqua" w:hAnsi="標楷體" w:hint="eastAsia"/>
          <w:color w:val="000000" w:themeColor="text1"/>
          <w:sz w:val="24"/>
        </w:rPr>
        <w:t>5</w:t>
      </w:r>
      <w:r w:rsidR="000039F3" w:rsidRPr="00E224E9">
        <w:rPr>
          <w:rFonts w:ascii="Book Antiqua" w:hAnsi="標楷體" w:hint="eastAsia"/>
          <w:color w:val="000000" w:themeColor="text1"/>
          <w:sz w:val="24"/>
        </w:rPr>
        <w:t>月</w:t>
      </w:r>
      <w:r w:rsidR="00944BF6" w:rsidRPr="00E224E9">
        <w:rPr>
          <w:rFonts w:ascii="Book Antiqua" w:hAnsi="標楷體" w:hint="eastAsia"/>
          <w:color w:val="000000" w:themeColor="text1"/>
          <w:sz w:val="24"/>
        </w:rPr>
        <w:t>11</w:t>
      </w:r>
      <w:r w:rsidR="000039F3" w:rsidRPr="00E224E9">
        <w:rPr>
          <w:rFonts w:ascii="Book Antiqua" w:hAnsi="標楷體" w:hint="eastAsia"/>
          <w:color w:val="000000" w:themeColor="text1"/>
          <w:sz w:val="24"/>
        </w:rPr>
        <w:t>日</w:t>
      </w:r>
      <w:r w:rsidR="004C5406" w:rsidRPr="00E224E9">
        <w:rPr>
          <w:rFonts w:ascii="Book Antiqua" w:hAnsi="標楷體" w:hint="eastAsia"/>
          <w:color w:val="000000" w:themeColor="text1"/>
          <w:sz w:val="24"/>
        </w:rPr>
        <w:t>保險業財務報告編製準則</w:t>
      </w:r>
      <w:r w:rsidR="000039F3" w:rsidRPr="00E224E9">
        <w:rPr>
          <w:rFonts w:ascii="Book Antiqua" w:hAnsi="標楷體" w:hint="eastAsia"/>
          <w:color w:val="000000" w:themeColor="text1"/>
          <w:sz w:val="24"/>
        </w:rPr>
        <w:t>修正發布前，原帳列投資性不動產之後續衡量已採用公允價值模式者，</w:t>
      </w:r>
      <w:r w:rsidR="00461A76" w:rsidRPr="00E224E9">
        <w:rPr>
          <w:rFonts w:ascii="Book Antiqua" w:hAnsi="標楷體" w:hint="eastAsia"/>
          <w:color w:val="000000" w:themeColor="text1"/>
          <w:sz w:val="24"/>
        </w:rPr>
        <w:t>若市價高於帳面價值，則以稅後增值金額之</w:t>
      </w:r>
      <w:r w:rsidR="00461A76" w:rsidRPr="00E224E9">
        <w:rPr>
          <w:rFonts w:ascii="Book Antiqua" w:hAnsi="標楷體" w:hint="eastAsia"/>
          <w:color w:val="000000" w:themeColor="text1"/>
          <w:sz w:val="24"/>
        </w:rPr>
        <w:t>85%</w:t>
      </w:r>
      <w:r w:rsidR="00C7684D" w:rsidRPr="00E224E9">
        <w:rPr>
          <w:rFonts w:ascii="Book Antiqua" w:hAnsi="標楷體" w:hint="eastAsia"/>
          <w:color w:val="000000" w:themeColor="text1"/>
          <w:sz w:val="24"/>
        </w:rPr>
        <w:t>列入自有資本；前述修正發布後採用公允價值模式者，</w:t>
      </w:r>
      <w:r w:rsidR="000039F3" w:rsidRPr="00E224E9">
        <w:rPr>
          <w:rFonts w:ascii="Book Antiqua" w:hAnsi="標楷體" w:hint="eastAsia"/>
          <w:color w:val="000000" w:themeColor="text1"/>
          <w:sz w:val="24"/>
        </w:rPr>
        <w:t>以稅後增值</w:t>
      </w:r>
      <w:r w:rsidR="003A3C88" w:rsidRPr="00E224E9">
        <w:rPr>
          <w:rFonts w:ascii="Book Antiqua" w:hAnsi="標楷體" w:hint="eastAsia"/>
          <w:color w:val="000000" w:themeColor="text1"/>
          <w:sz w:val="24"/>
        </w:rPr>
        <w:t>金額</w:t>
      </w:r>
      <w:r w:rsidR="000039F3" w:rsidRPr="00E224E9">
        <w:rPr>
          <w:rFonts w:ascii="Book Antiqua" w:hAnsi="標楷體" w:hint="eastAsia"/>
          <w:color w:val="000000" w:themeColor="text1"/>
          <w:sz w:val="24"/>
        </w:rPr>
        <w:t>之</w:t>
      </w:r>
      <w:r w:rsidR="003A3C88" w:rsidRPr="00E224E9">
        <w:rPr>
          <w:rFonts w:ascii="Book Antiqua" w:hAnsi="標楷體"/>
          <w:color w:val="000000" w:themeColor="text1"/>
          <w:sz w:val="24"/>
        </w:rPr>
        <w:t>100%</w:t>
      </w:r>
      <w:r w:rsidR="000039F3" w:rsidRPr="00E224E9">
        <w:rPr>
          <w:rFonts w:ascii="Book Antiqua" w:hAnsi="標楷體" w:hint="eastAsia"/>
          <w:color w:val="000000" w:themeColor="text1"/>
          <w:sz w:val="24"/>
        </w:rPr>
        <w:t>列入自有資本。</w:t>
      </w:r>
      <w:r w:rsidR="00461A76" w:rsidRPr="00E224E9">
        <w:rPr>
          <w:rFonts w:ascii="Book Antiqua" w:hAnsi="標楷體" w:hint="eastAsia"/>
          <w:color w:val="000000" w:themeColor="text1"/>
          <w:sz w:val="24"/>
        </w:rPr>
        <w:t>若市價低於帳面價值，且未經會計師以減損認列者，則以稅後減少金額之</w:t>
      </w:r>
      <w:r w:rsidR="00461A76" w:rsidRPr="00E224E9">
        <w:rPr>
          <w:rFonts w:ascii="Book Antiqua" w:hAnsi="標楷體" w:hint="eastAsia"/>
          <w:color w:val="000000" w:themeColor="text1"/>
          <w:sz w:val="24"/>
        </w:rPr>
        <w:t>100%</w:t>
      </w:r>
      <w:r w:rsidR="00461A76" w:rsidRPr="00E224E9">
        <w:rPr>
          <w:rFonts w:ascii="Book Antiqua" w:hAnsi="標楷體" w:hint="eastAsia"/>
          <w:color w:val="000000" w:themeColor="text1"/>
          <w:sz w:val="24"/>
        </w:rPr>
        <w:t>由自有資本扣除</w:t>
      </w:r>
      <w:r w:rsidR="00461A76" w:rsidRPr="00E224E9">
        <w:rPr>
          <w:rFonts w:ascii="Book Antiqua" w:hAnsi="標楷體"/>
          <w:color w:val="000000" w:themeColor="text1"/>
          <w:sz w:val="24"/>
        </w:rPr>
        <w:t>。</w:t>
      </w:r>
    </w:p>
    <w:p w14:paraId="17DF39CD" w14:textId="2BDC77ED" w:rsidR="00974C21" w:rsidRPr="0053248F" w:rsidRDefault="00C312D7" w:rsidP="0053248F">
      <w:pPr>
        <w:numPr>
          <w:ilvl w:val="0"/>
          <w:numId w:val="35"/>
        </w:numPr>
        <w:tabs>
          <w:tab w:val="left" w:pos="1134"/>
        </w:tabs>
        <w:spacing w:line="420" w:lineRule="exact"/>
        <w:jc w:val="both"/>
        <w:rPr>
          <w:rFonts w:ascii="Book Antiqua" w:hAnsi="標楷體"/>
          <w:color w:val="000000" w:themeColor="text1"/>
          <w:sz w:val="24"/>
        </w:rPr>
      </w:pPr>
      <w:r w:rsidRPr="0053248F">
        <w:rPr>
          <w:rFonts w:ascii="Book Antiqua" w:hAnsi="標楷體" w:hint="eastAsia"/>
          <w:color w:val="000000" w:themeColor="text1"/>
          <w:sz w:val="24"/>
        </w:rPr>
        <w:t>調整後不動產稅後增值或稅後減少之金額</w:t>
      </w:r>
      <w:r w:rsidR="00974C21" w:rsidRPr="0053248F">
        <w:rPr>
          <w:rFonts w:ascii="Book Antiqua" w:hAnsi="標楷體" w:hint="eastAsia"/>
          <w:color w:val="000000" w:themeColor="text1"/>
          <w:sz w:val="24"/>
        </w:rPr>
        <w:t>，第</w:t>
      </w:r>
      <w:r w:rsidR="00974C21" w:rsidRPr="0053248F">
        <w:rPr>
          <w:rFonts w:ascii="Book Antiqua" w:hAnsi="標楷體" w:hint="eastAsia"/>
          <w:color w:val="000000" w:themeColor="text1"/>
          <w:sz w:val="24"/>
        </w:rPr>
        <w:t>(28)</w:t>
      </w:r>
      <w:r w:rsidR="00974C21" w:rsidRPr="0053248F">
        <w:rPr>
          <w:rFonts w:ascii="Book Antiqua" w:hAnsi="標楷體" w:hint="eastAsia"/>
          <w:color w:val="000000" w:themeColor="text1"/>
          <w:sz w:val="24"/>
        </w:rPr>
        <w:t>欄為</w:t>
      </w:r>
      <w:r w:rsidR="00974C21" w:rsidRPr="0053248F">
        <w:rPr>
          <w:rFonts w:ascii="Book Antiqua" w:hAnsi="標楷體" w:hint="eastAsia"/>
          <w:color w:val="000000" w:themeColor="text1"/>
          <w:sz w:val="24"/>
        </w:rPr>
        <w:t>Y</w:t>
      </w:r>
      <w:r w:rsidR="00974C21" w:rsidRPr="0053248F">
        <w:rPr>
          <w:rFonts w:ascii="Book Antiqua" w:hAnsi="標楷體" w:hint="eastAsia"/>
          <w:color w:val="000000" w:themeColor="text1"/>
          <w:sz w:val="24"/>
        </w:rPr>
        <w:t>者，其財務報表針對投資性不動產之後續衡量採成本模式</w:t>
      </w:r>
      <w:r w:rsidR="0053248F" w:rsidRPr="004D5D28">
        <w:rPr>
          <w:rFonts w:ascii="Book Antiqua" w:hAnsi="標楷體" w:hint="eastAsia"/>
          <w:color w:val="EE0000"/>
          <w:sz w:val="24"/>
        </w:rPr>
        <w:t>之保險公司，依「填報手冊表</w:t>
      </w:r>
      <w:r w:rsidR="0053248F" w:rsidRPr="004D5D28">
        <w:rPr>
          <w:rFonts w:ascii="Book Antiqua" w:hAnsi="標楷體"/>
          <w:color w:val="EE0000"/>
          <w:sz w:val="24"/>
        </w:rPr>
        <w:t>30-7-3</w:t>
      </w:r>
      <w:r w:rsidR="0053248F" w:rsidRPr="004D5D28">
        <w:rPr>
          <w:rFonts w:ascii="Book Antiqua" w:hAnsi="標楷體" w:hint="eastAsia"/>
          <w:color w:val="EE0000"/>
          <w:sz w:val="24"/>
        </w:rPr>
        <w:t>，二、資本適足率</w:t>
      </w:r>
      <w:r w:rsidR="0053248F" w:rsidRPr="004D5D28">
        <w:rPr>
          <w:rFonts w:ascii="Book Antiqua" w:hAnsi="標楷體"/>
          <w:color w:val="EE0000"/>
          <w:sz w:val="24"/>
        </w:rPr>
        <w:t>(</w:t>
      </w:r>
      <w:r w:rsidR="0053248F" w:rsidRPr="004D5D28">
        <w:rPr>
          <w:rFonts w:ascii="Book Antiqua" w:hAnsi="標楷體" w:hint="eastAsia"/>
          <w:color w:val="EE0000"/>
          <w:sz w:val="24"/>
        </w:rPr>
        <w:t>自有資本與風險資本之比率</w:t>
      </w:r>
      <w:r w:rsidR="0053248F" w:rsidRPr="004D5D28">
        <w:rPr>
          <w:rFonts w:ascii="Book Antiqua" w:hAnsi="標楷體"/>
          <w:color w:val="EE0000"/>
          <w:sz w:val="24"/>
        </w:rPr>
        <w:t>)</w:t>
      </w:r>
      <w:r w:rsidR="0053248F" w:rsidRPr="004D5D28">
        <w:rPr>
          <w:rFonts w:ascii="Book Antiqua" w:hAnsi="標楷體" w:hint="eastAsia"/>
          <w:color w:val="EE0000"/>
          <w:sz w:val="24"/>
        </w:rPr>
        <w:t>計算調整方式，</w:t>
      </w:r>
      <w:r w:rsidR="0053248F" w:rsidRPr="004D5D28">
        <w:rPr>
          <w:rFonts w:ascii="Book Antiqua" w:hAnsi="標楷體"/>
          <w:color w:val="EE0000"/>
          <w:sz w:val="24"/>
        </w:rPr>
        <w:t>(</w:t>
      </w:r>
      <w:r w:rsidR="0053248F" w:rsidRPr="004D5D28">
        <w:rPr>
          <w:rFonts w:ascii="Book Antiqua" w:hAnsi="標楷體" w:hint="eastAsia"/>
          <w:color w:val="EE0000"/>
          <w:sz w:val="24"/>
        </w:rPr>
        <w:t>二</w:t>
      </w:r>
      <w:r w:rsidR="0053248F" w:rsidRPr="004D5D28">
        <w:rPr>
          <w:rFonts w:ascii="Book Antiqua" w:hAnsi="標楷體"/>
          <w:color w:val="EE0000"/>
          <w:sz w:val="24"/>
        </w:rPr>
        <w:t>)</w:t>
      </w:r>
      <w:r w:rsidR="0053248F" w:rsidRPr="004D5D28">
        <w:rPr>
          <w:rFonts w:ascii="Book Antiqua" w:hAnsi="標楷體" w:hint="eastAsia"/>
          <w:color w:val="EE0000"/>
          <w:sz w:val="24"/>
        </w:rPr>
        <w:t>」處理。</w:t>
      </w:r>
    </w:p>
    <w:p w14:paraId="69B9213F"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3</w:t>
      </w:r>
      <w:r w:rsidR="00AF7828" w:rsidRPr="00E224E9">
        <w:rPr>
          <w:rFonts w:ascii="Book Antiqua" w:hAnsi="Book Antiqua" w:hint="eastAsia"/>
          <w:color w:val="000000" w:themeColor="text1"/>
          <w:sz w:val="24"/>
        </w:rPr>
        <w:t>5</w:t>
      </w:r>
      <w:r w:rsidRPr="00E224E9">
        <w:rPr>
          <w:rFonts w:ascii="Book Antiqua" w:hAnsi="標楷體"/>
          <w:color w:val="000000" w:themeColor="text1"/>
          <w:sz w:val="24"/>
        </w:rPr>
        <w:t>欄－備註</w:t>
      </w:r>
      <w:r w:rsidRPr="00E224E9">
        <w:rPr>
          <w:rFonts w:ascii="Book Antiqua" w:hAnsi="Book Antiqua"/>
          <w:color w:val="000000" w:themeColor="text1"/>
          <w:sz w:val="24"/>
        </w:rPr>
        <w:tab/>
      </w:r>
    </w:p>
    <w:p w14:paraId="7E3D5B6E" w14:textId="77777777" w:rsidR="000E4BD9" w:rsidRPr="00E224E9" w:rsidRDefault="000E4BD9" w:rsidP="000E3D27">
      <w:pPr>
        <w:tabs>
          <w:tab w:val="left" w:pos="7093"/>
        </w:tabs>
        <w:spacing w:line="440" w:lineRule="exact"/>
        <w:ind w:firstLineChars="200" w:firstLine="480"/>
        <w:jc w:val="both"/>
        <w:rPr>
          <w:rFonts w:ascii="Book Antiqua" w:hAnsi="Book Antiqua"/>
          <w:color w:val="000000" w:themeColor="text1"/>
          <w:sz w:val="24"/>
        </w:rPr>
      </w:pPr>
      <w:r w:rsidRPr="00E224E9">
        <w:rPr>
          <w:rFonts w:ascii="Book Antiqua" w:hAnsi="標楷體"/>
          <w:color w:val="000000" w:themeColor="text1"/>
          <w:sz w:val="24"/>
        </w:rPr>
        <w:t>若有其他需要補充說明之事項，請填列於此欄。</w:t>
      </w:r>
    </w:p>
    <w:p w14:paraId="12E97A3C" w14:textId="77777777" w:rsidR="00065C53" w:rsidRPr="00E224E9" w:rsidRDefault="00065C53">
      <w:pPr>
        <w:pStyle w:val="1"/>
        <w:spacing w:afterLines="0" w:line="440" w:lineRule="exact"/>
        <w:jc w:val="both"/>
        <w:rPr>
          <w:color w:val="000000" w:themeColor="text1"/>
        </w:rPr>
      </w:pPr>
      <w:r w:rsidRPr="00E224E9">
        <w:rPr>
          <w:b w:val="0"/>
          <w:bCs w:val="0"/>
          <w:color w:val="000000" w:themeColor="text1"/>
          <w:sz w:val="26"/>
          <w:szCs w:val="24"/>
        </w:rPr>
        <w:br w:type="page"/>
      </w:r>
      <w:bookmarkStart w:id="66" w:name="_Toc93835537"/>
      <w:bookmarkStart w:id="67" w:name="_Toc219262234"/>
      <w:bookmarkStart w:id="68" w:name="_Toc200468527"/>
      <w:r w:rsidRPr="00E224E9">
        <w:rPr>
          <w:rFonts w:hint="eastAsia"/>
          <w:color w:val="000000" w:themeColor="text1"/>
        </w:rPr>
        <w:lastRenderedPageBreak/>
        <w:t>表13-2：不動產餘額明細表(總計)</w:t>
      </w:r>
      <w:bookmarkEnd w:id="66"/>
      <w:bookmarkEnd w:id="67"/>
      <w:bookmarkEnd w:id="68"/>
    </w:p>
    <w:p w14:paraId="2202F93C"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本報表的目的在於介紹人壽保險業不動產的使用及配置情形。本表所稱關係人之定義及範圍準用表03</w:t>
      </w:r>
      <w:r w:rsidR="001A36A1" w:rsidRPr="00E224E9">
        <w:rPr>
          <w:rFonts w:ascii="標楷體" w:hAnsi="標楷體" w:hint="eastAsia"/>
          <w:color w:val="000000" w:themeColor="text1"/>
          <w:sz w:val="24"/>
        </w:rPr>
        <w:t>：資產負債表「三</w:t>
      </w:r>
      <w:r w:rsidRPr="00E224E9">
        <w:rPr>
          <w:rFonts w:ascii="標楷體" w:hAnsi="標楷體" w:hint="eastAsia"/>
          <w:color w:val="000000" w:themeColor="text1"/>
          <w:sz w:val="24"/>
        </w:rPr>
        <w:t>、關係人之定義及分類說明」之規定。</w:t>
      </w:r>
    </w:p>
    <w:p w14:paraId="6720376E"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各項資產之欄位說明如下：</w:t>
      </w:r>
    </w:p>
    <w:p w14:paraId="59FB5F7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第2欄－國內投資土地帳面淨額</w:t>
      </w:r>
    </w:p>
    <w:p w14:paraId="1B8B00CD" w14:textId="77777777" w:rsidR="00065C53" w:rsidRPr="00E224E9" w:rsidRDefault="00065C53">
      <w:pPr>
        <w:spacing w:line="440" w:lineRule="exact"/>
        <w:ind w:leftChars="276" w:left="718" w:firstLine="2"/>
        <w:jc w:val="both"/>
        <w:rPr>
          <w:rFonts w:ascii="標楷體" w:hAnsi="標楷體"/>
          <w:dstrike/>
          <w:color w:val="000000" w:themeColor="text1"/>
          <w:sz w:val="24"/>
        </w:rPr>
      </w:pPr>
      <w:r w:rsidRPr="00E224E9">
        <w:rPr>
          <w:rFonts w:ascii="標楷體" w:hAnsi="標楷體" w:hint="eastAsia"/>
          <w:color w:val="000000" w:themeColor="text1"/>
          <w:sz w:val="24"/>
        </w:rPr>
        <w:t>指購入成本加重估增值扣除土地增值稅準備。</w:t>
      </w:r>
    </w:p>
    <w:p w14:paraId="3EAA696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第3欄－國內投資房屋帳面淨額</w:t>
      </w:r>
    </w:p>
    <w:p w14:paraId="2A9A5F59" w14:textId="77777777" w:rsidR="00065C53" w:rsidRPr="00E224E9" w:rsidRDefault="00065C53">
      <w:pPr>
        <w:spacing w:line="440" w:lineRule="exact"/>
        <w:ind w:leftChars="276" w:left="718"/>
        <w:jc w:val="both"/>
        <w:rPr>
          <w:rFonts w:ascii="標楷體" w:hAnsi="標楷體"/>
          <w:dstrike/>
          <w:color w:val="000000" w:themeColor="text1"/>
          <w:sz w:val="24"/>
        </w:rPr>
      </w:pPr>
      <w:r w:rsidRPr="00E224E9">
        <w:rPr>
          <w:rFonts w:ascii="標楷體" w:hAnsi="標楷體" w:hint="eastAsia"/>
          <w:color w:val="000000" w:themeColor="text1"/>
          <w:sz w:val="24"/>
        </w:rPr>
        <w:t>指取得成本加重估增值扣除累計折舊。</w:t>
      </w:r>
    </w:p>
    <w:p w14:paraId="7F48A56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第4欄－國內投資地上權</w:t>
      </w:r>
    </w:p>
    <w:p w14:paraId="20FD8874" w14:textId="77777777" w:rsidR="00065C53" w:rsidRPr="00E224E9" w:rsidRDefault="00065C53">
      <w:pPr>
        <w:spacing w:line="440" w:lineRule="exact"/>
        <w:ind w:leftChars="207" w:left="538" w:firstLineChars="69" w:firstLine="166"/>
        <w:jc w:val="both"/>
        <w:rPr>
          <w:rFonts w:ascii="標楷體" w:hAnsi="標楷體"/>
          <w:color w:val="000000" w:themeColor="text1"/>
          <w:sz w:val="24"/>
        </w:rPr>
      </w:pPr>
      <w:r w:rsidRPr="00E224E9">
        <w:rPr>
          <w:rFonts w:ascii="標楷體" w:hAnsi="標楷體" w:hint="eastAsia"/>
          <w:color w:val="000000" w:themeColor="text1"/>
          <w:sz w:val="24"/>
        </w:rPr>
        <w:t>指取得成本扣除累計折舊。</w:t>
      </w:r>
    </w:p>
    <w:p w14:paraId="39689AB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第5欄－國內投資其他帳面淨額</w:t>
      </w:r>
    </w:p>
    <w:p w14:paraId="7D0335E3" w14:textId="77777777" w:rsidR="00065C53" w:rsidRPr="00E224E9" w:rsidRDefault="00065C53">
      <w:pPr>
        <w:spacing w:line="440" w:lineRule="exact"/>
        <w:ind w:firstLineChars="276" w:firstLine="662"/>
        <w:jc w:val="both"/>
        <w:rPr>
          <w:rFonts w:ascii="標楷體" w:hAnsi="標楷體"/>
          <w:color w:val="000000" w:themeColor="text1"/>
          <w:sz w:val="24"/>
        </w:rPr>
      </w:pPr>
      <w:r w:rsidRPr="00E224E9">
        <w:rPr>
          <w:rFonts w:ascii="標楷體" w:hAnsi="標楷體" w:hint="eastAsia"/>
          <w:color w:val="000000" w:themeColor="text1"/>
          <w:sz w:val="24"/>
        </w:rPr>
        <w:t>非列屬2~4欄之國內投資帳面淨額者</w:t>
      </w:r>
    </w:p>
    <w:p w14:paraId="7F37518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第6欄－國內投資帳面淨額合計</w:t>
      </w:r>
    </w:p>
    <w:p w14:paraId="083EAE70" w14:textId="77777777" w:rsidR="00065C53" w:rsidRPr="00E224E9" w:rsidRDefault="00065C53">
      <w:pPr>
        <w:spacing w:line="440" w:lineRule="exact"/>
        <w:ind w:firstLineChars="276" w:firstLine="662"/>
        <w:jc w:val="both"/>
        <w:rPr>
          <w:rFonts w:ascii="標楷體" w:hAnsi="標楷體"/>
          <w:color w:val="000000" w:themeColor="text1"/>
          <w:sz w:val="24"/>
        </w:rPr>
      </w:pPr>
      <w:r w:rsidRPr="00E224E9">
        <w:rPr>
          <w:rFonts w:ascii="標楷體" w:hAnsi="標楷體" w:hint="eastAsia"/>
          <w:color w:val="000000" w:themeColor="text1"/>
          <w:sz w:val="24"/>
        </w:rPr>
        <w:t>係指2~5欄的合計數</w:t>
      </w:r>
    </w:p>
    <w:p w14:paraId="67B6B9C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第7欄－國外投資土地帳面淨額</w:t>
      </w:r>
    </w:p>
    <w:p w14:paraId="6802F9BC" w14:textId="77777777" w:rsidR="00065C53" w:rsidRPr="00E224E9" w:rsidRDefault="00065C53">
      <w:pPr>
        <w:spacing w:line="440" w:lineRule="exact"/>
        <w:ind w:leftChars="276" w:left="718"/>
        <w:jc w:val="both"/>
        <w:rPr>
          <w:rFonts w:ascii="標楷體" w:hAnsi="標楷體"/>
          <w:dstrike/>
          <w:color w:val="000000" w:themeColor="text1"/>
          <w:sz w:val="24"/>
        </w:rPr>
      </w:pPr>
      <w:r w:rsidRPr="00E224E9">
        <w:rPr>
          <w:rFonts w:ascii="標楷體" w:hAnsi="標楷體" w:hint="eastAsia"/>
          <w:color w:val="000000" w:themeColor="text1"/>
          <w:sz w:val="24"/>
        </w:rPr>
        <w:t>指取得成本加重估增值扣除土地增值稅準備。</w:t>
      </w:r>
    </w:p>
    <w:p w14:paraId="5533A2B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第8欄－國外投資房屋帳面淨額</w:t>
      </w:r>
    </w:p>
    <w:p w14:paraId="38F57B1A" w14:textId="77777777" w:rsidR="00065C53" w:rsidRPr="00E224E9" w:rsidRDefault="00065C53">
      <w:pPr>
        <w:spacing w:line="440" w:lineRule="exact"/>
        <w:ind w:leftChars="276" w:left="718"/>
        <w:jc w:val="both"/>
        <w:rPr>
          <w:rFonts w:ascii="標楷體" w:hAnsi="標楷體"/>
          <w:dstrike/>
          <w:color w:val="000000" w:themeColor="text1"/>
          <w:sz w:val="24"/>
        </w:rPr>
      </w:pPr>
      <w:r w:rsidRPr="00E224E9">
        <w:rPr>
          <w:rFonts w:ascii="標楷體" w:hAnsi="標楷體" w:hint="eastAsia"/>
          <w:color w:val="000000" w:themeColor="text1"/>
          <w:sz w:val="24"/>
        </w:rPr>
        <w:t>指取得成本加重估增值扣除累計折舊。</w:t>
      </w:r>
    </w:p>
    <w:p w14:paraId="3C8078A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第9欄－國外投資地上權</w:t>
      </w:r>
    </w:p>
    <w:p w14:paraId="27A06659" w14:textId="77777777" w:rsidR="00065C53" w:rsidRPr="00E224E9" w:rsidRDefault="00065C53">
      <w:pPr>
        <w:spacing w:line="440" w:lineRule="exact"/>
        <w:ind w:leftChars="207" w:left="538" w:firstLineChars="69" w:firstLine="166"/>
        <w:jc w:val="both"/>
        <w:rPr>
          <w:rFonts w:ascii="標楷體" w:hAnsi="標楷體"/>
          <w:color w:val="000000" w:themeColor="text1"/>
          <w:sz w:val="24"/>
        </w:rPr>
      </w:pPr>
      <w:r w:rsidRPr="00E224E9">
        <w:rPr>
          <w:rFonts w:ascii="標楷體" w:hAnsi="標楷體" w:hint="eastAsia"/>
          <w:color w:val="000000" w:themeColor="text1"/>
          <w:sz w:val="24"/>
        </w:rPr>
        <w:t>指取得成本扣除累計折舊。</w:t>
      </w:r>
    </w:p>
    <w:p w14:paraId="4F831E1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第10欄－國外投資其他帳面淨額</w:t>
      </w:r>
    </w:p>
    <w:p w14:paraId="7426A701" w14:textId="77777777" w:rsidR="00065C53" w:rsidRPr="00E224E9" w:rsidRDefault="00065C53">
      <w:pPr>
        <w:spacing w:line="440" w:lineRule="exact"/>
        <w:ind w:firstLineChars="276" w:firstLine="662"/>
        <w:jc w:val="both"/>
        <w:rPr>
          <w:rFonts w:ascii="標楷體" w:hAnsi="標楷體"/>
          <w:color w:val="000000" w:themeColor="text1"/>
          <w:sz w:val="24"/>
        </w:rPr>
      </w:pPr>
      <w:r w:rsidRPr="00E224E9">
        <w:rPr>
          <w:rFonts w:ascii="標楷體" w:hAnsi="標楷體" w:hint="eastAsia"/>
          <w:color w:val="000000" w:themeColor="text1"/>
          <w:sz w:val="24"/>
        </w:rPr>
        <w:t>非列屬7~9欄之國內投資帳面淨額者</w:t>
      </w:r>
    </w:p>
    <w:p w14:paraId="09E1D03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第11欄－國外投資帳面淨額合計</w:t>
      </w:r>
    </w:p>
    <w:p w14:paraId="36FDBBC0" w14:textId="77777777" w:rsidR="00065C53" w:rsidRPr="00E224E9" w:rsidRDefault="00065C53">
      <w:pPr>
        <w:spacing w:line="440" w:lineRule="exact"/>
        <w:ind w:firstLineChars="276" w:firstLine="662"/>
        <w:jc w:val="both"/>
        <w:rPr>
          <w:rFonts w:ascii="標楷體" w:hAnsi="標楷體"/>
          <w:color w:val="000000" w:themeColor="text1"/>
          <w:sz w:val="24"/>
        </w:rPr>
      </w:pPr>
      <w:r w:rsidRPr="00E224E9">
        <w:rPr>
          <w:rFonts w:ascii="標楷體" w:hAnsi="標楷體" w:hint="eastAsia"/>
          <w:color w:val="000000" w:themeColor="text1"/>
          <w:sz w:val="24"/>
        </w:rPr>
        <w:t>係指7~10欄的合計數</w:t>
      </w:r>
    </w:p>
    <w:p w14:paraId="3F189290" w14:textId="77777777" w:rsidR="00065C53" w:rsidRPr="00E224E9" w:rsidRDefault="00065C53">
      <w:pPr>
        <w:spacing w:line="440" w:lineRule="exact"/>
        <w:jc w:val="both"/>
        <w:rPr>
          <w:rFonts w:ascii="標楷體" w:hAnsi="標楷體"/>
          <w:dstrike/>
          <w:color w:val="000000" w:themeColor="text1"/>
          <w:sz w:val="24"/>
        </w:rPr>
      </w:pPr>
      <w:r w:rsidRPr="00E224E9">
        <w:rPr>
          <w:rFonts w:ascii="標楷體" w:hAnsi="標楷體" w:hint="eastAsia"/>
          <w:color w:val="000000" w:themeColor="text1"/>
          <w:sz w:val="24"/>
        </w:rPr>
        <w:t>第12欄－國內外投資土地帳面淨額合計</w:t>
      </w:r>
    </w:p>
    <w:p w14:paraId="2CBB61A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為第2欄及第7欄金額加總。</w:t>
      </w:r>
    </w:p>
    <w:p w14:paraId="2B9EE8A4" w14:textId="77777777" w:rsidR="00065C53" w:rsidRPr="00E224E9" w:rsidRDefault="00065C53">
      <w:pPr>
        <w:spacing w:line="440" w:lineRule="exact"/>
        <w:ind w:left="662" w:hangingChars="276" w:hanging="662"/>
        <w:jc w:val="both"/>
        <w:rPr>
          <w:rFonts w:ascii="標楷體" w:hAnsi="標楷體"/>
          <w:color w:val="000000" w:themeColor="text1"/>
          <w:sz w:val="24"/>
        </w:rPr>
      </w:pPr>
      <w:r w:rsidRPr="00E224E9">
        <w:rPr>
          <w:rFonts w:ascii="標楷體" w:hAnsi="標楷體" w:hint="eastAsia"/>
          <w:color w:val="000000" w:themeColor="text1"/>
          <w:sz w:val="24"/>
        </w:rPr>
        <w:t>第13欄－國內外投資房屋帳面淨額合計</w:t>
      </w:r>
    </w:p>
    <w:p w14:paraId="0A4F974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為第3欄及第8欄金額加總。</w:t>
      </w:r>
    </w:p>
    <w:p w14:paraId="2A6C0F8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第14欄－國內外投資地上權合計</w:t>
      </w:r>
    </w:p>
    <w:p w14:paraId="0E9CB4D8" w14:textId="77777777" w:rsidR="00065C53" w:rsidRPr="00E224E9" w:rsidRDefault="00065C53">
      <w:pPr>
        <w:spacing w:line="440" w:lineRule="exact"/>
        <w:ind w:leftChars="276" w:left="718" w:firstLine="2"/>
        <w:jc w:val="both"/>
        <w:rPr>
          <w:rFonts w:ascii="標楷體" w:hAnsi="標楷體"/>
          <w:color w:val="000000" w:themeColor="text1"/>
          <w:sz w:val="24"/>
        </w:rPr>
      </w:pPr>
      <w:r w:rsidRPr="00E224E9">
        <w:rPr>
          <w:rFonts w:ascii="標楷體" w:hAnsi="標楷體" w:hint="eastAsia"/>
          <w:color w:val="000000" w:themeColor="text1"/>
          <w:sz w:val="24"/>
        </w:rPr>
        <w:t>為第4欄及第9欄金額加總。</w:t>
      </w:r>
    </w:p>
    <w:p w14:paraId="2CD26D2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第15欄－國內外投資其他淨額合計</w:t>
      </w:r>
    </w:p>
    <w:p w14:paraId="1FB345B8"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lastRenderedPageBreak/>
        <w:t>為第5欄及第10欄金額加總。</w:t>
      </w:r>
    </w:p>
    <w:p w14:paraId="3B866CA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第16欄－國內外投資合計淨額之合計</w:t>
      </w:r>
    </w:p>
    <w:p w14:paraId="2F03F19B"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為第6欄及第11欄金額加總。</w:t>
      </w:r>
    </w:p>
    <w:p w14:paraId="4558891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第17欄－國內外投資合計淨額占資金比率</w:t>
      </w:r>
    </w:p>
    <w:p w14:paraId="709049F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第18欄－國內外投資合計淨額占業主權益比率</w:t>
      </w:r>
    </w:p>
    <w:p w14:paraId="6A735AC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第19欄－國內</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稅後增值或稅後減少之金額</w:t>
      </w:r>
    </w:p>
    <w:p w14:paraId="666F804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第20欄－國外</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稅後增值或稅後減少之金額</w:t>
      </w:r>
    </w:p>
    <w:p w14:paraId="5E981B4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第21欄－國內外</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稅後增值或稅後減少之金額合計</w:t>
      </w:r>
    </w:p>
    <w:p w14:paraId="0C5B2838" w14:textId="77777777" w:rsidR="00065C53" w:rsidRPr="00E224E9" w:rsidRDefault="00065C53">
      <w:pPr>
        <w:spacing w:line="440" w:lineRule="exact"/>
        <w:jc w:val="both"/>
        <w:rPr>
          <w:rFonts w:ascii="標楷體" w:hAnsi="標楷體"/>
          <w:color w:val="000000" w:themeColor="text1"/>
          <w:sz w:val="24"/>
        </w:rPr>
      </w:pPr>
    </w:p>
    <w:p w14:paraId="2022B361" w14:textId="77777777" w:rsidR="00065C53" w:rsidRPr="00E224E9" w:rsidRDefault="00065C53">
      <w:pPr>
        <w:spacing w:line="440" w:lineRule="exact"/>
        <w:ind w:leftChars="208" w:left="704" w:hangingChars="68" w:hanging="163"/>
        <w:jc w:val="both"/>
        <w:rPr>
          <w:rFonts w:ascii="標楷體" w:hAnsi="標楷體"/>
          <w:color w:val="000000" w:themeColor="text1"/>
          <w:sz w:val="24"/>
        </w:rPr>
      </w:pPr>
      <w:r w:rsidRPr="00E224E9">
        <w:rPr>
          <w:rFonts w:ascii="標楷體" w:hAnsi="標楷體" w:hint="eastAsia"/>
          <w:color w:val="000000" w:themeColor="text1"/>
          <w:sz w:val="24"/>
        </w:rPr>
        <w:t>各項資產之列說明如下：</w:t>
      </w:r>
    </w:p>
    <w:p w14:paraId="6E484B34" w14:textId="77777777" w:rsidR="00065C53" w:rsidRPr="00E224E9" w:rsidRDefault="00065C53">
      <w:pPr>
        <w:spacing w:line="440" w:lineRule="exact"/>
        <w:ind w:leftChars="208" w:left="704" w:hangingChars="68" w:hanging="163"/>
        <w:jc w:val="both"/>
        <w:rPr>
          <w:rFonts w:ascii="標楷體" w:hAnsi="標楷體"/>
          <w:color w:val="000000" w:themeColor="text1"/>
          <w:sz w:val="24"/>
        </w:rPr>
      </w:pPr>
      <w:r w:rsidRPr="00E224E9">
        <w:rPr>
          <w:rFonts w:ascii="標楷體" w:hAnsi="標楷體" w:hint="eastAsia"/>
          <w:color w:val="000000" w:themeColor="text1"/>
          <w:sz w:val="24"/>
        </w:rPr>
        <w:t>茲將不動產區分為國內投資及國外投資等二大類：</w:t>
      </w:r>
    </w:p>
    <w:p w14:paraId="667A0838" w14:textId="77777777" w:rsidR="00065C53" w:rsidRPr="00E224E9" w:rsidRDefault="00065C53">
      <w:pPr>
        <w:spacing w:line="440" w:lineRule="exact"/>
        <w:ind w:left="718"/>
        <w:jc w:val="both"/>
        <w:rPr>
          <w:rFonts w:ascii="標楷體" w:hAnsi="標楷體"/>
          <w:dstrike/>
          <w:color w:val="000000" w:themeColor="text1"/>
          <w:sz w:val="24"/>
        </w:rPr>
      </w:pPr>
      <w:r w:rsidRPr="00E224E9">
        <w:rPr>
          <w:rFonts w:ascii="標楷體" w:hAnsi="標楷體" w:hint="eastAsia"/>
          <w:color w:val="000000" w:themeColor="text1"/>
          <w:sz w:val="24"/>
        </w:rPr>
        <w:t>國內外投資又區分為「自用不動產－國內」、「具收益性不動產投資－國內」、「其他</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－國內」、「承受擔保品－協議取得」、「承受擔保品－經法院拍賣取得」、「自用國外不動產－</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」、「自用國外不動產－</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」、「投資用國外不動產－</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」及「投資用國外不動產－</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」等九類。</w:t>
      </w:r>
    </w:p>
    <w:p w14:paraId="729A2FC5" w14:textId="77777777" w:rsidR="00065C53" w:rsidRPr="00E224E9" w:rsidRDefault="00065C53">
      <w:pPr>
        <w:spacing w:line="440" w:lineRule="exact"/>
        <w:ind w:left="718"/>
        <w:jc w:val="both"/>
        <w:rPr>
          <w:rFonts w:ascii="標楷體" w:hAnsi="標楷體"/>
          <w:dstrike/>
          <w:color w:val="000000" w:themeColor="text1"/>
          <w:sz w:val="24"/>
        </w:rPr>
      </w:pPr>
      <w:r w:rsidRPr="00E224E9">
        <w:rPr>
          <w:rFonts w:ascii="標楷體" w:hAnsi="標楷體" w:hint="eastAsia"/>
          <w:color w:val="000000" w:themeColor="text1"/>
          <w:sz w:val="24"/>
        </w:rPr>
        <w:t>至於五年內取自關係人之不動產乙類，係僅就公司所持國內外不動產中屬五年內取自關係人之不動產之使用情形另予歸類，並再予區分為具控制與從屬關係及非控制與從屬關係。</w:t>
      </w:r>
    </w:p>
    <w:p w14:paraId="20279A32"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主要列之說明如下：</w:t>
      </w:r>
    </w:p>
    <w:p w14:paraId="2A532CE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第1列－自用不動產－國內</w:t>
      </w:r>
    </w:p>
    <w:p w14:paraId="53EF8C36"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依其使用目的為自用者且座落於國內者，歸入「自用不動產－國內」項目中。預付房地款，於購置前已決定其使用目的為供營業使用者，經提報董事會決議者，歸入「自用不動產」項目中。</w:t>
      </w:r>
    </w:p>
    <w:p w14:paraId="27E2E71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第2列－具收益性不動產－國內</w:t>
      </w:r>
    </w:p>
    <w:p w14:paraId="46C7E6F2"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為具收益性不動產投資</w:t>
      </w:r>
    </w:p>
    <w:p w14:paraId="7DF3B55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第3列－其他</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－國內</w:t>
      </w:r>
    </w:p>
    <w:p w14:paraId="0980CC3C"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關於營造工程於營造前已決定其使用目的且經提報董事會決議者，其使用目的為投資用者歸入「其他</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」項目中。</w:t>
      </w:r>
    </w:p>
    <w:p w14:paraId="2D27D69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第4列－承受擔保品－協議取得</w:t>
      </w:r>
    </w:p>
    <w:p w14:paraId="6C5F3810"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「承受擔保品」項目，因考量承受擔保品過程之差異而影響風險程度，再細分為「協議取得」及「經法院拍賣取得」項目。</w:t>
      </w:r>
    </w:p>
    <w:p w14:paraId="1BF6B14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lastRenderedPageBreak/>
        <w:t>第5列－承受擔保品－經法院拍賣取得</w:t>
      </w:r>
    </w:p>
    <w:p w14:paraId="61FBC72F" w14:textId="77777777" w:rsidR="00065C53" w:rsidRPr="00E224E9" w:rsidRDefault="00065C53">
      <w:pPr>
        <w:spacing w:line="440" w:lineRule="exact"/>
        <w:ind w:leftChars="276" w:left="720" w:hanging="2"/>
        <w:jc w:val="both"/>
        <w:rPr>
          <w:rFonts w:ascii="標楷體" w:hAnsi="標楷體"/>
          <w:color w:val="000000" w:themeColor="text1"/>
          <w:sz w:val="24"/>
        </w:rPr>
      </w:pPr>
      <w:r w:rsidRPr="00E224E9">
        <w:rPr>
          <w:rFonts w:ascii="標楷體" w:hAnsi="標楷體" w:hint="eastAsia"/>
          <w:color w:val="000000" w:themeColor="text1"/>
          <w:sz w:val="24"/>
        </w:rPr>
        <w:t>「承受擔保品」項目，因考量承受擔保品過程之差異而影響風險程度，再細分為「協議取得」及「經法院拍賣取得」項目。</w:t>
      </w:r>
    </w:p>
    <w:p w14:paraId="1315407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第6列－2、3、4、5列之各列加總金額。</w:t>
      </w:r>
    </w:p>
    <w:p w14:paraId="3157391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第7列－1、6列之各列加總金額。</w:t>
      </w:r>
    </w:p>
    <w:p w14:paraId="7A36576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第8、9列－國外自用不動產－</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暨</w:t>
      </w:r>
      <w:r w:rsidR="003E0C1B" w:rsidRPr="00E224E9">
        <w:rPr>
          <w:rFonts w:ascii="Book Antiqua" w:hAnsi="標楷體" w:hint="eastAsia"/>
          <w:color w:val="000000" w:themeColor="text1"/>
          <w:sz w:val="24"/>
        </w:rPr>
        <w:t>新興市場</w:t>
      </w:r>
    </w:p>
    <w:p w14:paraId="11C537FC" w14:textId="77777777" w:rsidR="00065C53" w:rsidRPr="00E224E9" w:rsidRDefault="00065C53">
      <w:pPr>
        <w:spacing w:line="440" w:lineRule="exact"/>
        <w:ind w:leftChars="276" w:left="720" w:hanging="2"/>
        <w:jc w:val="both"/>
        <w:rPr>
          <w:rFonts w:ascii="標楷體" w:hAnsi="標楷體"/>
          <w:color w:val="000000" w:themeColor="text1"/>
          <w:sz w:val="24"/>
        </w:rPr>
      </w:pPr>
      <w:r w:rsidRPr="00E224E9">
        <w:rPr>
          <w:rFonts w:ascii="標楷體" w:hAnsi="標楷體" w:hint="eastAsia"/>
          <w:color w:val="000000" w:themeColor="text1"/>
          <w:sz w:val="24"/>
        </w:rPr>
        <w:t>依其座落之位置位於國外者，歸類於「國外不動產」項目，再細分為「國外不動產－</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」及「國外不動產－</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」兩項目。</w:t>
      </w:r>
    </w:p>
    <w:p w14:paraId="56017F5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第10列－8、9列之各列加總金額。</w:t>
      </w:r>
    </w:p>
    <w:p w14:paraId="127FCAD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第11、12列－國外</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暨</w:t>
      </w:r>
      <w:r w:rsidR="003E0C1B" w:rsidRPr="00E224E9">
        <w:rPr>
          <w:rFonts w:ascii="Book Antiqua" w:hAnsi="標楷體" w:hint="eastAsia"/>
          <w:color w:val="000000" w:themeColor="text1"/>
          <w:sz w:val="24"/>
        </w:rPr>
        <w:t>新興市場</w:t>
      </w:r>
    </w:p>
    <w:p w14:paraId="4B95221F" w14:textId="77777777" w:rsidR="00065C53" w:rsidRPr="00E224E9" w:rsidRDefault="00065C53">
      <w:pPr>
        <w:spacing w:line="440" w:lineRule="exact"/>
        <w:ind w:leftChars="276" w:left="720" w:hanging="2"/>
        <w:jc w:val="both"/>
        <w:rPr>
          <w:rFonts w:ascii="標楷體" w:hAnsi="標楷體"/>
          <w:color w:val="000000" w:themeColor="text1"/>
          <w:sz w:val="24"/>
        </w:rPr>
      </w:pPr>
      <w:r w:rsidRPr="00E224E9">
        <w:rPr>
          <w:rFonts w:ascii="標楷體" w:hAnsi="標楷體" w:hint="eastAsia"/>
          <w:color w:val="000000" w:themeColor="text1"/>
          <w:sz w:val="24"/>
        </w:rPr>
        <w:t>依其座落之位置位於國外者，歸類於「國外不動產」項目，再細分為「國外不動產－</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」及「國外不動產－</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」兩項目。</w:t>
      </w:r>
    </w:p>
    <w:p w14:paraId="334AE9D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第13列－11、12列之各列加總金額。</w:t>
      </w:r>
    </w:p>
    <w:p w14:paraId="5BF88F4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第14列－10、13列之各列加總金額。</w:t>
      </w:r>
    </w:p>
    <w:p w14:paraId="699D71E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第15~16列－五年內取自關係人之不動產具控制與從屬關係者</w:t>
      </w:r>
    </w:p>
    <w:p w14:paraId="5827A65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第17~18列－五年內取自關係人之不動產非控制與從屬關係者</w:t>
      </w:r>
    </w:p>
    <w:p w14:paraId="04249E3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第19列－15、16、17、18列之各列加總金額。</w:t>
      </w:r>
    </w:p>
    <w:p w14:paraId="0BD6523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第20列－1、10列之加總金額。</w:t>
      </w:r>
    </w:p>
    <w:p w14:paraId="381CBE3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第21列－6、13列之加總金額。</w:t>
      </w:r>
    </w:p>
    <w:p w14:paraId="41BAA46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第22列－19、20、21列之加總金額。</w:t>
      </w:r>
    </w:p>
    <w:p w14:paraId="30416AB1" w14:textId="77777777" w:rsidR="0048236E" w:rsidRPr="00E224E9" w:rsidRDefault="00065C53" w:rsidP="009030AE">
      <w:pPr>
        <w:pStyle w:val="1"/>
        <w:spacing w:after="120"/>
        <w:rPr>
          <w:color w:val="000000" w:themeColor="text1"/>
        </w:rPr>
      </w:pPr>
      <w:r w:rsidRPr="00E224E9">
        <w:rPr>
          <w:b w:val="0"/>
          <w:bCs w:val="0"/>
          <w:color w:val="000000" w:themeColor="text1"/>
          <w:sz w:val="26"/>
          <w:szCs w:val="24"/>
        </w:rPr>
        <w:br w:type="page"/>
      </w:r>
      <w:bookmarkStart w:id="69" w:name="_Toc219262235"/>
    </w:p>
    <w:p w14:paraId="58A6E463" w14:textId="77777777" w:rsidR="009030AE" w:rsidRPr="00E224E9" w:rsidRDefault="009030AE" w:rsidP="009030AE">
      <w:pPr>
        <w:pStyle w:val="1"/>
        <w:spacing w:after="120"/>
        <w:rPr>
          <w:color w:val="000000" w:themeColor="text1"/>
        </w:rPr>
      </w:pPr>
      <w:bookmarkStart w:id="70" w:name="_Toc200468528"/>
      <w:r w:rsidRPr="00E224E9">
        <w:rPr>
          <w:color w:val="000000" w:themeColor="text1"/>
        </w:rPr>
        <w:lastRenderedPageBreak/>
        <w:t>表</w:t>
      </w:r>
      <w:r w:rsidRPr="00E224E9">
        <w:rPr>
          <w:rFonts w:hint="eastAsia"/>
          <w:color w:val="000000" w:themeColor="text1"/>
        </w:rPr>
        <w:t>13-4：國外及大陸地區不動產投資情形明細表</w:t>
      </w:r>
      <w:bookmarkEnd w:id="70"/>
    </w:p>
    <w:p w14:paraId="15948CE0" w14:textId="77777777" w:rsidR="009030AE" w:rsidRPr="00E224E9" w:rsidRDefault="009030AE" w:rsidP="009030AE">
      <w:pPr>
        <w:rPr>
          <w:rFonts w:ascii="Book Antiqua" w:hAnsi="Book Antiqua"/>
          <w:color w:val="000000" w:themeColor="text1"/>
        </w:rPr>
      </w:pPr>
    </w:p>
    <w:p w14:paraId="7EED17DB" w14:textId="77777777" w:rsidR="009030AE" w:rsidRPr="00E224E9" w:rsidRDefault="009030AE" w:rsidP="00664571">
      <w:pPr>
        <w:ind w:firstLineChars="199" w:firstLine="478"/>
        <w:rPr>
          <w:rFonts w:ascii="Book Antiqua" w:hAnsi="Book Antiqua"/>
          <w:color w:val="000000" w:themeColor="text1"/>
          <w:sz w:val="24"/>
        </w:rPr>
      </w:pPr>
      <w:r w:rsidRPr="00E224E9">
        <w:rPr>
          <w:rFonts w:ascii="Book Antiqua" w:hAnsi="Book Antiqua"/>
          <w:color w:val="000000" w:themeColor="text1"/>
          <w:sz w:val="24"/>
        </w:rPr>
        <w:t>本表填列的目的在於</w:t>
      </w:r>
      <w:r w:rsidRPr="00E224E9">
        <w:rPr>
          <w:rFonts w:ascii="Book Antiqua" w:hAnsi="Book Antiqua" w:hint="eastAsia"/>
          <w:color w:val="000000" w:themeColor="text1"/>
          <w:sz w:val="24"/>
        </w:rPr>
        <w:t>統計</w:t>
      </w:r>
      <w:r w:rsidR="00F30222" w:rsidRPr="00E224E9">
        <w:rPr>
          <w:rFonts w:ascii="Book Antiqua" w:hAnsi="Book Antiqua"/>
          <w:color w:val="000000" w:themeColor="text1"/>
          <w:sz w:val="24"/>
        </w:rPr>
        <w:t>人</w:t>
      </w:r>
      <w:r w:rsidR="00F30222" w:rsidRPr="00E224E9">
        <w:rPr>
          <w:rFonts w:ascii="Book Antiqua" w:hAnsi="Book Antiqua" w:hint="eastAsia"/>
          <w:color w:val="000000" w:themeColor="text1"/>
          <w:sz w:val="24"/>
        </w:rPr>
        <w:t>身</w:t>
      </w:r>
      <w:r w:rsidRPr="00E224E9">
        <w:rPr>
          <w:rFonts w:ascii="Book Antiqua" w:hAnsi="Book Antiqua"/>
          <w:color w:val="000000" w:themeColor="text1"/>
          <w:sz w:val="24"/>
        </w:rPr>
        <w:t>保險業</w:t>
      </w:r>
      <w:r w:rsidRPr="00E224E9">
        <w:rPr>
          <w:rFonts w:ascii="Book Antiqua" w:hAnsi="Book Antiqua" w:hint="eastAsia"/>
          <w:color w:val="000000" w:themeColor="text1"/>
          <w:sz w:val="24"/>
        </w:rPr>
        <w:t>依保險業辦理國外投資管理辦法第十一條至第十一</w:t>
      </w:r>
      <w:r w:rsidR="0010643A" w:rsidRPr="00E224E9">
        <w:rPr>
          <w:rFonts w:ascii="Book Antiqua" w:hAnsi="Book Antiqua" w:hint="eastAsia"/>
          <w:color w:val="000000" w:themeColor="text1"/>
          <w:sz w:val="24"/>
        </w:rPr>
        <w:t>條</w:t>
      </w:r>
      <w:r w:rsidRPr="00E224E9">
        <w:rPr>
          <w:rFonts w:ascii="Book Antiqua" w:hAnsi="Book Antiqua" w:hint="eastAsia"/>
          <w:color w:val="000000" w:themeColor="text1"/>
          <w:sz w:val="24"/>
        </w:rPr>
        <w:t>之三從事國外及大陸地區不動產之投資</w:t>
      </w:r>
      <w:r w:rsidRPr="00E224E9">
        <w:rPr>
          <w:rFonts w:ascii="Book Antiqua" w:hAnsi="Book Antiqua"/>
          <w:color w:val="000000" w:themeColor="text1"/>
          <w:sz w:val="24"/>
        </w:rPr>
        <w:t>情形。</w:t>
      </w:r>
    </w:p>
    <w:p w14:paraId="68B92C62" w14:textId="77777777" w:rsidR="009030AE" w:rsidRPr="00E224E9" w:rsidRDefault="009030AE" w:rsidP="009030AE">
      <w:pPr>
        <w:spacing w:line="440" w:lineRule="exact"/>
        <w:ind w:firstLineChars="207" w:firstLine="497"/>
        <w:jc w:val="both"/>
        <w:rPr>
          <w:rFonts w:ascii="Book Antiqua" w:hAnsi="Book Antiqua"/>
          <w:color w:val="000000" w:themeColor="text1"/>
          <w:sz w:val="24"/>
        </w:rPr>
      </w:pPr>
      <w:r w:rsidRPr="00E224E9">
        <w:rPr>
          <w:rFonts w:ascii="Book Antiqua" w:hAnsi="Book Antiqua" w:hint="eastAsia"/>
          <w:color w:val="000000" w:themeColor="text1"/>
          <w:sz w:val="24"/>
        </w:rPr>
        <w:t>主要</w:t>
      </w:r>
      <w:r w:rsidRPr="00E224E9">
        <w:rPr>
          <w:rFonts w:ascii="Book Antiqua" w:hAnsi="Book Antiqua"/>
          <w:color w:val="000000" w:themeColor="text1"/>
          <w:sz w:val="24"/>
        </w:rPr>
        <w:t>欄位說明如下：</w:t>
      </w:r>
    </w:p>
    <w:p w14:paraId="22E8A74F" w14:textId="77777777" w:rsidR="009030AE" w:rsidRPr="00E224E9" w:rsidRDefault="009030AE" w:rsidP="009030AE">
      <w:pPr>
        <w:tabs>
          <w:tab w:val="left" w:pos="7093"/>
        </w:tabs>
        <w:spacing w:afterLines="50" w:after="120"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4</w:t>
      </w:r>
      <w:r w:rsidRPr="00E224E9">
        <w:rPr>
          <w:rFonts w:ascii="Book Antiqua" w:hAnsi="Book Antiqua"/>
          <w:color w:val="000000" w:themeColor="text1"/>
          <w:sz w:val="24"/>
        </w:rPr>
        <w:t>欄－種類</w:t>
      </w:r>
    </w:p>
    <w:p w14:paraId="52675744" w14:textId="77777777" w:rsidR="009030AE" w:rsidRPr="00E224E9" w:rsidRDefault="009030AE" w:rsidP="009030AE">
      <w:pPr>
        <w:ind w:leftChars="184" w:left="478"/>
        <w:rPr>
          <w:rFonts w:ascii="Book Antiqua" w:hAnsi="Book Antiqua"/>
          <w:b/>
          <w:bCs/>
          <w:color w:val="000000" w:themeColor="text1"/>
          <w:sz w:val="24"/>
        </w:rPr>
      </w:pPr>
      <w:r w:rsidRPr="00E224E9">
        <w:rPr>
          <w:rFonts w:ascii="Book Antiqua" w:hAnsi="Book Antiqua"/>
          <w:color w:val="000000" w:themeColor="text1"/>
          <w:sz w:val="24"/>
        </w:rPr>
        <w:t>係指每一</w:t>
      </w:r>
      <w:r w:rsidRPr="00E224E9">
        <w:rPr>
          <w:rFonts w:ascii="Book Antiqua" w:hAnsi="Book Antiqua" w:hint="eastAsia"/>
          <w:color w:val="000000" w:themeColor="text1"/>
          <w:sz w:val="24"/>
        </w:rPr>
        <w:t>國外</w:t>
      </w:r>
      <w:r w:rsidRPr="00E224E9">
        <w:rPr>
          <w:rFonts w:ascii="Book Antiqua" w:hAnsi="Book Antiqua"/>
          <w:color w:val="000000" w:themeColor="text1"/>
          <w:sz w:val="24"/>
        </w:rPr>
        <w:t>不動產對應之種類。種類請依序填列代號</w:t>
      </w:r>
      <w:r w:rsidRPr="00E224E9">
        <w:rPr>
          <w:rFonts w:ascii="Book Antiqua" w:hAnsi="Book Antiqua"/>
          <w:color w:val="000000" w:themeColor="text1"/>
          <w:sz w:val="24"/>
        </w:rPr>
        <w:t>(A</w:t>
      </w:r>
      <w:r w:rsidRPr="00E224E9">
        <w:rPr>
          <w:rFonts w:ascii="Book Antiqua" w:hAnsi="Book Antiqua"/>
          <w:color w:val="000000" w:themeColor="text1"/>
          <w:sz w:val="24"/>
        </w:rPr>
        <w:t>、</w:t>
      </w:r>
      <w:r w:rsidRPr="00E224E9">
        <w:rPr>
          <w:rFonts w:ascii="Book Antiqua" w:hAnsi="Book Antiqua"/>
          <w:color w:val="000000" w:themeColor="text1"/>
          <w:sz w:val="24"/>
        </w:rPr>
        <w:t>B</w:t>
      </w:r>
      <w:r w:rsidRPr="00E224E9">
        <w:rPr>
          <w:rFonts w:ascii="Book Antiqua" w:hAnsi="Book Antiqua"/>
          <w:color w:val="000000" w:themeColor="text1"/>
          <w:sz w:val="24"/>
        </w:rPr>
        <w:t>、</w:t>
      </w:r>
      <w:r w:rsidRPr="00E224E9">
        <w:rPr>
          <w:rFonts w:ascii="Book Antiqua" w:hAnsi="Book Antiqua"/>
          <w:color w:val="000000" w:themeColor="text1"/>
          <w:sz w:val="24"/>
        </w:rPr>
        <w:t>C</w:t>
      </w:r>
      <w:r w:rsidRPr="00E224E9">
        <w:rPr>
          <w:rFonts w:ascii="Book Antiqua" w:hAnsi="Book Antiqua"/>
          <w:color w:val="000000" w:themeColor="text1"/>
          <w:sz w:val="24"/>
        </w:rPr>
        <w:t>、</w:t>
      </w:r>
      <w:r w:rsidRPr="00E224E9">
        <w:rPr>
          <w:rFonts w:ascii="Book Antiqua" w:hAnsi="Book Antiqua"/>
          <w:color w:val="000000" w:themeColor="text1"/>
          <w:sz w:val="24"/>
        </w:rPr>
        <w:t>D</w:t>
      </w:r>
      <w:r w:rsidRPr="00E224E9">
        <w:rPr>
          <w:rFonts w:ascii="Book Antiqua" w:hAnsi="Book Antiqua"/>
          <w:color w:val="000000" w:themeColor="text1"/>
          <w:sz w:val="24"/>
        </w:rPr>
        <w:t>、</w:t>
      </w:r>
      <w:r w:rsidRPr="00E224E9">
        <w:rPr>
          <w:rFonts w:ascii="Book Antiqua" w:hAnsi="Book Antiqua"/>
          <w:color w:val="000000" w:themeColor="text1"/>
          <w:sz w:val="24"/>
        </w:rPr>
        <w:t>E)</w:t>
      </w:r>
      <w:r w:rsidRPr="00E224E9">
        <w:rPr>
          <w:rFonts w:ascii="Book Antiqua" w:hAnsi="Book Antiqua"/>
          <w:color w:val="000000" w:themeColor="text1"/>
          <w:sz w:val="24"/>
        </w:rPr>
        <w:t>即可。如</w:t>
      </w:r>
      <w:r w:rsidRPr="00E224E9">
        <w:rPr>
          <w:rFonts w:ascii="Book Antiqua" w:hAnsi="Book Antiqua"/>
          <w:color w:val="000000" w:themeColor="text1"/>
          <w:sz w:val="24"/>
        </w:rPr>
        <w:t>A.</w:t>
      </w:r>
      <w:r w:rsidRPr="00E224E9">
        <w:rPr>
          <w:rFonts w:ascii="Book Antiqua" w:hAnsi="Book Antiqua"/>
          <w:color w:val="000000" w:themeColor="text1"/>
          <w:sz w:val="24"/>
        </w:rPr>
        <w:t>土地、</w:t>
      </w:r>
      <w:r w:rsidRPr="00E224E9">
        <w:rPr>
          <w:rFonts w:ascii="Book Antiqua" w:hAnsi="Book Antiqua"/>
          <w:color w:val="000000" w:themeColor="text1"/>
          <w:sz w:val="24"/>
        </w:rPr>
        <w:t>B.</w:t>
      </w:r>
      <w:r w:rsidRPr="00E224E9">
        <w:rPr>
          <w:rFonts w:ascii="Book Antiqua" w:hAnsi="Book Antiqua"/>
          <w:color w:val="000000" w:themeColor="text1"/>
          <w:sz w:val="24"/>
        </w:rPr>
        <w:t>房屋、</w:t>
      </w:r>
      <w:r w:rsidRPr="00E224E9">
        <w:rPr>
          <w:rFonts w:ascii="Book Antiqua" w:hAnsi="Book Antiqua"/>
          <w:color w:val="000000" w:themeColor="text1"/>
          <w:sz w:val="24"/>
        </w:rPr>
        <w:t>C.</w:t>
      </w:r>
      <w:r w:rsidR="006D57D0" w:rsidRPr="00E224E9">
        <w:rPr>
          <w:rFonts w:ascii="Book Antiqua" w:hAnsi="Book Antiqua"/>
          <w:color w:val="000000" w:themeColor="text1"/>
          <w:sz w:val="24"/>
        </w:rPr>
        <w:t xml:space="preserve"> </w:t>
      </w:r>
      <w:r w:rsidR="006D57D0" w:rsidRPr="00E224E9">
        <w:rPr>
          <w:rFonts w:ascii="Book Antiqua" w:hAnsi="Book Antiqua"/>
          <w:color w:val="000000" w:themeColor="text1"/>
          <w:sz w:val="24"/>
        </w:rPr>
        <w:t>預付房地款</w:t>
      </w:r>
      <w:r w:rsidRPr="00E224E9">
        <w:rPr>
          <w:rFonts w:ascii="Book Antiqua" w:hAnsi="Book Antiqua"/>
          <w:color w:val="000000" w:themeColor="text1"/>
          <w:sz w:val="24"/>
        </w:rPr>
        <w:t>、</w:t>
      </w:r>
      <w:r w:rsidRPr="00E224E9">
        <w:rPr>
          <w:rFonts w:ascii="Book Antiqua" w:hAnsi="Book Antiqua"/>
          <w:color w:val="000000" w:themeColor="text1"/>
          <w:sz w:val="24"/>
        </w:rPr>
        <w:t>D.</w:t>
      </w:r>
      <w:r w:rsidR="006D57D0" w:rsidRPr="00E224E9">
        <w:rPr>
          <w:rFonts w:ascii="Book Antiqua" w:hAnsi="Book Antiqua" w:hint="eastAsia"/>
          <w:color w:val="000000" w:themeColor="text1"/>
          <w:sz w:val="24"/>
        </w:rPr>
        <w:t xml:space="preserve"> </w:t>
      </w:r>
      <w:r w:rsidR="006D57D0" w:rsidRPr="00E224E9">
        <w:rPr>
          <w:rFonts w:ascii="Book Antiqua" w:hAnsi="Book Antiqua" w:hint="eastAsia"/>
          <w:color w:val="000000" w:themeColor="text1"/>
          <w:sz w:val="24"/>
        </w:rPr>
        <w:t>投資特定目的事業預付款</w:t>
      </w:r>
      <w:r w:rsidRPr="00E224E9">
        <w:rPr>
          <w:rFonts w:ascii="Book Antiqua" w:hAnsi="Book Antiqua"/>
          <w:color w:val="000000" w:themeColor="text1"/>
          <w:sz w:val="24"/>
        </w:rPr>
        <w:t>、</w:t>
      </w:r>
      <w:r w:rsidRPr="00E224E9">
        <w:rPr>
          <w:rFonts w:ascii="Book Antiqua" w:hAnsi="Book Antiqua"/>
          <w:color w:val="000000" w:themeColor="text1"/>
          <w:sz w:val="24"/>
        </w:rPr>
        <w:t>E.</w:t>
      </w:r>
      <w:r w:rsidRPr="00E224E9">
        <w:rPr>
          <w:rFonts w:ascii="Book Antiqua" w:hAnsi="Book Antiqua" w:hint="eastAsia"/>
          <w:color w:val="000000" w:themeColor="text1"/>
          <w:sz w:val="24"/>
        </w:rPr>
        <w:t>其他</w:t>
      </w:r>
      <w:r w:rsidRPr="00E224E9">
        <w:rPr>
          <w:rFonts w:ascii="Book Antiqua" w:hAnsi="Book Antiqua"/>
          <w:color w:val="000000" w:themeColor="text1"/>
          <w:sz w:val="24"/>
        </w:rPr>
        <w:t>。</w:t>
      </w:r>
    </w:p>
    <w:p w14:paraId="618BB62D" w14:textId="77777777" w:rsidR="009030AE" w:rsidRPr="00E224E9" w:rsidRDefault="009030AE" w:rsidP="009030AE">
      <w:pPr>
        <w:tabs>
          <w:tab w:val="left" w:pos="7093"/>
        </w:tabs>
        <w:spacing w:afterLines="50" w:after="120"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5</w:t>
      </w:r>
      <w:r w:rsidRPr="00E224E9">
        <w:rPr>
          <w:rFonts w:ascii="Book Antiqua" w:hAnsi="Book Antiqua"/>
          <w:color w:val="000000" w:themeColor="text1"/>
          <w:sz w:val="24"/>
        </w:rPr>
        <w:t>欄－取得年月日</w:t>
      </w:r>
      <w:r w:rsidRPr="00E224E9">
        <w:rPr>
          <w:rFonts w:ascii="Book Antiqua" w:hAnsi="Book Antiqua"/>
          <w:color w:val="000000" w:themeColor="text1"/>
          <w:sz w:val="24"/>
        </w:rPr>
        <w:t>(</w:t>
      </w:r>
      <w:r w:rsidRPr="00E224E9">
        <w:rPr>
          <w:rFonts w:ascii="Book Antiqua" w:hAnsi="Book Antiqua"/>
          <w:color w:val="000000" w:themeColor="text1"/>
          <w:sz w:val="24"/>
        </w:rPr>
        <w:t>主排序</w:t>
      </w:r>
      <w:r w:rsidRPr="00E224E9">
        <w:rPr>
          <w:rFonts w:ascii="Book Antiqua" w:hAnsi="Book Antiqua"/>
          <w:color w:val="000000" w:themeColor="text1"/>
          <w:sz w:val="24"/>
        </w:rPr>
        <w:t>-</w:t>
      </w:r>
      <w:r w:rsidRPr="00E224E9">
        <w:rPr>
          <w:rFonts w:ascii="Book Antiqua" w:hAnsi="Book Antiqua"/>
          <w:color w:val="000000" w:themeColor="text1"/>
          <w:sz w:val="24"/>
        </w:rPr>
        <w:t>遞減</w:t>
      </w:r>
      <w:r w:rsidRPr="00E224E9">
        <w:rPr>
          <w:rFonts w:ascii="Book Antiqua" w:hAnsi="Book Antiqua"/>
          <w:color w:val="000000" w:themeColor="text1"/>
          <w:sz w:val="24"/>
        </w:rPr>
        <w:t>)</w:t>
      </w:r>
    </w:p>
    <w:p w14:paraId="47D8BA75" w14:textId="77777777" w:rsidR="009030AE" w:rsidRPr="00E224E9" w:rsidRDefault="009030AE" w:rsidP="009030AE">
      <w:pPr>
        <w:ind w:leftChars="184" w:left="478"/>
        <w:rPr>
          <w:rFonts w:ascii="Book Antiqua" w:hAnsi="Book Antiqua"/>
          <w:color w:val="000000" w:themeColor="text1"/>
          <w:sz w:val="24"/>
        </w:rPr>
      </w:pPr>
      <w:r w:rsidRPr="00E224E9">
        <w:rPr>
          <w:rFonts w:ascii="Book Antiqua" w:hAnsi="Book Antiqua"/>
          <w:color w:val="000000" w:themeColor="text1"/>
          <w:sz w:val="24"/>
        </w:rPr>
        <w:t>係指每一</w:t>
      </w:r>
      <w:r w:rsidRPr="00E224E9">
        <w:rPr>
          <w:rFonts w:ascii="Book Antiqua" w:hAnsi="Book Antiqua" w:hint="eastAsia"/>
          <w:color w:val="000000" w:themeColor="text1"/>
          <w:sz w:val="24"/>
        </w:rPr>
        <w:t>國外</w:t>
      </w:r>
      <w:r w:rsidRPr="00E224E9">
        <w:rPr>
          <w:rFonts w:ascii="Book Antiqua" w:hAnsi="Book Antiqua"/>
          <w:color w:val="000000" w:themeColor="text1"/>
          <w:sz w:val="24"/>
        </w:rPr>
        <w:t>不動產對應之取得年月日，並以主排序</w:t>
      </w:r>
      <w:r w:rsidRPr="00E224E9">
        <w:rPr>
          <w:rFonts w:ascii="Book Antiqua" w:hAnsi="Book Antiqua"/>
          <w:color w:val="000000" w:themeColor="text1"/>
          <w:sz w:val="24"/>
        </w:rPr>
        <w:t>-</w:t>
      </w:r>
      <w:r w:rsidRPr="00E224E9">
        <w:rPr>
          <w:rFonts w:ascii="Book Antiqua" w:hAnsi="Book Antiqua"/>
          <w:color w:val="000000" w:themeColor="text1"/>
          <w:sz w:val="24"/>
        </w:rPr>
        <w:t>遞減。所稱取得年月日，係指以權狀登記日為準。其填寫方式如</w:t>
      </w:r>
      <w:r w:rsidRPr="00E224E9">
        <w:rPr>
          <w:rFonts w:ascii="Book Antiqua" w:hAnsi="Book Antiqua"/>
          <w:color w:val="000000" w:themeColor="text1"/>
          <w:sz w:val="24"/>
        </w:rPr>
        <w:t>2005/06/25</w:t>
      </w:r>
      <w:r w:rsidRPr="00E224E9">
        <w:rPr>
          <w:rFonts w:ascii="Book Antiqua" w:hAnsi="Book Antiqua"/>
          <w:color w:val="000000" w:themeColor="text1"/>
          <w:sz w:val="24"/>
        </w:rPr>
        <w:t>。</w:t>
      </w:r>
    </w:p>
    <w:p w14:paraId="6075F9BC" w14:textId="77777777" w:rsidR="009030AE" w:rsidRPr="00E224E9" w:rsidRDefault="009030AE" w:rsidP="009030AE">
      <w:pPr>
        <w:tabs>
          <w:tab w:val="left" w:pos="7093"/>
        </w:tabs>
        <w:spacing w:afterLines="50" w:after="120"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6</w:t>
      </w:r>
      <w:r w:rsidRPr="00E224E9">
        <w:rPr>
          <w:rFonts w:ascii="Book Antiqua" w:hAnsi="Book Antiqua"/>
          <w:color w:val="000000" w:themeColor="text1"/>
          <w:sz w:val="24"/>
        </w:rPr>
        <w:t>欄－使用種類</w:t>
      </w:r>
      <w:r w:rsidRPr="00E224E9">
        <w:rPr>
          <w:rFonts w:ascii="Book Antiqua" w:hAnsi="Book Antiqua"/>
          <w:color w:val="000000" w:themeColor="text1"/>
          <w:sz w:val="24"/>
        </w:rPr>
        <w:tab/>
      </w:r>
    </w:p>
    <w:p w14:paraId="28FA9C55" w14:textId="77777777" w:rsidR="009030AE" w:rsidRPr="00E224E9" w:rsidRDefault="009030AE" w:rsidP="009030AE">
      <w:pPr>
        <w:ind w:leftChars="184" w:left="478"/>
        <w:rPr>
          <w:rFonts w:ascii="Book Antiqua" w:hAnsi="Book Antiqua"/>
          <w:color w:val="000000" w:themeColor="text1"/>
          <w:sz w:val="24"/>
        </w:rPr>
      </w:pPr>
      <w:r w:rsidRPr="00E224E9">
        <w:rPr>
          <w:rFonts w:ascii="Book Antiqua" w:hAnsi="Book Antiqua"/>
          <w:color w:val="000000" w:themeColor="text1"/>
          <w:sz w:val="24"/>
        </w:rPr>
        <w:t>係指每一</w:t>
      </w:r>
      <w:r w:rsidRPr="00E224E9">
        <w:rPr>
          <w:rFonts w:ascii="Book Antiqua" w:hAnsi="Book Antiqua" w:hint="eastAsia"/>
          <w:color w:val="000000" w:themeColor="text1"/>
          <w:sz w:val="24"/>
        </w:rPr>
        <w:t>國外</w:t>
      </w:r>
      <w:r w:rsidRPr="00E224E9">
        <w:rPr>
          <w:rFonts w:ascii="Book Antiqua" w:hAnsi="Book Antiqua"/>
          <w:color w:val="000000" w:themeColor="text1"/>
          <w:sz w:val="24"/>
        </w:rPr>
        <w:t>不動產對應之使用種類。所稱使用種類請依序填列代號</w:t>
      </w:r>
      <w:r w:rsidRPr="00E224E9">
        <w:rPr>
          <w:rFonts w:ascii="Book Antiqua" w:hAnsi="Book Antiqua"/>
          <w:color w:val="000000" w:themeColor="text1"/>
          <w:sz w:val="24"/>
        </w:rPr>
        <w:t>(A</w:t>
      </w:r>
      <w:r w:rsidRPr="00E224E9">
        <w:rPr>
          <w:rFonts w:ascii="Book Antiqua" w:hAnsi="Book Antiqua"/>
          <w:color w:val="000000" w:themeColor="text1"/>
          <w:sz w:val="24"/>
        </w:rPr>
        <w:t>、</w:t>
      </w:r>
      <w:r w:rsidRPr="00E224E9">
        <w:rPr>
          <w:rFonts w:ascii="Book Antiqua" w:hAnsi="Book Antiqua"/>
          <w:color w:val="000000" w:themeColor="text1"/>
          <w:sz w:val="24"/>
        </w:rPr>
        <w:t>B</w:t>
      </w:r>
      <w:r w:rsidRPr="00E224E9">
        <w:rPr>
          <w:rFonts w:ascii="Book Antiqua" w:hAnsi="Book Antiqua"/>
          <w:color w:val="000000" w:themeColor="text1"/>
          <w:sz w:val="24"/>
        </w:rPr>
        <w:t>、</w:t>
      </w:r>
      <w:r w:rsidRPr="00E224E9">
        <w:rPr>
          <w:rFonts w:ascii="Book Antiqua" w:hAnsi="Book Antiqua"/>
          <w:color w:val="000000" w:themeColor="text1"/>
          <w:sz w:val="24"/>
        </w:rPr>
        <w:t>C)</w:t>
      </w:r>
      <w:r w:rsidRPr="00E224E9">
        <w:rPr>
          <w:rFonts w:ascii="Book Antiqua" w:hAnsi="Book Antiqua"/>
          <w:color w:val="000000" w:themeColor="text1"/>
          <w:sz w:val="24"/>
        </w:rPr>
        <w:t>即可。如</w:t>
      </w:r>
      <w:r w:rsidRPr="00E224E9">
        <w:rPr>
          <w:rFonts w:ascii="Book Antiqua" w:hAnsi="Book Antiqua"/>
          <w:color w:val="000000" w:themeColor="text1"/>
          <w:sz w:val="24"/>
        </w:rPr>
        <w:t>A.</w:t>
      </w:r>
      <w:r w:rsidRPr="00E224E9">
        <w:rPr>
          <w:rFonts w:ascii="Book Antiqua" w:hAnsi="Book Antiqua"/>
          <w:color w:val="000000" w:themeColor="text1"/>
          <w:sz w:val="24"/>
        </w:rPr>
        <w:t>自用、</w:t>
      </w:r>
      <w:r w:rsidRPr="00E224E9">
        <w:rPr>
          <w:rFonts w:ascii="Book Antiqua" w:hAnsi="Book Antiqua"/>
          <w:color w:val="000000" w:themeColor="text1"/>
          <w:sz w:val="24"/>
        </w:rPr>
        <w:t>B.</w:t>
      </w:r>
      <w:r w:rsidRPr="00E224E9">
        <w:rPr>
          <w:rFonts w:ascii="Book Antiqua" w:hAnsi="Book Antiqua"/>
          <w:color w:val="000000" w:themeColor="text1"/>
          <w:sz w:val="24"/>
        </w:rPr>
        <w:t>投資用、</w:t>
      </w:r>
      <w:r w:rsidRPr="00E224E9">
        <w:rPr>
          <w:rFonts w:ascii="Book Antiqua" w:hAnsi="Book Antiqua"/>
          <w:color w:val="000000" w:themeColor="text1"/>
          <w:sz w:val="24"/>
        </w:rPr>
        <w:t>C.</w:t>
      </w:r>
      <w:r w:rsidRPr="00E224E9">
        <w:rPr>
          <w:rFonts w:ascii="Book Antiqua" w:hAnsi="Book Antiqua"/>
          <w:color w:val="000000" w:themeColor="text1"/>
          <w:sz w:val="24"/>
        </w:rPr>
        <w:t>其他。若不動產有分屬投資或自用或使用人不同者，均分別列示</w:t>
      </w:r>
      <w:r w:rsidRPr="00E224E9">
        <w:rPr>
          <w:rFonts w:ascii="Book Antiqua" w:hAnsi="Book Antiqua"/>
          <w:color w:val="000000" w:themeColor="text1"/>
          <w:sz w:val="24"/>
        </w:rPr>
        <w:t>(</w:t>
      </w:r>
      <w:r w:rsidRPr="00E224E9">
        <w:rPr>
          <w:rFonts w:ascii="Book Antiqua" w:hAnsi="Book Antiqua"/>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E224E9">
        <w:rPr>
          <w:rFonts w:ascii="Book Antiqua" w:hAnsi="Book Antiqua"/>
          <w:color w:val="000000" w:themeColor="text1"/>
          <w:sz w:val="24"/>
        </w:rPr>
        <w:t>)</w:t>
      </w:r>
    </w:p>
    <w:p w14:paraId="314C2619" w14:textId="77777777" w:rsidR="009030AE" w:rsidRPr="00E224E9" w:rsidRDefault="009030AE" w:rsidP="009030AE">
      <w:pPr>
        <w:tabs>
          <w:tab w:val="left" w:pos="7093"/>
        </w:tabs>
        <w:spacing w:afterLines="50" w:after="120"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7</w:t>
      </w:r>
      <w:r w:rsidRPr="00E224E9">
        <w:rPr>
          <w:rFonts w:ascii="Book Antiqua" w:hAnsi="Book Antiqua"/>
          <w:color w:val="000000" w:themeColor="text1"/>
          <w:sz w:val="24"/>
        </w:rPr>
        <w:t>欄－持有資產之幣別</w:t>
      </w:r>
    </w:p>
    <w:p w14:paraId="515E4FEB" w14:textId="77777777" w:rsidR="009030AE" w:rsidRPr="00E224E9" w:rsidRDefault="009030AE" w:rsidP="009030AE">
      <w:pPr>
        <w:ind w:leftChars="184" w:left="478"/>
        <w:rPr>
          <w:rFonts w:ascii="Book Antiqua" w:hAnsi="Book Antiqua"/>
          <w:color w:val="000000" w:themeColor="text1"/>
          <w:sz w:val="24"/>
        </w:rPr>
      </w:pPr>
      <w:r w:rsidRPr="00E224E9">
        <w:rPr>
          <w:rFonts w:ascii="Book Antiqua" w:hAnsi="Book Antiqua"/>
          <w:color w:val="000000" w:themeColor="text1"/>
          <w:sz w:val="24"/>
        </w:rPr>
        <w:t>持有資產幣別請填該幣別代號，如</w:t>
      </w:r>
      <w:r w:rsidRPr="00E224E9">
        <w:rPr>
          <w:rFonts w:ascii="Book Antiqua" w:hAnsi="Book Antiqua"/>
          <w:color w:val="000000" w:themeColor="text1"/>
          <w:sz w:val="24"/>
        </w:rPr>
        <w:t>USD</w:t>
      </w:r>
      <w:r w:rsidRPr="00E224E9">
        <w:rPr>
          <w:rFonts w:ascii="Book Antiqua" w:hAnsi="Book Antiqua"/>
          <w:color w:val="000000" w:themeColor="text1"/>
          <w:sz w:val="24"/>
        </w:rPr>
        <w:t>；若投資</w:t>
      </w:r>
      <w:r w:rsidRPr="00E224E9">
        <w:rPr>
          <w:rFonts w:ascii="Book Antiqua" w:hAnsi="Book Antiqua" w:hint="eastAsia"/>
          <w:color w:val="000000" w:themeColor="text1"/>
          <w:sz w:val="24"/>
        </w:rPr>
        <w:t>新興市場</w:t>
      </w:r>
      <w:r w:rsidRPr="00E224E9">
        <w:rPr>
          <w:rFonts w:ascii="Book Antiqua" w:hAnsi="Book Antiqua"/>
          <w:color w:val="000000" w:themeColor="text1"/>
          <w:sz w:val="24"/>
        </w:rPr>
        <w:t>而按</w:t>
      </w:r>
      <w:r w:rsidRPr="00E224E9">
        <w:rPr>
          <w:rFonts w:ascii="Book Antiqua" w:hAnsi="Book Antiqua" w:hint="eastAsia"/>
          <w:color w:val="000000" w:themeColor="text1"/>
          <w:sz w:val="24"/>
        </w:rPr>
        <w:t>已開發國家</w:t>
      </w:r>
      <w:r w:rsidRPr="00E224E9">
        <w:rPr>
          <w:rFonts w:ascii="Book Antiqua" w:hAnsi="Book Antiqua"/>
          <w:color w:val="000000" w:themeColor="text1"/>
          <w:sz w:val="24"/>
        </w:rPr>
        <w:t>幣別計價者，請將該幣別增加一碼如</w:t>
      </w:r>
      <w:r w:rsidRPr="00E224E9">
        <w:rPr>
          <w:rFonts w:ascii="Book Antiqua" w:hAnsi="Book Antiqua"/>
          <w:color w:val="000000" w:themeColor="text1"/>
          <w:sz w:val="24"/>
        </w:rPr>
        <w:t>USD-1</w:t>
      </w:r>
      <w:r w:rsidRPr="00E224E9">
        <w:rPr>
          <w:rFonts w:ascii="Book Antiqua" w:hAnsi="Book Antiqua"/>
          <w:color w:val="000000" w:themeColor="text1"/>
          <w:sz w:val="24"/>
        </w:rPr>
        <w:t>。</w:t>
      </w:r>
    </w:p>
    <w:p w14:paraId="2A2CC51C" w14:textId="77777777" w:rsidR="009030AE" w:rsidRPr="00E224E9" w:rsidRDefault="009030AE" w:rsidP="009030AE">
      <w:pPr>
        <w:tabs>
          <w:tab w:val="left" w:pos="7093"/>
        </w:tabs>
        <w:spacing w:afterLines="50" w:after="120"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8</w:t>
      </w:r>
      <w:r w:rsidR="00274463" w:rsidRPr="00E224E9">
        <w:rPr>
          <w:rFonts w:ascii="Book Antiqua" w:hAnsi="Book Antiqua"/>
          <w:color w:val="000000" w:themeColor="text1"/>
          <w:sz w:val="24"/>
        </w:rPr>
        <w:t>欄－取得</w:t>
      </w:r>
      <w:r w:rsidRPr="00E224E9">
        <w:rPr>
          <w:rFonts w:ascii="Book Antiqua" w:hAnsi="Book Antiqua"/>
          <w:color w:val="000000" w:themeColor="text1"/>
          <w:sz w:val="24"/>
        </w:rPr>
        <w:t>成本</w:t>
      </w:r>
    </w:p>
    <w:p w14:paraId="12929BBD" w14:textId="77777777" w:rsidR="009030AE" w:rsidRPr="00E224E9" w:rsidRDefault="009030AE" w:rsidP="009030AE">
      <w:pPr>
        <w:ind w:leftChars="184" w:left="478"/>
        <w:rPr>
          <w:rFonts w:ascii="Book Antiqua" w:hAnsi="Book Antiqua"/>
          <w:color w:val="000000" w:themeColor="text1"/>
          <w:sz w:val="24"/>
        </w:rPr>
      </w:pPr>
      <w:r w:rsidRPr="00E224E9">
        <w:rPr>
          <w:rFonts w:ascii="Book Antiqua" w:hAnsi="Book Antiqua"/>
          <w:color w:val="000000" w:themeColor="text1"/>
          <w:sz w:val="24"/>
        </w:rPr>
        <w:t>凡使設備資產達可用狀態及地點前，一切合理必要之支出。皆屬成本。所稱取得時投入成本，亦含修繕不動產之資本支出。</w:t>
      </w:r>
    </w:p>
    <w:p w14:paraId="1D6D6FF6" w14:textId="77777777" w:rsidR="009030AE" w:rsidRPr="00E224E9" w:rsidRDefault="009030AE" w:rsidP="00664571">
      <w:pPr>
        <w:tabs>
          <w:tab w:val="left" w:pos="7093"/>
        </w:tabs>
        <w:spacing w:line="440" w:lineRule="exact"/>
        <w:jc w:val="both"/>
        <w:rPr>
          <w:rFonts w:ascii="Book Antiqua" w:hAnsi="Book Antiqua"/>
          <w:b/>
          <w:bCs/>
          <w:color w:val="000000" w:themeColor="text1"/>
          <w:sz w:val="24"/>
        </w:rPr>
      </w:pPr>
      <w:r w:rsidRPr="00E224E9">
        <w:rPr>
          <w:rFonts w:ascii="Book Antiqua" w:hAnsi="Book Antiqua" w:hint="eastAsia"/>
          <w:b/>
          <w:bCs/>
          <w:color w:val="000000" w:themeColor="text1"/>
          <w:sz w:val="24"/>
        </w:rPr>
        <w:t>取得方式</w:t>
      </w:r>
    </w:p>
    <w:p w14:paraId="0A6D0317" w14:textId="77777777" w:rsidR="009030AE" w:rsidRPr="00E224E9" w:rsidRDefault="009030AE" w:rsidP="009030AE">
      <w:pPr>
        <w:tabs>
          <w:tab w:val="left" w:pos="7093"/>
        </w:tabs>
        <w:spacing w:beforeLines="50" w:before="120" w:line="0" w:lineRule="atLeast"/>
        <w:ind w:leftChars="92" w:left="239"/>
        <w:jc w:val="both"/>
        <w:rPr>
          <w:rFonts w:ascii="Book Antiqua" w:hAnsi="Book Antiqua"/>
          <w:color w:val="000000" w:themeColor="text1"/>
          <w:sz w:val="24"/>
        </w:rPr>
      </w:pPr>
      <w:r w:rsidRPr="00E224E9">
        <w:rPr>
          <w:rFonts w:ascii="Book Antiqua" w:hAnsi="Book Antiqua" w:hint="eastAsia"/>
          <w:color w:val="000000" w:themeColor="text1"/>
          <w:sz w:val="24"/>
        </w:rPr>
        <w:t>係指每一國外不動產所對應「保險業辦理國外投資管理辦法」第十一</w:t>
      </w:r>
      <w:r w:rsidR="00276D0C" w:rsidRPr="00E224E9">
        <w:rPr>
          <w:rFonts w:ascii="Book Antiqua" w:hAnsi="Book Antiqua" w:hint="eastAsia"/>
          <w:color w:val="000000" w:themeColor="text1"/>
          <w:sz w:val="24"/>
        </w:rPr>
        <w:t>條</w:t>
      </w:r>
      <w:r w:rsidRPr="00E224E9">
        <w:rPr>
          <w:rFonts w:ascii="Book Antiqua" w:hAnsi="Book Antiqua" w:hint="eastAsia"/>
          <w:color w:val="000000" w:themeColor="text1"/>
          <w:sz w:val="24"/>
        </w:rPr>
        <w:t>之一第一項第一款至第四款之投資方式。</w:t>
      </w:r>
    </w:p>
    <w:p w14:paraId="131C5137" w14:textId="77777777" w:rsidR="009030AE" w:rsidRPr="00E224E9" w:rsidRDefault="009030AE" w:rsidP="009030AE">
      <w:pPr>
        <w:rPr>
          <w:color w:val="000000" w:themeColor="text1"/>
        </w:rPr>
      </w:pPr>
    </w:p>
    <w:p w14:paraId="406465E0" w14:textId="77777777" w:rsidR="00065C53" w:rsidRPr="00E224E9" w:rsidRDefault="00065C53" w:rsidP="00664571">
      <w:pPr>
        <w:pStyle w:val="1"/>
        <w:pageBreakBefore/>
        <w:spacing w:afterLines="0" w:line="440" w:lineRule="exact"/>
        <w:jc w:val="both"/>
        <w:rPr>
          <w:color w:val="000000" w:themeColor="text1"/>
        </w:rPr>
      </w:pPr>
      <w:bookmarkStart w:id="71" w:name="_Toc200468529"/>
      <w:r w:rsidRPr="00E224E9">
        <w:rPr>
          <w:rFonts w:hint="eastAsia"/>
          <w:color w:val="000000" w:themeColor="text1"/>
        </w:rPr>
        <w:lastRenderedPageBreak/>
        <w:t>表16-1-1：衍生性商品餘額明細表－期貨與遠期契約</w:t>
      </w:r>
      <w:bookmarkEnd w:id="69"/>
      <w:bookmarkEnd w:id="71"/>
    </w:p>
    <w:p w14:paraId="66A5135F"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「衍生性商品餘額明細表－期貨與遠期契約」係表達期貨(Futures)與遠期契約(Forwards)等兩種衍生性商品之明細資料，以供主管機關評估可能之風險。本明細表之契約名目部位金額、成本、最近收盤日</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總金額，以及未實現損益等數額之合計數，可自動勾稽至表16-2之總表中。其中，匯率避險中屬於標準避險者，其契約名目部位金額合計數，將用以做為表30-3外匯風險金額之扣抵項目之一</w:t>
      </w:r>
      <w:r w:rsidR="00DE6613" w:rsidRPr="00E224E9">
        <w:rPr>
          <w:rFonts w:ascii="標楷體" w:hAnsi="標楷體" w:hint="eastAsia"/>
          <w:color w:val="000000" w:themeColor="text1"/>
          <w:sz w:val="24"/>
        </w:rPr>
        <w:t>；權益證券相關避險中屬於可扣抵風險資本者，其契約名目部位金額合計數乘上對應之抵減比率，將用以做為表30-3上市普通股風險金額之扣抵項目之一</w:t>
      </w:r>
      <w:r w:rsidRPr="00E224E9">
        <w:rPr>
          <w:rFonts w:ascii="標楷體" w:hAnsi="標楷體" w:hint="eastAsia"/>
          <w:color w:val="000000" w:themeColor="text1"/>
          <w:sz w:val="24"/>
        </w:rPr>
        <w:t>。</w:t>
      </w:r>
    </w:p>
    <w:p w14:paraId="65E50AE9" w14:textId="77777777" w:rsidR="00065C53" w:rsidRPr="00E224E9" w:rsidRDefault="00065C53">
      <w:pPr>
        <w:spacing w:line="440" w:lineRule="exact"/>
        <w:ind w:firstLineChars="207" w:firstLine="497"/>
        <w:rPr>
          <w:rFonts w:ascii="標楷體" w:hAnsi="標楷體"/>
          <w:color w:val="000000" w:themeColor="text1"/>
          <w:sz w:val="24"/>
        </w:rPr>
      </w:pPr>
      <w:r w:rsidRPr="00E224E9">
        <w:rPr>
          <w:rFonts w:ascii="標楷體" w:hAnsi="標楷體" w:hint="eastAsia"/>
          <w:color w:val="000000" w:themeColor="text1"/>
          <w:sz w:val="24"/>
        </w:rPr>
        <w:t>本表所需填列之各欄明細資訊說明如下：</w:t>
      </w:r>
    </w:p>
    <w:p w14:paraId="1EE07FF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第1欄－交易目的</w:t>
      </w:r>
    </w:p>
    <w:p w14:paraId="2599C8C0"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14:paraId="17B73310"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本表所稱以避險為目的之期貨或遠期契約係指符合保險業從事衍生性金融商品交易應注意事項中第三點中以避險為目的之條件者。</w:t>
      </w:r>
    </w:p>
    <w:p w14:paraId="6A2EA0F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第2欄－類型</w:t>
      </w:r>
    </w:p>
    <w:p w14:paraId="19E1E765"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本欄不需填列，填報公司僅需依期貨或遠期契約標的物之類型以及被避險資產或期貨或遠期契約標的物所屬國家，將期貨或遠期契約歸類於適當之類型中。各類型之定義說明如下：</w:t>
      </w:r>
    </w:p>
    <w:p w14:paraId="0A76C1FF"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以避險為目的--匯率相關(標準避險)：</w:t>
      </w:r>
    </w:p>
    <w:p w14:paraId="08FCFEE0"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匯率相關(標準避險)，係指該期貨或遠期契約(賣出的)標的物為某特定外幣對台幣的匯率，且該特定外幣與被避險資產之幣別相同者。例如:以約定之美元兌台幣之匯率賣出美元遠期契約，以進行美元資產之匯率避險者，即屬於標準避險。</w:t>
      </w:r>
    </w:p>
    <w:p w14:paraId="6CCA836E"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本類型之期貨或遠期契約請依被避險資產所屬國別，歸類至以下兩項之一：以該期貨或遠期契約進行避險之資產在表30-3中被歸類為</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之資產者，則該期貨或遠期契約之資料請填列於「被避險資產屬國外投資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」項下，以便做為</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外匯風險之扣抵額；當以該期貨或遠期契約進行避險之資產在表30-3中被歸類為</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之資產者，則該期貨或遠期契約之資料請填列於「被避險資產屬國外投資</w:t>
      </w:r>
      <w:r w:rsidRPr="00E224E9">
        <w:rPr>
          <w:rFonts w:ascii="標楷體" w:hAnsi="標楷體"/>
          <w:color w:val="000000" w:themeColor="text1"/>
          <w:sz w:val="24"/>
        </w:rPr>
        <w:t>—</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」項下，以便做為</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外匯風險之扣抵額。</w:t>
      </w:r>
    </w:p>
    <w:p w14:paraId="30210BAC"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lastRenderedPageBreak/>
        <w:sym w:font="Webdings" w:char="F034"/>
      </w:r>
      <w:r w:rsidRPr="00E224E9">
        <w:rPr>
          <w:rFonts w:ascii="標楷體" w:hAnsi="標楷體" w:hint="eastAsia"/>
          <w:color w:val="000000" w:themeColor="text1"/>
          <w:sz w:val="24"/>
        </w:rPr>
        <w:t>以避險為目的--匯率相關(非標準避險)：</w:t>
      </w:r>
    </w:p>
    <w:p w14:paraId="7EC990EF"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本表所稱以避險為目的之匯率相關(非標準避險)，係指非屬前述標準避險者。</w:t>
      </w:r>
    </w:p>
    <w:p w14:paraId="15CA1DA8" w14:textId="77777777" w:rsidR="00065C53" w:rsidRPr="00E224E9" w:rsidRDefault="00065C53">
      <w:pPr>
        <w:spacing w:line="440" w:lineRule="exact"/>
        <w:ind w:leftChars="300" w:left="780"/>
        <w:rPr>
          <w:rFonts w:ascii="標楷體" w:hAnsi="標楷體" w:cs="新細明體"/>
          <w:color w:val="000000" w:themeColor="text1"/>
          <w:kern w:val="0"/>
          <w:sz w:val="24"/>
        </w:rPr>
      </w:pPr>
      <w:r w:rsidRPr="00E224E9">
        <w:rPr>
          <w:rFonts w:ascii="標楷體" w:hAnsi="標楷體" w:hint="eastAsia"/>
          <w:color w:val="000000" w:themeColor="text1"/>
          <w:sz w:val="24"/>
        </w:rPr>
        <w:t>非標準避險</w:t>
      </w:r>
      <w:r w:rsidRPr="00E224E9">
        <w:rPr>
          <w:rFonts w:ascii="標楷體" w:hAnsi="標楷體" w:cs="新細明體" w:hint="eastAsia"/>
          <w:color w:val="000000" w:themeColor="text1"/>
          <w:kern w:val="0"/>
          <w:sz w:val="24"/>
        </w:rPr>
        <w:t>範例1:以約定之美元兌台幣之匯率賣出美元遠期契約，以進行歐元資產之匯率避險者，由於遠期契約標的物為美元兌台幣的匯率，與被避險資產之幣別為歐元不同，因此屬於非標準避險；</w:t>
      </w:r>
    </w:p>
    <w:p w14:paraId="05E08130" w14:textId="77777777" w:rsidR="00065C53" w:rsidRPr="00E224E9" w:rsidRDefault="00065C53">
      <w:pPr>
        <w:spacing w:line="440" w:lineRule="exact"/>
        <w:ind w:leftChars="300" w:left="780"/>
        <w:rPr>
          <w:rFonts w:ascii="標楷體" w:hAnsi="標楷體" w:cs="新細明體"/>
          <w:color w:val="000000" w:themeColor="text1"/>
          <w:kern w:val="0"/>
          <w:sz w:val="24"/>
        </w:rPr>
      </w:pPr>
      <w:r w:rsidRPr="00E224E9">
        <w:rPr>
          <w:rFonts w:ascii="標楷體" w:hAnsi="標楷體" w:cs="新細明體" w:hint="eastAsia"/>
          <w:color w:val="000000" w:themeColor="text1"/>
          <w:kern w:val="0"/>
          <w:sz w:val="24"/>
        </w:rPr>
        <w:t>非標準避險範例2:以約定之美元兌日圓之匯率賣出美元遠期契約，做為美元資產之匯率避險，由於該遠期契約標的物為美元兌日圓的匯率，非美元兌台幣的匯率，因此屬於非標準避險。</w:t>
      </w:r>
    </w:p>
    <w:p w14:paraId="10C8C909"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cs="新細明體" w:hint="eastAsia"/>
          <w:color w:val="000000" w:themeColor="text1"/>
          <w:kern w:val="0"/>
          <w:sz w:val="24"/>
        </w:rPr>
        <w:t>非標準避險範例3:以約定之美元兌</w:t>
      </w:r>
      <w:r w:rsidRPr="00E224E9">
        <w:rPr>
          <w:rFonts w:ascii="標楷體" w:hAnsi="標楷體" w:cs="新細明體" w:hint="eastAsia"/>
          <w:b/>
          <w:color w:val="000000" w:themeColor="text1"/>
          <w:kern w:val="0"/>
          <w:sz w:val="24"/>
        </w:rPr>
        <w:t>一籃子貨幣</w:t>
      </w:r>
      <w:r w:rsidRPr="00E224E9">
        <w:rPr>
          <w:rFonts w:ascii="標楷體" w:hAnsi="標楷體" w:cs="新細明體" w:hint="eastAsia"/>
          <w:color w:val="000000" w:themeColor="text1"/>
          <w:kern w:val="0"/>
          <w:sz w:val="24"/>
        </w:rPr>
        <w:t>之匯率賣出美元遠期契約，做為美元資產之匯率避險，由於該遠期契約標的物為美元兌一籃子貨幣的匯率，非美元兌台幣的匯率，因此屬於非標準避險。</w:t>
      </w:r>
    </w:p>
    <w:p w14:paraId="01D51366"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本類型之期貨或遠期契約請依被避險資產所屬國別，歸類為「被避險資產屬國外投資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」或「被避險資產屬國外投資</w:t>
      </w:r>
      <w:r w:rsidRPr="00E224E9">
        <w:rPr>
          <w:rFonts w:ascii="標楷體" w:hAnsi="標楷體"/>
          <w:color w:val="000000" w:themeColor="text1"/>
          <w:sz w:val="24"/>
        </w:rPr>
        <w:t>—</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655DB36"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r w:rsidRPr="00E224E9">
        <w:rPr>
          <w:rFonts w:ascii="標楷體" w:hAnsi="標楷體"/>
          <w:color w:val="000000" w:themeColor="text1"/>
          <w:sz w:val="24"/>
        </w:rPr>
        <w:t>—</w:t>
      </w:r>
      <w:r w:rsidRPr="00E224E9">
        <w:rPr>
          <w:rFonts w:ascii="標楷體" w:hAnsi="標楷體" w:hint="eastAsia"/>
          <w:color w:val="000000" w:themeColor="text1"/>
          <w:sz w:val="24"/>
        </w:rPr>
        <w:t>權益證券相關</w:t>
      </w:r>
      <w:r w:rsidR="001474C1" w:rsidRPr="00E224E9">
        <w:rPr>
          <w:rFonts w:ascii="標楷體" w:hAnsi="標楷體" w:hint="eastAsia"/>
          <w:color w:val="000000" w:themeColor="text1"/>
          <w:sz w:val="24"/>
        </w:rPr>
        <w:t>(可扣抵風險資本)</w:t>
      </w:r>
    </w:p>
    <w:p w14:paraId="06C79870"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本表所稱以避險為目的之與權益證券相關</w:t>
      </w:r>
      <w:r w:rsidR="001474C1" w:rsidRPr="00E224E9">
        <w:rPr>
          <w:rFonts w:ascii="標楷體" w:hAnsi="標楷體" w:hint="eastAsia"/>
          <w:color w:val="000000" w:themeColor="text1"/>
          <w:sz w:val="24"/>
        </w:rPr>
        <w:t>(可扣抵風險資本)</w:t>
      </w:r>
      <w:r w:rsidRPr="00E224E9">
        <w:rPr>
          <w:rFonts w:ascii="標楷體" w:hAnsi="標楷體" w:hint="eastAsia"/>
          <w:color w:val="000000" w:themeColor="text1"/>
          <w:sz w:val="24"/>
        </w:rPr>
        <w:t>之期貨係</w:t>
      </w:r>
      <w:r w:rsidR="001474C1" w:rsidRPr="00E224E9">
        <w:rPr>
          <w:rFonts w:ascii="標楷體" w:hAnsi="標楷體" w:hint="eastAsia"/>
          <w:color w:val="000000" w:themeColor="text1"/>
          <w:sz w:val="24"/>
        </w:rPr>
        <w:t>為臺灣期貨交易所以「臺灣加權指數」為標的之期貨</w:t>
      </w:r>
      <w:r w:rsidR="00C54469" w:rsidRPr="00E224E9">
        <w:rPr>
          <w:rFonts w:ascii="標楷體" w:hAnsi="標楷體" w:hint="eastAsia"/>
          <w:color w:val="000000" w:themeColor="text1"/>
          <w:sz w:val="24"/>
        </w:rPr>
        <w:t>。被避險資產組合中個股股票皆須為「臺灣50指數」、「臺灣中型100指數」或「摩根臺灣指數」中之成分股（以下簡稱三大指數成分股），其中「臺灣50指數」成分股支數所占比率不得低於30％</w:t>
      </w:r>
      <w:r w:rsidRPr="00E224E9">
        <w:rPr>
          <w:rFonts w:ascii="標楷體" w:hAnsi="標楷體" w:hint="eastAsia"/>
          <w:color w:val="000000" w:themeColor="text1"/>
          <w:sz w:val="24"/>
        </w:rPr>
        <w:t>；</w:t>
      </w:r>
    </w:p>
    <w:p w14:paraId="322FC7CC"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6E109F0B"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（1）被避險部位組合與其Beta值；</w:t>
      </w:r>
    </w:p>
    <w:p w14:paraId="0EB26335"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（2）預計使用之避險交易工具；</w:t>
      </w:r>
    </w:p>
    <w:p w14:paraId="6C94A59E"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（3）使用衍生性金融商品進行避險交易 之計畫規模；</w:t>
      </w:r>
    </w:p>
    <w:p w14:paraId="1DA29589"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（4）預計避險計畫之執行效期；</w:t>
      </w:r>
    </w:p>
    <w:p w14:paraId="014F7B6B"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（5）風險評估；</w:t>
      </w:r>
    </w:p>
    <w:p w14:paraId="613E78C2"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（6）避險績效衡量及停損機制。</w:t>
      </w:r>
    </w:p>
    <w:p w14:paraId="34AB8FDB" w14:textId="77777777" w:rsidR="00065C53" w:rsidRPr="00E224E9" w:rsidRDefault="00C54469" w:rsidP="00273457">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本類型之期貨請依被避險資產組合三大指數成分股支數，</w:t>
      </w:r>
      <w:r w:rsidR="00273457" w:rsidRPr="00E224E9">
        <w:rPr>
          <w:rFonts w:ascii="標楷體" w:hAnsi="標楷體" w:hint="eastAsia"/>
          <w:color w:val="000000" w:themeColor="text1"/>
          <w:sz w:val="24"/>
        </w:rPr>
        <w:t>歸類為「被避險資產組合成分股支數30~70支(風險抵減50%)」或「被避險資產組合成分股支數70(含)支以上(風險抵減65%)」項下，</w:t>
      </w:r>
      <w:r w:rsidRPr="00E224E9">
        <w:rPr>
          <w:rFonts w:ascii="標楷體" w:hAnsi="標楷體" w:hint="eastAsia"/>
          <w:color w:val="000000" w:themeColor="text1"/>
          <w:sz w:val="24"/>
        </w:rPr>
        <w:t>以便做為</w:t>
      </w:r>
      <w:r w:rsidR="00273457" w:rsidRPr="00E224E9">
        <w:rPr>
          <w:rFonts w:ascii="標楷體" w:hAnsi="標楷體" w:hint="eastAsia"/>
          <w:color w:val="000000" w:themeColor="text1"/>
          <w:sz w:val="24"/>
        </w:rPr>
        <w:t>國內上市普通股</w:t>
      </w:r>
      <w:r w:rsidRPr="00E224E9">
        <w:rPr>
          <w:rFonts w:ascii="標楷體" w:hAnsi="標楷體" w:hint="eastAsia"/>
          <w:color w:val="000000" w:themeColor="text1"/>
          <w:sz w:val="24"/>
        </w:rPr>
        <w:t>風險之扣抵額。</w:t>
      </w:r>
    </w:p>
    <w:p w14:paraId="34BAA0A5" w14:textId="77777777" w:rsidR="001474C1" w:rsidRPr="00E224E9" w:rsidRDefault="001474C1" w:rsidP="001474C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lastRenderedPageBreak/>
        <w:sym w:font="Webdings" w:char="F034"/>
      </w:r>
      <w:r w:rsidRPr="00E224E9">
        <w:rPr>
          <w:rFonts w:ascii="標楷體" w:hAnsi="標楷體" w:hint="eastAsia"/>
          <w:color w:val="000000" w:themeColor="text1"/>
          <w:sz w:val="24"/>
        </w:rPr>
        <w:t>以避險為目的</w:t>
      </w:r>
      <w:r w:rsidRPr="00E224E9">
        <w:rPr>
          <w:rFonts w:ascii="標楷體" w:hAnsi="標楷體"/>
          <w:color w:val="000000" w:themeColor="text1"/>
          <w:sz w:val="24"/>
        </w:rPr>
        <w:t>—</w:t>
      </w:r>
      <w:r w:rsidRPr="00E224E9">
        <w:rPr>
          <w:rFonts w:ascii="標楷體" w:hAnsi="標楷體" w:hint="eastAsia"/>
          <w:color w:val="000000" w:themeColor="text1"/>
          <w:sz w:val="24"/>
        </w:rPr>
        <w:t>權益證券相關(不可扣抵風險資本)</w:t>
      </w:r>
    </w:p>
    <w:p w14:paraId="76B1BCD8" w14:textId="77777777" w:rsidR="001474C1" w:rsidRPr="00E224E9" w:rsidRDefault="001474C1" w:rsidP="001474C1">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本表所稱以避險為目的之與權益證券相關</w:t>
      </w:r>
      <w:r w:rsidR="00C54469" w:rsidRPr="00E224E9">
        <w:rPr>
          <w:rFonts w:ascii="標楷體" w:hAnsi="標楷體" w:hint="eastAsia"/>
          <w:color w:val="000000" w:themeColor="text1"/>
          <w:sz w:val="24"/>
        </w:rPr>
        <w:t>(不可扣抵風險資本)</w:t>
      </w:r>
      <w:r w:rsidRPr="00E224E9">
        <w:rPr>
          <w:rFonts w:ascii="標楷體" w:hAnsi="標楷體" w:hint="eastAsia"/>
          <w:color w:val="000000" w:themeColor="text1"/>
          <w:sz w:val="24"/>
        </w:rPr>
        <w:t>之期貨或遠期契約係包括</w:t>
      </w:r>
      <w:r w:rsidR="00C54469" w:rsidRPr="00E224E9">
        <w:rPr>
          <w:rFonts w:ascii="標楷體" w:hAnsi="標楷體" w:hint="eastAsia"/>
          <w:color w:val="000000" w:themeColor="text1"/>
          <w:sz w:val="24"/>
        </w:rPr>
        <w:t>除「以避險為目的—權益證券相關(可扣抵風險資本)」外，</w:t>
      </w:r>
      <w:r w:rsidRPr="00E224E9">
        <w:rPr>
          <w:rFonts w:ascii="標楷體" w:hAnsi="標楷體" w:hint="eastAsia"/>
          <w:color w:val="000000" w:themeColor="text1"/>
          <w:sz w:val="24"/>
        </w:rPr>
        <w:t>以個別權益證券及股價指數為標的物之期貨或遠期契約；</w:t>
      </w:r>
    </w:p>
    <w:p w14:paraId="1BA6A1AF" w14:textId="77777777" w:rsidR="001474C1" w:rsidRPr="00E224E9" w:rsidRDefault="001474C1" w:rsidP="001474C1">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本類型之期貨或遠期契約請依被避險資產所屬國別，歸類為「被避險資產屬國內投資」、「被避險資產屬國外投資</w:t>
      </w:r>
      <w:r w:rsidRPr="00E224E9">
        <w:rPr>
          <w:rFonts w:ascii="標楷體" w:hAnsi="標楷體"/>
          <w:color w:val="000000" w:themeColor="text1"/>
          <w:sz w:val="24"/>
        </w:rPr>
        <w:t>—</w:t>
      </w:r>
      <w:r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」或「被避險資產屬國外投資</w:t>
      </w:r>
      <w:r w:rsidRPr="00E224E9">
        <w:rPr>
          <w:rFonts w:ascii="標楷體" w:hAnsi="標楷體"/>
          <w:color w:val="000000" w:themeColor="text1"/>
          <w:sz w:val="24"/>
        </w:rPr>
        <w:t>—</w:t>
      </w:r>
      <w:r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29569C0"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r w:rsidRPr="00E224E9">
        <w:rPr>
          <w:rFonts w:ascii="標楷體" w:hAnsi="標楷體"/>
          <w:color w:val="000000" w:themeColor="text1"/>
          <w:sz w:val="24"/>
        </w:rPr>
        <w:t>—</w:t>
      </w:r>
      <w:r w:rsidRPr="00E224E9">
        <w:rPr>
          <w:rFonts w:ascii="標楷體" w:hAnsi="標楷體" w:hint="eastAsia"/>
          <w:color w:val="000000" w:themeColor="text1"/>
          <w:sz w:val="24"/>
        </w:rPr>
        <w:t>其他標的</w:t>
      </w:r>
    </w:p>
    <w:p w14:paraId="1906C6EA"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本表所稱以避險為目的之其他標的之期貨或遠期契約，係指除了以匯率以及權益證券為標的物以外的期貨或遠期契約，例如利率相關或信用相關之期貨或遠期契約即屬此類。</w:t>
      </w:r>
    </w:p>
    <w:p w14:paraId="3409C285"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本類型之期貨或遠期契約請依被避險資產所屬國別，歸類為「被避險資產屬國內投資」、「被避險資產屬國外投資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」或「被避險資產屬國外投資</w:t>
      </w:r>
      <w:r w:rsidRPr="00E224E9">
        <w:rPr>
          <w:rFonts w:ascii="標楷體" w:hAnsi="標楷體"/>
          <w:color w:val="000000" w:themeColor="text1"/>
          <w:sz w:val="24"/>
        </w:rPr>
        <w:t>—</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7578350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以增加收益為目的(包含買入及賣出)</w:t>
      </w:r>
      <w:r w:rsidRPr="00E224E9">
        <w:rPr>
          <w:rFonts w:ascii="標楷體" w:hAnsi="標楷體"/>
          <w:color w:val="000000" w:themeColor="text1"/>
          <w:sz w:val="24"/>
        </w:rPr>
        <w:t>—</w:t>
      </w:r>
      <w:r w:rsidRPr="00E224E9">
        <w:rPr>
          <w:rFonts w:ascii="標楷體" w:hAnsi="標楷體" w:hint="eastAsia"/>
          <w:color w:val="000000" w:themeColor="text1"/>
          <w:sz w:val="24"/>
        </w:rPr>
        <w:t>匯率相關</w:t>
      </w:r>
    </w:p>
    <w:p w14:paraId="1F97C0D6"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係指以增加收益為目的，並且期貨或遠期契約標的物與匯率相關者。本類型之期貨或遠期契約請依期貨或遠期契約</w:t>
      </w:r>
      <w:r w:rsidRPr="00E224E9">
        <w:rPr>
          <w:rFonts w:ascii="標楷體" w:hAnsi="標楷體" w:hint="eastAsia"/>
          <w:b/>
          <w:color w:val="000000" w:themeColor="text1"/>
          <w:sz w:val="24"/>
        </w:rPr>
        <w:t>標的物</w:t>
      </w:r>
      <w:r w:rsidRPr="00E224E9">
        <w:rPr>
          <w:rFonts w:ascii="標楷體" w:hAnsi="標楷體" w:hint="eastAsia"/>
          <w:color w:val="000000" w:themeColor="text1"/>
          <w:sz w:val="24"/>
        </w:rPr>
        <w:t>所屬國別，歸類為「衍生性商品標的物屬國內投資」、「衍生性商品標的物屬國外投資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」或「衍生性商品標的物屬國外投資</w:t>
      </w:r>
      <w:r w:rsidRPr="00E224E9">
        <w:rPr>
          <w:rFonts w:ascii="標楷體" w:hAnsi="標楷體"/>
          <w:color w:val="000000" w:themeColor="text1"/>
          <w:sz w:val="24"/>
        </w:rPr>
        <w:t>—</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1BCDA37E"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以增加收益為目的(包含買入及賣出)</w:t>
      </w:r>
      <w:r w:rsidRPr="00E224E9">
        <w:rPr>
          <w:rFonts w:ascii="標楷體" w:hAnsi="標楷體"/>
          <w:color w:val="000000" w:themeColor="text1"/>
          <w:sz w:val="24"/>
        </w:rPr>
        <w:t>—</w:t>
      </w:r>
      <w:r w:rsidRPr="00E224E9">
        <w:rPr>
          <w:rFonts w:ascii="標楷體" w:hAnsi="標楷體" w:hint="eastAsia"/>
          <w:color w:val="000000" w:themeColor="text1"/>
          <w:sz w:val="24"/>
        </w:rPr>
        <w:t>權益證券相關</w:t>
      </w:r>
    </w:p>
    <w:p w14:paraId="3B05D2C5"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係指以增加收益為目的，並且期貨或遠期契約標的物與權益證券相關者。本類型之期貨或遠期契約請依期貨或遠期契約</w:t>
      </w:r>
      <w:r w:rsidRPr="00E224E9">
        <w:rPr>
          <w:rFonts w:ascii="標楷體" w:hAnsi="標楷體" w:hint="eastAsia"/>
          <w:b/>
          <w:color w:val="000000" w:themeColor="text1"/>
          <w:sz w:val="24"/>
        </w:rPr>
        <w:t>標的物</w:t>
      </w:r>
      <w:r w:rsidRPr="00E224E9">
        <w:rPr>
          <w:rFonts w:ascii="標楷體" w:hAnsi="標楷體" w:hint="eastAsia"/>
          <w:color w:val="000000" w:themeColor="text1"/>
          <w:sz w:val="24"/>
        </w:rPr>
        <w:t>所屬國別，歸類為「衍生性商品標的物屬國內投資」、「衍生性商品標的物屬國外投資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」或「衍生性商品標的物屬國外投資</w:t>
      </w:r>
      <w:r w:rsidRPr="00E224E9">
        <w:rPr>
          <w:rFonts w:ascii="標楷體" w:hAnsi="標楷體"/>
          <w:color w:val="000000" w:themeColor="text1"/>
          <w:sz w:val="24"/>
        </w:rPr>
        <w:t>—</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97399A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以增加收益為目的(包含買入及賣出)</w:t>
      </w:r>
      <w:r w:rsidRPr="00E224E9">
        <w:rPr>
          <w:rFonts w:ascii="標楷體" w:hAnsi="標楷體"/>
          <w:color w:val="000000" w:themeColor="text1"/>
          <w:sz w:val="24"/>
        </w:rPr>
        <w:t>—</w:t>
      </w:r>
      <w:r w:rsidRPr="00E224E9">
        <w:rPr>
          <w:rFonts w:ascii="標楷體" w:hAnsi="標楷體" w:hint="eastAsia"/>
          <w:color w:val="000000" w:themeColor="text1"/>
          <w:sz w:val="24"/>
        </w:rPr>
        <w:t>其他標的</w:t>
      </w:r>
    </w:p>
    <w:p w14:paraId="12DB279D"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係指以增加收益為目的，係指除了以匯率以及權益證券為標的物以外的期貨或遠期契約，例如利率相關或信用相關之期貨或遠期契約即屬此類。</w:t>
      </w:r>
    </w:p>
    <w:p w14:paraId="7C8B7A7D"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本類型之期貨或遠期契約請依期貨或遠期契約</w:t>
      </w:r>
      <w:r w:rsidRPr="00E224E9">
        <w:rPr>
          <w:rFonts w:ascii="標楷體" w:hAnsi="標楷體" w:hint="eastAsia"/>
          <w:b/>
          <w:color w:val="000000" w:themeColor="text1"/>
          <w:sz w:val="24"/>
        </w:rPr>
        <w:t>標的物</w:t>
      </w:r>
      <w:r w:rsidRPr="00E224E9">
        <w:rPr>
          <w:rFonts w:ascii="標楷體" w:hAnsi="標楷體" w:hint="eastAsia"/>
          <w:color w:val="000000" w:themeColor="text1"/>
          <w:sz w:val="24"/>
        </w:rPr>
        <w:t>所屬國別，歸類為「衍生性商品標的物屬國內投資」、「衍生性商品標的物屬國外投資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」或「衍生性商品標的物屬國外投資</w:t>
      </w:r>
      <w:r w:rsidRPr="00E224E9">
        <w:rPr>
          <w:rFonts w:ascii="標楷體" w:hAnsi="標楷體"/>
          <w:color w:val="000000" w:themeColor="text1"/>
          <w:sz w:val="24"/>
        </w:rPr>
        <w:t>—</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0DE7000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第3欄－交易對手代號</w:t>
      </w:r>
    </w:p>
    <w:p w14:paraId="71F9C943"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lastRenderedPageBreak/>
        <w:t>請洽由保險事業發展中心統一配賦。</w:t>
      </w:r>
    </w:p>
    <w:p w14:paraId="16AB07A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第4欄－交易對手名稱</w:t>
      </w:r>
    </w:p>
    <w:p w14:paraId="3A5246E6"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請依各衍生性商品之交易對手填列其名稱。</w:t>
      </w:r>
    </w:p>
    <w:p w14:paraId="0176B13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第5欄－交易對手信用評等機構</w:t>
      </w:r>
    </w:p>
    <w:p w14:paraId="417A0FCE" w14:textId="6A17901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請填列如A.S&amp;P，B.AM Best，C.Moody</w:t>
      </w:r>
      <w:r w:rsidRPr="00E224E9">
        <w:rPr>
          <w:rFonts w:ascii="標楷體" w:hAnsi="標楷體"/>
          <w:color w:val="000000" w:themeColor="text1"/>
          <w:sz w:val="24"/>
        </w:rPr>
        <w:t>’</w:t>
      </w:r>
      <w:r w:rsidRPr="00E224E9">
        <w:rPr>
          <w:rFonts w:ascii="標楷體" w:hAnsi="標楷體" w:hint="eastAsia"/>
          <w:color w:val="000000" w:themeColor="text1"/>
          <w:sz w:val="24"/>
        </w:rPr>
        <w:t>s，D.Fitch，E.TW，</w:t>
      </w:r>
      <w:r w:rsidRPr="00E224E9">
        <w:rPr>
          <w:rFonts w:ascii="標楷體" w:hAnsi="標楷體"/>
          <w:color w:val="000000" w:themeColor="text1"/>
          <w:sz w:val="24"/>
        </w:rPr>
        <w:t>F.</w:t>
      </w:r>
      <w:r w:rsidR="0016326D" w:rsidRPr="00E224E9">
        <w:rPr>
          <w:rFonts w:ascii="標楷體" w:hAnsi="標楷體"/>
          <w:color w:val="000000" w:themeColor="text1"/>
          <w:sz w:val="24"/>
        </w:rPr>
        <w:t>KBRA</w:t>
      </w:r>
      <w:r w:rsidR="0016326D" w:rsidRPr="00E224E9">
        <w:rPr>
          <w:rFonts w:ascii="標楷體" w:hAnsi="標楷體" w:hint="eastAsia"/>
          <w:color w:val="000000" w:themeColor="text1"/>
          <w:sz w:val="24"/>
        </w:rPr>
        <w:t>，G.</w:t>
      </w:r>
      <w:r w:rsidRPr="00E224E9">
        <w:rPr>
          <w:rFonts w:ascii="標楷體" w:hAnsi="標楷體" w:hint="eastAsia"/>
          <w:color w:val="000000" w:themeColor="text1"/>
          <w:sz w:val="24"/>
        </w:rPr>
        <w:t>其他；若無，請填列「無」。</w:t>
      </w:r>
    </w:p>
    <w:p w14:paraId="02BD36D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第6欄－評等等級</w:t>
      </w:r>
    </w:p>
    <w:p w14:paraId="2FEDB5B7"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評等等級請依信用評等機構所評估之等級填列，並請以最近一年之評等資料填寫；若無者，請填列「無」。</w:t>
      </w:r>
    </w:p>
    <w:p w14:paraId="4D60FEA1"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第7欄－是否為關係人</w:t>
      </w:r>
    </w:p>
    <w:p w14:paraId="1D154C7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是否為關係人請依序填列：A.否，B. 關係人－非控制與從屬關係，C.關係人－具控制與從屬關係；所稱關係人係依</w:t>
      </w:r>
      <w:r w:rsidR="00C65703" w:rsidRPr="00E224E9">
        <w:rPr>
          <w:rFonts w:ascii="標楷體" w:hAnsi="標楷體" w:hint="eastAsia"/>
          <w:color w:val="000000" w:themeColor="text1"/>
          <w:sz w:val="24"/>
        </w:rPr>
        <w:t>國際會計準則第24號公報</w:t>
      </w:r>
      <w:r w:rsidRPr="00E224E9">
        <w:rPr>
          <w:rFonts w:ascii="標楷體" w:hAnsi="標楷體" w:hint="eastAsia"/>
          <w:color w:val="000000" w:themeColor="text1"/>
          <w:sz w:val="24"/>
        </w:rPr>
        <w:t>及公司法第369-1~369-3條、第369-9條、及第369-11條及關係企業合併營業報告書關係企業合併財務報表及關係報告書編製準則第六條之規定</w:t>
      </w:r>
      <w:r w:rsidRPr="00E224E9">
        <w:rPr>
          <w:rFonts w:ascii="標楷體" w:hAnsi="標楷體"/>
          <w:color w:val="000000" w:themeColor="text1"/>
          <w:sz w:val="24"/>
        </w:rPr>
        <w:t xml:space="preserve"> </w:t>
      </w:r>
      <w:r w:rsidRPr="00E224E9">
        <w:rPr>
          <w:rFonts w:ascii="標楷體" w:hAnsi="標楷體" w:hint="eastAsia"/>
          <w:color w:val="000000" w:themeColor="text1"/>
          <w:sz w:val="24"/>
        </w:rPr>
        <w:t>。</w:t>
      </w:r>
    </w:p>
    <w:p w14:paraId="5523533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第8欄－衍生性商品名稱</w:t>
      </w:r>
    </w:p>
    <w:p w14:paraId="473D151D"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請填列各衍生性商品之名稱，如台灣加權指數期貨、遠期美金交換等。</w:t>
      </w:r>
    </w:p>
    <w:p w14:paraId="0D5FDE1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第9欄－交易日期</w:t>
      </w:r>
    </w:p>
    <w:p w14:paraId="31D7E90E"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請填列如2006/06/25。</w:t>
      </w:r>
    </w:p>
    <w:p w14:paraId="4314899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第10欄－到期日</w:t>
      </w:r>
    </w:p>
    <w:p w14:paraId="05F02979"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請填列如2006/06/25。</w:t>
      </w:r>
    </w:p>
    <w:p w14:paraId="6973CDD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第11欄－契約數</w:t>
      </w:r>
    </w:p>
    <w:p w14:paraId="1AAC8481"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請填列該期貨或遠期契約之未平倉契約數。</w:t>
      </w:r>
    </w:p>
    <w:p w14:paraId="676402B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第12欄－契約名目部位金額</w:t>
      </w:r>
    </w:p>
    <w:p w14:paraId="02C8BC4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契約名目部位金額基本上為衍生性商品契約名目本金;若屬國外投資，請以台幣計價。</w:t>
      </w:r>
    </w:p>
    <w:p w14:paraId="69EC10E3"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第13欄－最近收盤日衍生性商品契約</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總金額</w:t>
      </w:r>
    </w:p>
    <w:p w14:paraId="2050C28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請填列依據會計準則公報第34號中『</w:t>
      </w:r>
      <w:r w:rsidR="005D7451"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』之金額。</w:t>
      </w:r>
    </w:p>
    <w:p w14:paraId="5543EC1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第14欄－未實現損益</w:t>
      </w:r>
    </w:p>
    <w:p w14:paraId="29C524E5"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未實現損益為期貨或遠期契約mark-to-market之未實現損益金額。</w:t>
      </w:r>
    </w:p>
    <w:p w14:paraId="0B25264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第15欄－衍生性商品標的物</w:t>
      </w:r>
    </w:p>
    <w:p w14:paraId="2B3B5242"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請填列衍生性商品拆解後最基本之標的物；若標的物為無法拆解之一籃子或商品</w:t>
      </w:r>
      <w:r w:rsidRPr="00E224E9">
        <w:rPr>
          <w:rFonts w:ascii="標楷體" w:hAnsi="標楷體" w:hint="eastAsia"/>
          <w:color w:val="000000" w:themeColor="text1"/>
          <w:sz w:val="24"/>
        </w:rPr>
        <w:lastRenderedPageBreak/>
        <w:t>組合，請填列「一籃子」或「商品組合」。</w:t>
      </w:r>
    </w:p>
    <w:p w14:paraId="1DCF723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第16欄－衍生性商品標的物(淨)</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w:t>
      </w:r>
    </w:p>
    <w:p w14:paraId="3A5E53D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請填列衍生性商品標的物</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總值，若衍生性標的物為無法拆解之一籃子或商品組合，請以該商品組合淨</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總值填列;若屬國外投資,請以台幣計價。</w:t>
      </w:r>
    </w:p>
    <w:p w14:paraId="4FC35C7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第17欄－被避險資產名稱</w:t>
      </w:r>
    </w:p>
    <w:p w14:paraId="14BEF04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14:paraId="7C14FD0D" w14:textId="77777777" w:rsidR="00065C53" w:rsidRPr="00E224E9" w:rsidRDefault="00065C53">
      <w:pPr>
        <w:spacing w:line="440" w:lineRule="exact"/>
        <w:ind w:leftChars="225" w:left="839" w:hangingChars="106" w:hanging="254"/>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匯率相關(標準避險)填報範例:以美元遠期契約進行以美元計價之股票部位之匯率避險，則被避險資產請填列</w:t>
      </w:r>
      <w:r w:rsidRPr="00E224E9">
        <w:rPr>
          <w:rFonts w:ascii="標楷體" w:hAnsi="標楷體" w:hint="eastAsia"/>
          <w:b/>
          <w:color w:val="000000" w:themeColor="text1"/>
          <w:sz w:val="24"/>
        </w:rPr>
        <w:t>美元</w:t>
      </w:r>
      <w:r w:rsidRPr="00E224E9">
        <w:rPr>
          <w:rFonts w:ascii="標楷體" w:hAnsi="標楷體" w:hint="eastAsia"/>
          <w:color w:val="000000" w:themeColor="text1"/>
          <w:sz w:val="24"/>
        </w:rPr>
        <w:t>，不需填列股票部位持有明細；</w:t>
      </w:r>
    </w:p>
    <w:p w14:paraId="4C3CE870" w14:textId="77777777" w:rsidR="00065C53" w:rsidRPr="00E224E9" w:rsidRDefault="00065C53">
      <w:pPr>
        <w:spacing w:line="440" w:lineRule="exact"/>
        <w:ind w:leftChars="225" w:left="839" w:hangingChars="106" w:hanging="254"/>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匯率相關(非標準避險)填報範例:以日幣遠期契約進行以韓圜計價之股票部位之匯率避險，則被避險資產請填列韓圜，不需填列股票部位持有明細；</w:t>
      </w:r>
    </w:p>
    <w:p w14:paraId="57ADEF52" w14:textId="77777777" w:rsidR="00065C53" w:rsidRPr="00E224E9" w:rsidRDefault="00065C53">
      <w:pPr>
        <w:spacing w:line="440" w:lineRule="exact"/>
        <w:ind w:leftChars="225" w:left="839" w:hangingChars="106" w:hanging="254"/>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權益證券相關避險填報範例:以台灣加權指數期貨進行A股票或股票組合P之避險，則被避險資產需填列A股票或「證券組合」。</w:t>
      </w:r>
    </w:p>
    <w:p w14:paraId="46C3067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第18欄－衍生性商品標的物與被避險資產之相關係數</w:t>
      </w:r>
    </w:p>
    <w:p w14:paraId="42DAD4DF"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請填入衍生性商品標的物與被避險資產之「價格變動率」相關係數。</w:t>
      </w:r>
    </w:p>
    <w:p w14:paraId="60255536" w14:textId="77777777" w:rsidR="001474C1" w:rsidRPr="00E224E9" w:rsidRDefault="001474C1" w:rsidP="001474C1">
      <w:pPr>
        <w:spacing w:line="440" w:lineRule="exact"/>
        <w:rPr>
          <w:rFonts w:ascii="標楷體" w:hAnsi="標楷體"/>
          <w:color w:val="000000" w:themeColor="text1"/>
          <w:sz w:val="24"/>
        </w:rPr>
      </w:pPr>
      <w:r w:rsidRPr="00E224E9">
        <w:rPr>
          <w:rFonts w:ascii="標楷體" w:hAnsi="標楷體" w:hint="eastAsia"/>
          <w:color w:val="000000" w:themeColor="text1"/>
          <w:sz w:val="24"/>
        </w:rPr>
        <w:t>第19欄－被避險資產β值</w:t>
      </w:r>
    </w:p>
    <w:p w14:paraId="1342EF88" w14:textId="77777777" w:rsidR="001474C1" w:rsidRPr="00E224E9" w:rsidRDefault="001474C1" w:rsidP="001474C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w:t>
      </w:r>
      <w:r w:rsidR="00273457" w:rsidRPr="00E224E9">
        <w:rPr>
          <w:rFonts w:ascii="標楷體" w:hAnsi="標楷體" w:hint="eastAsia"/>
          <w:color w:val="000000" w:themeColor="text1"/>
          <w:sz w:val="24"/>
        </w:rPr>
        <w:t>「以避險為目的—權益證券相關(可扣抵風險資本)」被避險資產組合於評價日之β值</w:t>
      </w:r>
      <w:r w:rsidRPr="00E224E9">
        <w:rPr>
          <w:rFonts w:ascii="標楷體" w:hAnsi="標楷體" w:hint="eastAsia"/>
          <w:color w:val="000000" w:themeColor="text1"/>
          <w:sz w:val="24"/>
        </w:rPr>
        <w:t>。</w:t>
      </w:r>
    </w:p>
    <w:p w14:paraId="09EBF200" w14:textId="77777777" w:rsidR="001474C1" w:rsidRPr="00E224E9" w:rsidRDefault="001474C1" w:rsidP="001474C1">
      <w:pPr>
        <w:spacing w:line="440" w:lineRule="exact"/>
        <w:rPr>
          <w:rFonts w:ascii="標楷體" w:hAnsi="標楷體"/>
          <w:color w:val="000000" w:themeColor="text1"/>
          <w:sz w:val="24"/>
        </w:rPr>
      </w:pPr>
      <w:r w:rsidRPr="00E224E9">
        <w:rPr>
          <w:rFonts w:ascii="標楷體" w:hAnsi="標楷體" w:hint="eastAsia"/>
          <w:color w:val="000000" w:themeColor="text1"/>
          <w:sz w:val="24"/>
        </w:rPr>
        <w:t>第20欄－</w:t>
      </w:r>
      <w:r w:rsidR="00273457" w:rsidRPr="00E224E9">
        <w:rPr>
          <w:rFonts w:ascii="標楷體" w:hAnsi="標楷體" w:hint="eastAsia"/>
          <w:color w:val="000000" w:themeColor="text1"/>
          <w:sz w:val="24"/>
        </w:rPr>
        <w:t>被避險資產</w:t>
      </w:r>
      <w:r w:rsidRPr="00E224E9">
        <w:rPr>
          <w:rFonts w:ascii="標楷體" w:hAnsi="標楷體" w:hint="eastAsia"/>
          <w:color w:val="000000" w:themeColor="text1"/>
          <w:sz w:val="24"/>
        </w:rPr>
        <w:t>成分股支數</w:t>
      </w:r>
    </w:p>
    <w:p w14:paraId="3BAFA951" w14:textId="77777777" w:rsidR="001474C1" w:rsidRPr="00E224E9" w:rsidRDefault="00273457" w:rsidP="001474C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請填列「以避險為目的—權益證券相關(可扣抵風險資本)」</w:t>
      </w:r>
      <w:r w:rsidR="00840BD2" w:rsidRPr="00E224E9">
        <w:rPr>
          <w:rFonts w:ascii="標楷體" w:hAnsi="標楷體" w:hint="eastAsia"/>
          <w:color w:val="000000" w:themeColor="text1"/>
          <w:sz w:val="24"/>
        </w:rPr>
        <w:t>被避險資產組合三大指數成分股支數</w:t>
      </w:r>
      <w:r w:rsidRPr="00E224E9">
        <w:rPr>
          <w:rFonts w:ascii="標楷體" w:hAnsi="標楷體" w:hint="eastAsia"/>
          <w:color w:val="000000" w:themeColor="text1"/>
          <w:sz w:val="24"/>
        </w:rPr>
        <w:t>。</w:t>
      </w:r>
    </w:p>
    <w:p w14:paraId="5CFF4E8F" w14:textId="77777777" w:rsidR="001474C1" w:rsidRPr="00E224E9" w:rsidRDefault="001474C1" w:rsidP="001474C1">
      <w:pPr>
        <w:spacing w:line="440" w:lineRule="exact"/>
        <w:rPr>
          <w:rFonts w:ascii="標楷體" w:hAnsi="標楷體"/>
          <w:color w:val="000000" w:themeColor="text1"/>
          <w:sz w:val="24"/>
        </w:rPr>
      </w:pPr>
      <w:r w:rsidRPr="00E224E9">
        <w:rPr>
          <w:rFonts w:ascii="標楷體" w:hAnsi="標楷體" w:hint="eastAsia"/>
          <w:color w:val="000000" w:themeColor="text1"/>
          <w:sz w:val="24"/>
        </w:rPr>
        <w:t>第21欄－被避險資產為臺灣50成分股支數</w:t>
      </w:r>
    </w:p>
    <w:p w14:paraId="49759E63" w14:textId="77777777" w:rsidR="001474C1" w:rsidRPr="00E224E9" w:rsidRDefault="00840BD2">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請填列「以避險為目的—權益證券相關(可扣抵風險資本)」被避險資產組合為「臺灣50指數」成分股</w:t>
      </w:r>
      <w:r w:rsidR="00995461" w:rsidRPr="00E224E9">
        <w:rPr>
          <w:rFonts w:ascii="標楷體" w:hAnsi="標楷體" w:hint="eastAsia"/>
          <w:color w:val="000000" w:themeColor="text1"/>
          <w:sz w:val="24"/>
        </w:rPr>
        <w:t>支數</w:t>
      </w:r>
      <w:r w:rsidR="001474C1" w:rsidRPr="00E224E9">
        <w:rPr>
          <w:rFonts w:ascii="標楷體" w:hAnsi="標楷體" w:hint="eastAsia"/>
          <w:color w:val="000000" w:themeColor="text1"/>
          <w:sz w:val="24"/>
        </w:rPr>
        <w:t>。</w:t>
      </w:r>
    </w:p>
    <w:p w14:paraId="404A1F0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1474C1" w:rsidRPr="00E224E9">
        <w:rPr>
          <w:rFonts w:ascii="標楷體" w:hAnsi="標楷體" w:hint="eastAsia"/>
          <w:color w:val="000000" w:themeColor="text1"/>
          <w:sz w:val="24"/>
        </w:rPr>
        <w:t>22</w:t>
      </w:r>
      <w:r w:rsidRPr="00E224E9">
        <w:rPr>
          <w:rFonts w:ascii="標楷體" w:hAnsi="標楷體" w:hint="eastAsia"/>
          <w:color w:val="000000" w:themeColor="text1"/>
          <w:sz w:val="24"/>
        </w:rPr>
        <w:t>欄－最後持有資產幣別</w:t>
      </w:r>
    </w:p>
    <w:p w14:paraId="7694E199"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請填列該衍生性商品契約結算或執行後最終持有之幣別；若最後持有資產幣別為一籃子，請填列「一籃子」。</w:t>
      </w:r>
    </w:p>
    <w:p w14:paraId="489FA22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1474C1" w:rsidRPr="00E224E9">
        <w:rPr>
          <w:rFonts w:ascii="標楷體" w:hAnsi="標楷體" w:hint="eastAsia"/>
          <w:color w:val="000000" w:themeColor="text1"/>
          <w:sz w:val="24"/>
        </w:rPr>
        <w:t>23</w:t>
      </w:r>
      <w:r w:rsidRPr="00E224E9">
        <w:rPr>
          <w:rFonts w:ascii="標楷體" w:hAnsi="標楷體" w:hint="eastAsia"/>
          <w:color w:val="000000" w:themeColor="text1"/>
          <w:sz w:val="24"/>
        </w:rPr>
        <w:t>欄－保管情形</w:t>
      </w:r>
    </w:p>
    <w:p w14:paraId="2F1D2191"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保管情形請填保管機構名稱及帳號,若屬集保帳戶請填集保。</w:t>
      </w:r>
    </w:p>
    <w:p w14:paraId="0B9D784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1474C1" w:rsidRPr="00E224E9">
        <w:rPr>
          <w:rFonts w:ascii="標楷體" w:hAnsi="標楷體" w:hint="eastAsia"/>
          <w:color w:val="000000" w:themeColor="text1"/>
          <w:sz w:val="24"/>
        </w:rPr>
        <w:t>24</w:t>
      </w:r>
      <w:r w:rsidRPr="00E224E9">
        <w:rPr>
          <w:rFonts w:ascii="標楷體" w:hAnsi="標楷體" w:hint="eastAsia"/>
          <w:color w:val="000000" w:themeColor="text1"/>
          <w:sz w:val="24"/>
        </w:rPr>
        <w:t>欄－備註</w:t>
      </w:r>
    </w:p>
    <w:p w14:paraId="331B9235"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lastRenderedPageBreak/>
        <w:t>若有其他需要補充說明之事項，請填列於此欄。</w:t>
      </w:r>
    </w:p>
    <w:p w14:paraId="43C4DC5C" w14:textId="77777777" w:rsidR="00C6718A" w:rsidRPr="00E224E9" w:rsidRDefault="00C6718A">
      <w:pPr>
        <w:spacing w:line="440" w:lineRule="exact"/>
        <w:ind w:leftChars="225" w:left="585"/>
        <w:rPr>
          <w:rFonts w:ascii="標楷體" w:hAnsi="標楷體"/>
          <w:color w:val="000000" w:themeColor="text1"/>
          <w:sz w:val="24"/>
        </w:rPr>
      </w:pPr>
    </w:p>
    <w:p w14:paraId="72469ED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以下為主要列之說明：</w:t>
      </w:r>
    </w:p>
    <w:p w14:paraId="1A48B41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第1列~第</w:t>
      </w:r>
      <w:r w:rsidR="005D7615" w:rsidRPr="00E224E9">
        <w:rPr>
          <w:rFonts w:ascii="標楷體" w:hAnsi="標楷體" w:hint="eastAsia"/>
          <w:color w:val="000000" w:themeColor="text1"/>
          <w:sz w:val="24"/>
        </w:rPr>
        <w:t>125</w:t>
      </w:r>
      <w:r w:rsidRPr="00E224E9">
        <w:rPr>
          <w:rFonts w:ascii="標楷體" w:hAnsi="標楷體" w:hint="eastAsia"/>
          <w:color w:val="000000" w:themeColor="text1"/>
          <w:sz w:val="24"/>
        </w:rPr>
        <w:t>列－以避險為目的</w:t>
      </w:r>
    </w:p>
    <w:p w14:paraId="723288E2"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自第1列至第</w:t>
      </w:r>
      <w:r w:rsidR="005D7615" w:rsidRPr="00E224E9">
        <w:rPr>
          <w:rFonts w:ascii="標楷體" w:hAnsi="標楷體" w:hint="eastAsia"/>
          <w:color w:val="000000" w:themeColor="text1"/>
          <w:sz w:val="24"/>
        </w:rPr>
        <w:t>125</w:t>
      </w:r>
      <w:r w:rsidRPr="00E224E9">
        <w:rPr>
          <w:rFonts w:ascii="標楷體" w:hAnsi="標楷體" w:hint="eastAsia"/>
          <w:color w:val="000000" w:themeColor="text1"/>
          <w:sz w:val="24"/>
        </w:rPr>
        <w:t>列請填列以避險為目的之期貨或遠期契約各欄之明細資料。</w:t>
      </w:r>
    </w:p>
    <w:p w14:paraId="17BA49D4"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請依各期貨及遠期契約之標的物類型、被避險資產所屬國家</w:t>
      </w:r>
      <w:r w:rsidR="005D7615" w:rsidRPr="00E224E9">
        <w:rPr>
          <w:rFonts w:ascii="標楷體" w:hAnsi="標楷體" w:hint="eastAsia"/>
          <w:color w:val="000000" w:themeColor="text1"/>
          <w:sz w:val="24"/>
        </w:rPr>
        <w:t>、被避險資產成分股支數</w:t>
      </w:r>
      <w:r w:rsidRPr="00E224E9">
        <w:rPr>
          <w:rFonts w:ascii="標楷體" w:hAnsi="標楷體" w:hint="eastAsia"/>
          <w:color w:val="000000" w:themeColor="text1"/>
          <w:sz w:val="24"/>
        </w:rPr>
        <w:t>，分別填列於以下列次：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693"/>
        <w:gridCol w:w="2027"/>
      </w:tblGrid>
      <w:tr w:rsidR="00E224E9" w:rsidRPr="00E224E9" w14:paraId="2E451303" w14:textId="77777777" w:rsidTr="00C93145">
        <w:tc>
          <w:tcPr>
            <w:tcW w:w="2268" w:type="dxa"/>
          </w:tcPr>
          <w:p w14:paraId="60AF0A14"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2552" w:type="dxa"/>
          </w:tcPr>
          <w:p w14:paraId="362286B8"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693" w:type="dxa"/>
          </w:tcPr>
          <w:p w14:paraId="6597186F" w14:textId="77777777" w:rsidR="00C93145"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被避險資產所屬國家</w:t>
            </w:r>
            <w:r w:rsidR="00840BD2" w:rsidRPr="00E224E9">
              <w:rPr>
                <w:rFonts w:ascii="標楷體" w:hAnsi="標楷體" w:hint="eastAsia"/>
                <w:color w:val="000000" w:themeColor="text1"/>
                <w:sz w:val="24"/>
              </w:rPr>
              <w:t>/</w:t>
            </w:r>
          </w:p>
          <w:p w14:paraId="70914120" w14:textId="77777777" w:rsidR="00065C53" w:rsidRPr="00E224E9" w:rsidRDefault="00840BD2">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被避險資產成分股支數</w:t>
            </w:r>
          </w:p>
        </w:tc>
        <w:tc>
          <w:tcPr>
            <w:tcW w:w="2027" w:type="dxa"/>
          </w:tcPr>
          <w:p w14:paraId="0F7C4A8F"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35F08975" w14:textId="77777777" w:rsidTr="00C93145">
        <w:tc>
          <w:tcPr>
            <w:tcW w:w="2268" w:type="dxa"/>
            <w:vAlign w:val="center"/>
          </w:tcPr>
          <w:p w14:paraId="2AF7235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第1列~第13列</w:t>
            </w:r>
          </w:p>
        </w:tc>
        <w:tc>
          <w:tcPr>
            <w:tcW w:w="2552" w:type="dxa"/>
            <w:vAlign w:val="center"/>
          </w:tcPr>
          <w:p w14:paraId="6614BFB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匯率(標準避險)</w:t>
            </w:r>
          </w:p>
        </w:tc>
        <w:tc>
          <w:tcPr>
            <w:tcW w:w="2693" w:type="dxa"/>
            <w:vAlign w:val="center"/>
          </w:tcPr>
          <w:p w14:paraId="450B9EE8"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027" w:type="dxa"/>
            <w:vAlign w:val="center"/>
          </w:tcPr>
          <w:p w14:paraId="69DBF26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第13列為第1列~第12列小計</w:t>
            </w:r>
          </w:p>
        </w:tc>
      </w:tr>
      <w:tr w:rsidR="00E224E9" w:rsidRPr="00E224E9" w14:paraId="26A27AF9" w14:textId="77777777" w:rsidTr="00C93145">
        <w:tc>
          <w:tcPr>
            <w:tcW w:w="2268" w:type="dxa"/>
            <w:vAlign w:val="center"/>
          </w:tcPr>
          <w:p w14:paraId="67D60E04"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第14列~第26列</w:t>
            </w:r>
          </w:p>
        </w:tc>
        <w:tc>
          <w:tcPr>
            <w:tcW w:w="2552" w:type="dxa"/>
            <w:vAlign w:val="center"/>
          </w:tcPr>
          <w:p w14:paraId="19E4985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匯率(標準避險)</w:t>
            </w:r>
          </w:p>
        </w:tc>
        <w:tc>
          <w:tcPr>
            <w:tcW w:w="2693" w:type="dxa"/>
            <w:vAlign w:val="center"/>
          </w:tcPr>
          <w:p w14:paraId="71B599EC"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027" w:type="dxa"/>
            <w:vAlign w:val="center"/>
          </w:tcPr>
          <w:p w14:paraId="5EDEDBC8"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第26列為第14列~第25列小計</w:t>
            </w:r>
          </w:p>
        </w:tc>
      </w:tr>
      <w:tr w:rsidR="00E224E9" w:rsidRPr="00E224E9" w14:paraId="0C6C57C6" w14:textId="77777777" w:rsidTr="00C93145">
        <w:tc>
          <w:tcPr>
            <w:tcW w:w="2268" w:type="dxa"/>
            <w:vAlign w:val="center"/>
          </w:tcPr>
          <w:p w14:paraId="42546AD7"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第27列~第</w:t>
            </w:r>
            <w:r w:rsidR="00DB05A6" w:rsidRPr="00E224E9">
              <w:rPr>
                <w:rFonts w:ascii="標楷體" w:hAnsi="標楷體" w:hint="eastAsia"/>
                <w:color w:val="000000" w:themeColor="text1"/>
                <w:sz w:val="24"/>
              </w:rPr>
              <w:t>37</w:t>
            </w:r>
            <w:r w:rsidRPr="00E224E9">
              <w:rPr>
                <w:rFonts w:ascii="標楷體" w:hAnsi="標楷體" w:hint="eastAsia"/>
                <w:color w:val="000000" w:themeColor="text1"/>
                <w:sz w:val="24"/>
              </w:rPr>
              <w:t>列</w:t>
            </w:r>
          </w:p>
        </w:tc>
        <w:tc>
          <w:tcPr>
            <w:tcW w:w="2552" w:type="dxa"/>
            <w:vAlign w:val="center"/>
          </w:tcPr>
          <w:p w14:paraId="3B937F6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匯率(非標準避險)</w:t>
            </w:r>
          </w:p>
        </w:tc>
        <w:tc>
          <w:tcPr>
            <w:tcW w:w="2693" w:type="dxa"/>
            <w:vAlign w:val="center"/>
          </w:tcPr>
          <w:p w14:paraId="248BE006"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027" w:type="dxa"/>
            <w:vAlign w:val="center"/>
          </w:tcPr>
          <w:p w14:paraId="251E09D8"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37</w:t>
            </w:r>
            <w:r w:rsidRPr="00E224E9">
              <w:rPr>
                <w:rFonts w:ascii="標楷體" w:hAnsi="標楷體" w:hint="eastAsia"/>
                <w:color w:val="000000" w:themeColor="text1"/>
                <w:sz w:val="24"/>
              </w:rPr>
              <w:t>列為第27列~第</w:t>
            </w:r>
            <w:r w:rsidR="00DB05A6" w:rsidRPr="00E224E9">
              <w:rPr>
                <w:rFonts w:ascii="標楷體" w:hAnsi="標楷體" w:hint="eastAsia"/>
                <w:color w:val="000000" w:themeColor="text1"/>
                <w:sz w:val="24"/>
              </w:rPr>
              <w:t>36</w:t>
            </w:r>
            <w:r w:rsidRPr="00E224E9">
              <w:rPr>
                <w:rFonts w:ascii="標楷體" w:hAnsi="標楷體" w:hint="eastAsia"/>
                <w:color w:val="000000" w:themeColor="text1"/>
                <w:sz w:val="24"/>
              </w:rPr>
              <w:t>列小計</w:t>
            </w:r>
          </w:p>
        </w:tc>
      </w:tr>
      <w:tr w:rsidR="00E224E9" w:rsidRPr="00E224E9" w14:paraId="14630B04" w14:textId="77777777" w:rsidTr="00C93145">
        <w:tc>
          <w:tcPr>
            <w:tcW w:w="2268" w:type="dxa"/>
            <w:vAlign w:val="center"/>
          </w:tcPr>
          <w:p w14:paraId="336FF22A"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38</w:t>
            </w:r>
            <w:r w:rsidRPr="00E224E9">
              <w:rPr>
                <w:rFonts w:ascii="標楷體" w:hAnsi="標楷體" w:hint="eastAsia"/>
                <w:color w:val="000000" w:themeColor="text1"/>
                <w:sz w:val="24"/>
              </w:rPr>
              <w:t>列~第48列</w:t>
            </w:r>
          </w:p>
        </w:tc>
        <w:tc>
          <w:tcPr>
            <w:tcW w:w="2552" w:type="dxa"/>
            <w:vAlign w:val="center"/>
          </w:tcPr>
          <w:p w14:paraId="68AA07A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匯率(非標準避險)</w:t>
            </w:r>
          </w:p>
        </w:tc>
        <w:tc>
          <w:tcPr>
            <w:tcW w:w="2693" w:type="dxa"/>
            <w:vAlign w:val="center"/>
          </w:tcPr>
          <w:p w14:paraId="5DF5708E"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027" w:type="dxa"/>
            <w:vAlign w:val="center"/>
          </w:tcPr>
          <w:p w14:paraId="2BEBE954" w14:textId="77777777" w:rsidR="00065C53" w:rsidRPr="00E224E9" w:rsidRDefault="00065C53" w:rsidP="00DB05A6">
            <w:pPr>
              <w:rPr>
                <w:rFonts w:ascii="標楷體" w:hAnsi="標楷體"/>
                <w:color w:val="000000" w:themeColor="text1"/>
              </w:rPr>
            </w:pPr>
            <w:r w:rsidRPr="00E224E9">
              <w:rPr>
                <w:rFonts w:ascii="標楷體" w:hAnsi="標楷體" w:hint="eastAsia"/>
                <w:color w:val="000000" w:themeColor="text1"/>
                <w:sz w:val="24"/>
              </w:rPr>
              <w:t>第48列為第3</w:t>
            </w:r>
            <w:r w:rsidR="00DB05A6" w:rsidRPr="00E224E9">
              <w:rPr>
                <w:rFonts w:ascii="標楷體" w:hAnsi="標楷體" w:hint="eastAsia"/>
                <w:color w:val="000000" w:themeColor="text1"/>
                <w:sz w:val="24"/>
              </w:rPr>
              <w:t>8</w:t>
            </w:r>
            <w:r w:rsidRPr="00E224E9">
              <w:rPr>
                <w:rFonts w:ascii="標楷體" w:hAnsi="標楷體" w:hint="eastAsia"/>
                <w:color w:val="000000" w:themeColor="text1"/>
                <w:sz w:val="24"/>
              </w:rPr>
              <w:t>列~第47列小計</w:t>
            </w:r>
          </w:p>
        </w:tc>
      </w:tr>
      <w:tr w:rsidR="00E224E9" w:rsidRPr="00E224E9" w14:paraId="187F7D2A" w14:textId="77777777" w:rsidTr="00C93145">
        <w:tc>
          <w:tcPr>
            <w:tcW w:w="2268" w:type="dxa"/>
            <w:vAlign w:val="center"/>
          </w:tcPr>
          <w:p w14:paraId="36AA6794"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第49列~第59列</w:t>
            </w:r>
          </w:p>
        </w:tc>
        <w:tc>
          <w:tcPr>
            <w:tcW w:w="2552" w:type="dxa"/>
            <w:vAlign w:val="center"/>
          </w:tcPr>
          <w:p w14:paraId="42546B69"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權益證券相關(可扣抵風險資本)</w:t>
            </w:r>
          </w:p>
        </w:tc>
        <w:tc>
          <w:tcPr>
            <w:tcW w:w="2693" w:type="dxa"/>
            <w:vAlign w:val="center"/>
          </w:tcPr>
          <w:p w14:paraId="3BA98265" w14:textId="77777777" w:rsidR="00840BD2" w:rsidRPr="00E224E9" w:rsidRDefault="00840BD2" w:rsidP="00840BD2">
            <w:pPr>
              <w:spacing w:line="440" w:lineRule="exact"/>
              <w:rPr>
                <w:rFonts w:ascii="Book Antiqua" w:hAnsi="標楷體"/>
                <w:color w:val="000000" w:themeColor="text1"/>
                <w:sz w:val="24"/>
              </w:rPr>
            </w:pPr>
            <w:r w:rsidRPr="00E224E9">
              <w:rPr>
                <w:rFonts w:ascii="Book Antiqua" w:hAnsi="標楷體" w:hint="eastAsia"/>
                <w:color w:val="000000" w:themeColor="text1"/>
                <w:sz w:val="24"/>
              </w:rPr>
              <w:t>30~70</w:t>
            </w:r>
            <w:r w:rsidRPr="00E224E9">
              <w:rPr>
                <w:rFonts w:ascii="Book Antiqua" w:hAnsi="標楷體" w:hint="eastAsia"/>
                <w:color w:val="000000" w:themeColor="text1"/>
                <w:sz w:val="24"/>
              </w:rPr>
              <w:t>支</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風險抵減</w:t>
            </w:r>
            <w:r w:rsidRPr="00E224E9">
              <w:rPr>
                <w:rFonts w:ascii="Book Antiqua" w:hAnsi="標楷體" w:hint="eastAsia"/>
                <w:color w:val="000000" w:themeColor="text1"/>
                <w:sz w:val="24"/>
              </w:rPr>
              <w:t>50%)</w:t>
            </w:r>
          </w:p>
        </w:tc>
        <w:tc>
          <w:tcPr>
            <w:tcW w:w="2027" w:type="dxa"/>
            <w:vAlign w:val="center"/>
          </w:tcPr>
          <w:p w14:paraId="70FC4211"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第59列為第49列~第58列小計</w:t>
            </w:r>
          </w:p>
        </w:tc>
      </w:tr>
      <w:tr w:rsidR="00E224E9" w:rsidRPr="00E224E9" w14:paraId="3C734718" w14:textId="77777777" w:rsidTr="00C93145">
        <w:tc>
          <w:tcPr>
            <w:tcW w:w="2268" w:type="dxa"/>
            <w:vAlign w:val="center"/>
          </w:tcPr>
          <w:p w14:paraId="6DF178D1"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第60列~第70列</w:t>
            </w:r>
          </w:p>
        </w:tc>
        <w:tc>
          <w:tcPr>
            <w:tcW w:w="2552" w:type="dxa"/>
            <w:vAlign w:val="center"/>
          </w:tcPr>
          <w:p w14:paraId="63B4CB7B"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權益證券相關(可扣抵風險資本)</w:t>
            </w:r>
          </w:p>
        </w:tc>
        <w:tc>
          <w:tcPr>
            <w:tcW w:w="2693" w:type="dxa"/>
            <w:vAlign w:val="center"/>
          </w:tcPr>
          <w:p w14:paraId="29EF1AB5" w14:textId="77777777" w:rsidR="00840BD2" w:rsidRPr="00E224E9" w:rsidRDefault="00840BD2" w:rsidP="00840BD2">
            <w:pPr>
              <w:spacing w:line="440" w:lineRule="exact"/>
              <w:rPr>
                <w:rFonts w:ascii="Book Antiqua" w:hAnsi="標楷體"/>
                <w:color w:val="000000" w:themeColor="text1"/>
                <w:sz w:val="24"/>
              </w:rPr>
            </w:pPr>
            <w:r w:rsidRPr="00E224E9">
              <w:rPr>
                <w:rFonts w:ascii="Book Antiqua" w:hAnsi="標楷體" w:hint="eastAsia"/>
                <w:color w:val="000000" w:themeColor="text1"/>
                <w:sz w:val="24"/>
              </w:rPr>
              <w:t>70(</w:t>
            </w:r>
            <w:r w:rsidRPr="00E224E9">
              <w:rPr>
                <w:rFonts w:ascii="Book Antiqua" w:hAnsi="標楷體" w:hint="eastAsia"/>
                <w:color w:val="000000" w:themeColor="text1"/>
                <w:sz w:val="24"/>
              </w:rPr>
              <w:t>含</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支以上</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風險抵減</w:t>
            </w:r>
            <w:r w:rsidRPr="00E224E9">
              <w:rPr>
                <w:rFonts w:ascii="Book Antiqua" w:hAnsi="標楷體" w:hint="eastAsia"/>
                <w:color w:val="000000" w:themeColor="text1"/>
                <w:sz w:val="24"/>
              </w:rPr>
              <w:t>65%)</w:t>
            </w:r>
          </w:p>
        </w:tc>
        <w:tc>
          <w:tcPr>
            <w:tcW w:w="2027" w:type="dxa"/>
            <w:vAlign w:val="center"/>
          </w:tcPr>
          <w:p w14:paraId="54E0503E"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第70列為第60列~第69列小計</w:t>
            </w:r>
          </w:p>
        </w:tc>
      </w:tr>
      <w:tr w:rsidR="00E224E9" w:rsidRPr="00E224E9" w14:paraId="5690D174" w14:textId="77777777" w:rsidTr="00C93145">
        <w:tc>
          <w:tcPr>
            <w:tcW w:w="2268" w:type="dxa"/>
            <w:vAlign w:val="center"/>
          </w:tcPr>
          <w:p w14:paraId="2D7B4521"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第71列~第81列</w:t>
            </w:r>
          </w:p>
        </w:tc>
        <w:tc>
          <w:tcPr>
            <w:tcW w:w="2552" w:type="dxa"/>
            <w:vAlign w:val="center"/>
          </w:tcPr>
          <w:p w14:paraId="6D17BB8F"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權益證券相關(不可扣抵風險資本)</w:t>
            </w:r>
          </w:p>
        </w:tc>
        <w:tc>
          <w:tcPr>
            <w:tcW w:w="2693" w:type="dxa"/>
            <w:vAlign w:val="center"/>
          </w:tcPr>
          <w:p w14:paraId="42833C1C"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027" w:type="dxa"/>
            <w:vAlign w:val="center"/>
          </w:tcPr>
          <w:p w14:paraId="3FA5CC06"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第81列為第71列~第80列小計</w:t>
            </w:r>
          </w:p>
        </w:tc>
      </w:tr>
      <w:tr w:rsidR="00E224E9" w:rsidRPr="00E224E9" w14:paraId="531E77F9" w14:textId="77777777" w:rsidTr="00C93145">
        <w:tc>
          <w:tcPr>
            <w:tcW w:w="2268" w:type="dxa"/>
            <w:vAlign w:val="center"/>
          </w:tcPr>
          <w:p w14:paraId="0CC02FBA"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第82列~第92列</w:t>
            </w:r>
          </w:p>
        </w:tc>
        <w:tc>
          <w:tcPr>
            <w:tcW w:w="2552" w:type="dxa"/>
            <w:vAlign w:val="center"/>
          </w:tcPr>
          <w:p w14:paraId="43F3AB37"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權益證券相關(不可扣抵風險資本)</w:t>
            </w:r>
          </w:p>
        </w:tc>
        <w:tc>
          <w:tcPr>
            <w:tcW w:w="2693" w:type="dxa"/>
            <w:vAlign w:val="center"/>
          </w:tcPr>
          <w:p w14:paraId="75FC431B" w14:textId="77777777" w:rsidR="00840BD2" w:rsidRPr="00E224E9" w:rsidRDefault="00840BD2" w:rsidP="00840BD2">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027" w:type="dxa"/>
            <w:vAlign w:val="center"/>
          </w:tcPr>
          <w:p w14:paraId="69A752C0"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第92列為第82列~第91列小計</w:t>
            </w:r>
          </w:p>
        </w:tc>
      </w:tr>
      <w:tr w:rsidR="00E224E9" w:rsidRPr="00E224E9" w14:paraId="0E62C7D6" w14:textId="77777777" w:rsidTr="00C93145">
        <w:tc>
          <w:tcPr>
            <w:tcW w:w="2268" w:type="dxa"/>
            <w:vAlign w:val="center"/>
          </w:tcPr>
          <w:p w14:paraId="52ED7EB2"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第93列~第103列</w:t>
            </w:r>
          </w:p>
        </w:tc>
        <w:tc>
          <w:tcPr>
            <w:tcW w:w="2552" w:type="dxa"/>
            <w:vAlign w:val="center"/>
          </w:tcPr>
          <w:p w14:paraId="7C225A70"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權益證券相關(不可扣抵風險資本)</w:t>
            </w:r>
          </w:p>
        </w:tc>
        <w:tc>
          <w:tcPr>
            <w:tcW w:w="2693" w:type="dxa"/>
            <w:vAlign w:val="center"/>
          </w:tcPr>
          <w:p w14:paraId="4CF46A7B" w14:textId="77777777" w:rsidR="00840BD2" w:rsidRPr="00E224E9" w:rsidRDefault="00840BD2" w:rsidP="00840BD2">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027" w:type="dxa"/>
            <w:vAlign w:val="center"/>
          </w:tcPr>
          <w:p w14:paraId="57A5CAD2"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第103列為第93列~第102列小計</w:t>
            </w:r>
          </w:p>
        </w:tc>
      </w:tr>
      <w:tr w:rsidR="00E224E9" w:rsidRPr="00E224E9" w14:paraId="5B81AFF3" w14:textId="77777777" w:rsidTr="00C93145">
        <w:tc>
          <w:tcPr>
            <w:tcW w:w="2268" w:type="dxa"/>
            <w:vAlign w:val="center"/>
          </w:tcPr>
          <w:p w14:paraId="7E9925A5" w14:textId="77777777" w:rsidR="00840BD2" w:rsidRPr="00E224E9" w:rsidRDefault="00840BD2" w:rsidP="001F08E1">
            <w:pPr>
              <w:rPr>
                <w:rFonts w:ascii="標楷體" w:hAnsi="標楷體"/>
                <w:color w:val="000000" w:themeColor="text1"/>
              </w:rPr>
            </w:pPr>
            <w:r w:rsidRPr="00E224E9">
              <w:rPr>
                <w:rFonts w:ascii="標楷體" w:hAnsi="標楷體" w:hint="eastAsia"/>
                <w:color w:val="000000" w:themeColor="text1"/>
                <w:sz w:val="24"/>
              </w:rPr>
              <w:t>第</w:t>
            </w:r>
            <w:r w:rsidR="001F08E1" w:rsidRPr="00E224E9">
              <w:rPr>
                <w:rFonts w:ascii="標楷體" w:hAnsi="標楷體" w:hint="eastAsia"/>
                <w:color w:val="000000" w:themeColor="text1"/>
                <w:sz w:val="24"/>
              </w:rPr>
              <w:t>104</w:t>
            </w:r>
            <w:r w:rsidRPr="00E224E9">
              <w:rPr>
                <w:rFonts w:ascii="標楷體" w:hAnsi="標楷體" w:hint="eastAsia"/>
                <w:color w:val="000000" w:themeColor="text1"/>
                <w:sz w:val="24"/>
              </w:rPr>
              <w:t>列~第1</w:t>
            </w:r>
            <w:r w:rsidR="001F08E1" w:rsidRPr="00E224E9">
              <w:rPr>
                <w:rFonts w:ascii="標楷體" w:hAnsi="標楷體" w:hint="eastAsia"/>
                <w:color w:val="000000" w:themeColor="text1"/>
                <w:sz w:val="24"/>
              </w:rPr>
              <w:t>1</w:t>
            </w:r>
            <w:r w:rsidRPr="00E224E9">
              <w:rPr>
                <w:rFonts w:ascii="標楷體" w:hAnsi="標楷體" w:hint="eastAsia"/>
                <w:color w:val="000000" w:themeColor="text1"/>
                <w:sz w:val="24"/>
              </w:rPr>
              <w:t>0列</w:t>
            </w:r>
          </w:p>
        </w:tc>
        <w:tc>
          <w:tcPr>
            <w:tcW w:w="2552" w:type="dxa"/>
            <w:vAlign w:val="center"/>
          </w:tcPr>
          <w:p w14:paraId="54462107"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693" w:type="dxa"/>
            <w:vAlign w:val="center"/>
          </w:tcPr>
          <w:p w14:paraId="216DED93"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027" w:type="dxa"/>
            <w:vAlign w:val="center"/>
          </w:tcPr>
          <w:p w14:paraId="113FE6B0"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110</w:t>
            </w:r>
            <w:r w:rsidRPr="00E224E9">
              <w:rPr>
                <w:rFonts w:ascii="標楷體" w:hAnsi="標楷體" w:hint="eastAsia"/>
                <w:color w:val="000000" w:themeColor="text1"/>
                <w:sz w:val="24"/>
              </w:rPr>
              <w:t>列為第</w:t>
            </w:r>
            <w:r w:rsidR="005D7615" w:rsidRPr="00E224E9">
              <w:rPr>
                <w:rFonts w:ascii="標楷體" w:hAnsi="標楷體" w:hint="eastAsia"/>
                <w:color w:val="000000" w:themeColor="text1"/>
                <w:sz w:val="24"/>
              </w:rPr>
              <w:t>104</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109</w:t>
            </w:r>
            <w:r w:rsidRPr="00E224E9">
              <w:rPr>
                <w:rFonts w:ascii="標楷體" w:hAnsi="標楷體" w:hint="eastAsia"/>
                <w:color w:val="000000" w:themeColor="text1"/>
                <w:sz w:val="24"/>
              </w:rPr>
              <w:t>列小計</w:t>
            </w:r>
          </w:p>
        </w:tc>
      </w:tr>
      <w:tr w:rsidR="00E224E9" w:rsidRPr="00E224E9" w14:paraId="4478AFBA" w14:textId="77777777" w:rsidTr="00C93145">
        <w:tc>
          <w:tcPr>
            <w:tcW w:w="2268" w:type="dxa"/>
            <w:vAlign w:val="center"/>
          </w:tcPr>
          <w:p w14:paraId="1947D818" w14:textId="77777777" w:rsidR="00840BD2" w:rsidRPr="00E224E9" w:rsidRDefault="005D7615" w:rsidP="00840BD2">
            <w:pPr>
              <w:rPr>
                <w:rFonts w:ascii="標楷體" w:hAnsi="標楷體"/>
                <w:color w:val="000000" w:themeColor="text1"/>
              </w:rPr>
            </w:pPr>
            <w:r w:rsidRPr="00E224E9">
              <w:rPr>
                <w:rFonts w:ascii="標楷體" w:hAnsi="標楷體" w:hint="eastAsia"/>
                <w:color w:val="000000" w:themeColor="text1"/>
                <w:sz w:val="24"/>
              </w:rPr>
              <w:t>第111列~第117列</w:t>
            </w:r>
          </w:p>
        </w:tc>
        <w:tc>
          <w:tcPr>
            <w:tcW w:w="2552" w:type="dxa"/>
            <w:vAlign w:val="center"/>
          </w:tcPr>
          <w:p w14:paraId="7439C9E3"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693" w:type="dxa"/>
            <w:vAlign w:val="center"/>
          </w:tcPr>
          <w:p w14:paraId="6802FA01" w14:textId="77777777" w:rsidR="00840BD2" w:rsidRPr="00E224E9" w:rsidRDefault="00840BD2" w:rsidP="00840BD2">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027" w:type="dxa"/>
            <w:vAlign w:val="center"/>
          </w:tcPr>
          <w:p w14:paraId="553DF1F9" w14:textId="77777777" w:rsidR="00840BD2" w:rsidRPr="00E224E9" w:rsidRDefault="005D7615" w:rsidP="00840BD2">
            <w:pPr>
              <w:rPr>
                <w:rFonts w:ascii="標楷體" w:hAnsi="標楷體"/>
                <w:color w:val="000000" w:themeColor="text1"/>
              </w:rPr>
            </w:pPr>
            <w:r w:rsidRPr="00E224E9">
              <w:rPr>
                <w:rFonts w:ascii="標楷體" w:hAnsi="標楷體" w:hint="eastAsia"/>
                <w:color w:val="000000" w:themeColor="text1"/>
                <w:sz w:val="24"/>
              </w:rPr>
              <w:t>第117列為第111列~第116列小計</w:t>
            </w:r>
          </w:p>
        </w:tc>
      </w:tr>
      <w:tr w:rsidR="00E224E9" w:rsidRPr="00E224E9" w14:paraId="390BF0AF" w14:textId="77777777" w:rsidTr="00C93145">
        <w:tc>
          <w:tcPr>
            <w:tcW w:w="2268" w:type="dxa"/>
            <w:vAlign w:val="center"/>
          </w:tcPr>
          <w:p w14:paraId="64FA5D57" w14:textId="77777777" w:rsidR="00840BD2" w:rsidRPr="00E224E9" w:rsidRDefault="005D7615" w:rsidP="00840BD2">
            <w:pPr>
              <w:rPr>
                <w:rFonts w:ascii="標楷體" w:hAnsi="標楷體"/>
                <w:color w:val="000000" w:themeColor="text1"/>
              </w:rPr>
            </w:pPr>
            <w:r w:rsidRPr="00E224E9">
              <w:rPr>
                <w:rFonts w:ascii="標楷體" w:hAnsi="標楷體" w:hint="eastAsia"/>
                <w:color w:val="000000" w:themeColor="text1"/>
                <w:sz w:val="24"/>
              </w:rPr>
              <w:t>第118列~第124列</w:t>
            </w:r>
          </w:p>
        </w:tc>
        <w:tc>
          <w:tcPr>
            <w:tcW w:w="2552" w:type="dxa"/>
            <w:vAlign w:val="center"/>
          </w:tcPr>
          <w:p w14:paraId="73DBCC96"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693" w:type="dxa"/>
            <w:vAlign w:val="center"/>
          </w:tcPr>
          <w:p w14:paraId="52448B9B" w14:textId="77777777" w:rsidR="00840BD2" w:rsidRPr="00E224E9" w:rsidRDefault="00840BD2" w:rsidP="00840BD2">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027" w:type="dxa"/>
            <w:vAlign w:val="center"/>
          </w:tcPr>
          <w:p w14:paraId="2AAC8F8D" w14:textId="77777777" w:rsidR="00840BD2" w:rsidRPr="00E224E9" w:rsidRDefault="005D7615" w:rsidP="00840BD2">
            <w:pPr>
              <w:rPr>
                <w:rFonts w:ascii="標楷體" w:hAnsi="標楷體"/>
                <w:color w:val="000000" w:themeColor="text1"/>
              </w:rPr>
            </w:pPr>
            <w:r w:rsidRPr="00E224E9">
              <w:rPr>
                <w:rFonts w:ascii="標楷體" w:hAnsi="標楷體" w:hint="eastAsia"/>
                <w:color w:val="000000" w:themeColor="text1"/>
                <w:sz w:val="24"/>
              </w:rPr>
              <w:t>第124列為第118列~第123列</w:t>
            </w:r>
            <w:r w:rsidRPr="00E224E9">
              <w:rPr>
                <w:rFonts w:ascii="標楷體" w:hAnsi="標楷體" w:hint="eastAsia"/>
                <w:color w:val="000000" w:themeColor="text1"/>
                <w:sz w:val="24"/>
              </w:rPr>
              <w:lastRenderedPageBreak/>
              <w:t>小計</w:t>
            </w:r>
          </w:p>
        </w:tc>
      </w:tr>
      <w:tr w:rsidR="00840BD2" w:rsidRPr="00E224E9" w14:paraId="31D78BC0" w14:textId="77777777" w:rsidTr="00C93145">
        <w:tc>
          <w:tcPr>
            <w:tcW w:w="2268" w:type="dxa"/>
            <w:vAlign w:val="center"/>
          </w:tcPr>
          <w:p w14:paraId="1A1D48F6"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lastRenderedPageBreak/>
              <w:t>第</w:t>
            </w:r>
            <w:r w:rsidR="005D7615" w:rsidRPr="00E224E9">
              <w:rPr>
                <w:rFonts w:ascii="標楷體" w:hAnsi="標楷體" w:hint="eastAsia"/>
                <w:color w:val="000000" w:themeColor="text1"/>
                <w:sz w:val="24"/>
              </w:rPr>
              <w:t>125</w:t>
            </w:r>
            <w:r w:rsidRPr="00E224E9">
              <w:rPr>
                <w:rFonts w:ascii="標楷體" w:hAnsi="標楷體" w:hint="eastAsia"/>
                <w:color w:val="000000" w:themeColor="text1"/>
                <w:sz w:val="24"/>
              </w:rPr>
              <w:t>列</w:t>
            </w:r>
          </w:p>
        </w:tc>
        <w:tc>
          <w:tcPr>
            <w:tcW w:w="5245" w:type="dxa"/>
            <w:gridSpan w:val="2"/>
            <w:vAlign w:val="center"/>
          </w:tcPr>
          <w:p w14:paraId="7084C19B"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以避險為目的之所有期貨及遠期契約合計</w:t>
            </w:r>
          </w:p>
        </w:tc>
        <w:tc>
          <w:tcPr>
            <w:tcW w:w="2027" w:type="dxa"/>
            <w:vAlign w:val="center"/>
          </w:tcPr>
          <w:p w14:paraId="30045903" w14:textId="77777777" w:rsidR="00840BD2" w:rsidRPr="00E224E9" w:rsidRDefault="00840BD2" w:rsidP="005D7615">
            <w:pPr>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本列為第13、2</w:t>
            </w:r>
            <w:r w:rsidR="005D7615" w:rsidRPr="00E224E9">
              <w:rPr>
                <w:rFonts w:ascii="標楷體" w:hAnsi="標楷體" w:hint="eastAsia"/>
                <w:color w:val="000000" w:themeColor="text1"/>
                <w:sz w:val="24"/>
              </w:rPr>
              <w:t>6</w:t>
            </w:r>
            <w:r w:rsidRPr="00E224E9">
              <w:rPr>
                <w:rFonts w:ascii="標楷體" w:hAnsi="標楷體" w:hint="eastAsia"/>
                <w:color w:val="000000" w:themeColor="text1"/>
                <w:sz w:val="24"/>
              </w:rPr>
              <w:t>、</w:t>
            </w:r>
            <w:r w:rsidR="005D7615" w:rsidRPr="00E224E9">
              <w:rPr>
                <w:rFonts w:ascii="標楷體" w:hAnsi="標楷體" w:hint="eastAsia"/>
                <w:color w:val="000000" w:themeColor="text1"/>
                <w:sz w:val="24"/>
              </w:rPr>
              <w:t>37</w:t>
            </w:r>
            <w:r w:rsidRPr="00E224E9">
              <w:rPr>
                <w:rFonts w:ascii="標楷體" w:hAnsi="標楷體" w:hint="eastAsia"/>
                <w:color w:val="000000" w:themeColor="text1"/>
                <w:sz w:val="24"/>
              </w:rPr>
              <w:t>、</w:t>
            </w:r>
            <w:r w:rsidR="005D7615" w:rsidRPr="00E224E9">
              <w:rPr>
                <w:rFonts w:ascii="標楷體" w:hAnsi="標楷體" w:hint="eastAsia"/>
                <w:color w:val="000000" w:themeColor="text1"/>
                <w:sz w:val="24"/>
              </w:rPr>
              <w:t>48</w:t>
            </w:r>
            <w:r w:rsidRPr="00E224E9">
              <w:rPr>
                <w:rFonts w:ascii="標楷體" w:hAnsi="標楷體" w:hint="eastAsia"/>
                <w:color w:val="000000" w:themeColor="text1"/>
                <w:sz w:val="24"/>
              </w:rPr>
              <w:t>、5</w:t>
            </w:r>
            <w:r w:rsidR="005D7615" w:rsidRPr="00E224E9">
              <w:rPr>
                <w:rFonts w:ascii="標楷體" w:hAnsi="標楷體" w:hint="eastAsia"/>
                <w:color w:val="000000" w:themeColor="text1"/>
                <w:sz w:val="24"/>
              </w:rPr>
              <w:t>9</w:t>
            </w:r>
            <w:r w:rsidRPr="00E224E9">
              <w:rPr>
                <w:rFonts w:ascii="標楷體" w:hAnsi="標楷體" w:hint="eastAsia"/>
                <w:color w:val="000000" w:themeColor="text1"/>
                <w:sz w:val="24"/>
              </w:rPr>
              <w:t>、</w:t>
            </w:r>
            <w:r w:rsidR="005D7615" w:rsidRPr="00E224E9">
              <w:rPr>
                <w:rFonts w:ascii="標楷體" w:hAnsi="標楷體" w:hint="eastAsia"/>
                <w:color w:val="000000" w:themeColor="text1"/>
                <w:sz w:val="24"/>
              </w:rPr>
              <w:t>70</w:t>
            </w:r>
            <w:r w:rsidRPr="00E224E9">
              <w:rPr>
                <w:rFonts w:ascii="標楷體" w:hAnsi="標楷體" w:hint="eastAsia"/>
                <w:color w:val="000000" w:themeColor="text1"/>
                <w:sz w:val="24"/>
              </w:rPr>
              <w:t>、</w:t>
            </w:r>
            <w:r w:rsidR="005D7615" w:rsidRPr="00E224E9">
              <w:rPr>
                <w:rFonts w:ascii="標楷體" w:hAnsi="標楷體" w:hint="eastAsia"/>
                <w:color w:val="000000" w:themeColor="text1"/>
                <w:sz w:val="24"/>
              </w:rPr>
              <w:t>81</w:t>
            </w:r>
            <w:r w:rsidRPr="00E224E9">
              <w:rPr>
                <w:rFonts w:ascii="標楷體" w:hAnsi="標楷體" w:hint="eastAsia"/>
                <w:color w:val="000000" w:themeColor="text1"/>
                <w:sz w:val="24"/>
              </w:rPr>
              <w:t>、</w:t>
            </w:r>
            <w:r w:rsidR="005D7615" w:rsidRPr="00E224E9">
              <w:rPr>
                <w:rFonts w:ascii="標楷體" w:hAnsi="標楷體" w:hint="eastAsia"/>
                <w:color w:val="000000" w:themeColor="text1"/>
                <w:sz w:val="24"/>
              </w:rPr>
              <w:t>92</w:t>
            </w:r>
            <w:r w:rsidRPr="00E224E9">
              <w:rPr>
                <w:rFonts w:ascii="標楷體" w:hAnsi="標楷體" w:hint="eastAsia"/>
                <w:color w:val="000000" w:themeColor="text1"/>
                <w:sz w:val="24"/>
              </w:rPr>
              <w:t>、</w:t>
            </w:r>
            <w:r w:rsidR="005D7615" w:rsidRPr="00E224E9">
              <w:rPr>
                <w:rFonts w:ascii="標楷體" w:hAnsi="標楷體" w:hint="eastAsia"/>
                <w:color w:val="000000" w:themeColor="text1"/>
                <w:sz w:val="24"/>
              </w:rPr>
              <w:t>103</w:t>
            </w:r>
            <w:r w:rsidRPr="00E224E9">
              <w:rPr>
                <w:rFonts w:ascii="標楷體" w:hAnsi="標楷體" w:hint="eastAsia"/>
                <w:color w:val="000000" w:themeColor="text1"/>
                <w:sz w:val="24"/>
              </w:rPr>
              <w:t>、1</w:t>
            </w:r>
            <w:r w:rsidR="005D7615" w:rsidRPr="00E224E9">
              <w:rPr>
                <w:rFonts w:ascii="標楷體" w:hAnsi="標楷體" w:hint="eastAsia"/>
                <w:color w:val="000000" w:themeColor="text1"/>
                <w:sz w:val="24"/>
              </w:rPr>
              <w:t>10、117、124</w:t>
            </w:r>
            <w:r w:rsidRPr="00E224E9">
              <w:rPr>
                <w:rFonts w:ascii="標楷體" w:hAnsi="標楷體" w:hint="eastAsia"/>
                <w:color w:val="000000" w:themeColor="text1"/>
                <w:sz w:val="24"/>
              </w:rPr>
              <w:t>列之合計</w:t>
            </w:r>
          </w:p>
        </w:tc>
      </w:tr>
    </w:tbl>
    <w:p w14:paraId="35191F6A" w14:textId="77777777" w:rsidR="00065C53" w:rsidRPr="00E224E9" w:rsidRDefault="00065C53">
      <w:pPr>
        <w:spacing w:line="440" w:lineRule="exact"/>
        <w:rPr>
          <w:rFonts w:ascii="標楷體" w:hAnsi="標楷體"/>
          <w:color w:val="000000" w:themeColor="text1"/>
          <w:sz w:val="24"/>
        </w:rPr>
      </w:pPr>
    </w:p>
    <w:p w14:paraId="1FD6F71B" w14:textId="77777777" w:rsidR="00065C53" w:rsidRPr="00E224E9" w:rsidRDefault="00065C53">
      <w:pPr>
        <w:spacing w:line="440" w:lineRule="exact"/>
        <w:rPr>
          <w:rFonts w:ascii="標楷體" w:hAnsi="標楷體"/>
          <w:color w:val="000000" w:themeColor="text1"/>
          <w:sz w:val="24"/>
        </w:rPr>
      </w:pPr>
    </w:p>
    <w:p w14:paraId="14D2993C" w14:textId="77777777" w:rsidR="00C93145" w:rsidRPr="00E224E9" w:rsidRDefault="00C93145">
      <w:pPr>
        <w:spacing w:line="440" w:lineRule="exact"/>
        <w:rPr>
          <w:rFonts w:ascii="標楷體" w:hAnsi="標楷體"/>
          <w:color w:val="000000" w:themeColor="text1"/>
          <w:sz w:val="24"/>
        </w:rPr>
      </w:pPr>
    </w:p>
    <w:p w14:paraId="6E4D3EC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w:t>
      </w:r>
      <w:r w:rsidR="005D7615" w:rsidRPr="00E224E9">
        <w:rPr>
          <w:rFonts w:ascii="標楷體" w:hAnsi="標楷體" w:hint="eastAsia"/>
          <w:color w:val="000000" w:themeColor="text1"/>
          <w:sz w:val="24"/>
        </w:rPr>
        <w:t>26</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182</w:t>
      </w:r>
      <w:r w:rsidRPr="00E224E9">
        <w:rPr>
          <w:rFonts w:ascii="標楷體" w:hAnsi="標楷體" w:hint="eastAsia"/>
          <w:color w:val="000000" w:themeColor="text1"/>
          <w:sz w:val="24"/>
        </w:rPr>
        <w:t>列－以增加收益為目的</w:t>
      </w:r>
      <w:r w:rsidRPr="00E224E9">
        <w:rPr>
          <w:rFonts w:ascii="標楷體" w:hAnsi="標楷體"/>
          <w:color w:val="000000" w:themeColor="text1"/>
          <w:sz w:val="24"/>
        </w:rPr>
        <w:t>—</w:t>
      </w:r>
      <w:r w:rsidRPr="00E224E9">
        <w:rPr>
          <w:rFonts w:ascii="標楷體" w:hAnsi="標楷體" w:hint="eastAsia"/>
          <w:color w:val="000000" w:themeColor="text1"/>
          <w:sz w:val="24"/>
        </w:rPr>
        <w:t>買入衍生性商品</w:t>
      </w:r>
    </w:p>
    <w:p w14:paraId="246E4A09"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w:t>
      </w:r>
      <w:r w:rsidR="00DB05A6" w:rsidRPr="00E224E9">
        <w:rPr>
          <w:rFonts w:ascii="標楷體" w:hAnsi="標楷體" w:hint="eastAsia"/>
          <w:color w:val="000000" w:themeColor="text1"/>
          <w:sz w:val="24"/>
        </w:rPr>
        <w:t>126</w:t>
      </w:r>
      <w:r w:rsidRPr="00E224E9">
        <w:rPr>
          <w:rFonts w:ascii="標楷體" w:hAnsi="標楷體" w:hint="eastAsia"/>
          <w:color w:val="000000" w:themeColor="text1"/>
          <w:sz w:val="24"/>
        </w:rPr>
        <w:t>列至第</w:t>
      </w:r>
      <w:r w:rsidR="00DB05A6" w:rsidRPr="00E224E9">
        <w:rPr>
          <w:rFonts w:ascii="標楷體" w:hAnsi="標楷體" w:hint="eastAsia"/>
          <w:color w:val="000000" w:themeColor="text1"/>
          <w:sz w:val="24"/>
        </w:rPr>
        <w:t>182</w:t>
      </w:r>
      <w:r w:rsidRPr="00E224E9">
        <w:rPr>
          <w:rFonts w:ascii="標楷體" w:hAnsi="標楷體" w:hint="eastAsia"/>
          <w:color w:val="000000" w:themeColor="text1"/>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E224E9" w:rsidRPr="00E224E9" w14:paraId="7DFC645F" w14:textId="77777777">
        <w:tc>
          <w:tcPr>
            <w:tcW w:w="2326" w:type="dxa"/>
          </w:tcPr>
          <w:p w14:paraId="361B0AEB"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1980" w:type="dxa"/>
          </w:tcPr>
          <w:p w14:paraId="467EB66F"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340" w:type="dxa"/>
          </w:tcPr>
          <w:p w14:paraId="06298ABB"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標的物所屬國家</w:t>
            </w:r>
          </w:p>
        </w:tc>
        <w:tc>
          <w:tcPr>
            <w:tcW w:w="2880" w:type="dxa"/>
          </w:tcPr>
          <w:p w14:paraId="02BBE993"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12202126" w14:textId="77777777">
        <w:tc>
          <w:tcPr>
            <w:tcW w:w="2326" w:type="dxa"/>
            <w:vAlign w:val="center"/>
          </w:tcPr>
          <w:p w14:paraId="56A384A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126</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132</w:t>
            </w:r>
            <w:r w:rsidRPr="00E224E9">
              <w:rPr>
                <w:rFonts w:ascii="標楷體" w:hAnsi="標楷體" w:hint="eastAsia"/>
                <w:color w:val="000000" w:themeColor="text1"/>
                <w:sz w:val="24"/>
              </w:rPr>
              <w:t>列</w:t>
            </w:r>
          </w:p>
        </w:tc>
        <w:tc>
          <w:tcPr>
            <w:tcW w:w="1980" w:type="dxa"/>
            <w:vAlign w:val="center"/>
          </w:tcPr>
          <w:p w14:paraId="5A24DA0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340" w:type="dxa"/>
            <w:vAlign w:val="center"/>
          </w:tcPr>
          <w:p w14:paraId="52CE0754"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44FBFCD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132</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26</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131</w:t>
            </w:r>
            <w:r w:rsidRPr="00E224E9">
              <w:rPr>
                <w:rFonts w:ascii="標楷體" w:hAnsi="標楷體" w:hint="eastAsia"/>
                <w:color w:val="000000" w:themeColor="text1"/>
                <w:sz w:val="24"/>
              </w:rPr>
              <w:t>列小計</w:t>
            </w:r>
          </w:p>
        </w:tc>
      </w:tr>
      <w:tr w:rsidR="00E224E9" w:rsidRPr="00E224E9" w14:paraId="5C8E875F" w14:textId="77777777">
        <w:tc>
          <w:tcPr>
            <w:tcW w:w="2326" w:type="dxa"/>
            <w:vAlign w:val="center"/>
          </w:tcPr>
          <w:p w14:paraId="75A45C22" w14:textId="77777777" w:rsidR="00065C53" w:rsidRPr="00E224E9" w:rsidRDefault="00065C53" w:rsidP="00DB05A6">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133</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139</w:t>
            </w:r>
            <w:r w:rsidRPr="00E224E9">
              <w:rPr>
                <w:rFonts w:ascii="標楷體" w:hAnsi="標楷體" w:hint="eastAsia"/>
                <w:color w:val="000000" w:themeColor="text1"/>
                <w:sz w:val="24"/>
              </w:rPr>
              <w:t>列</w:t>
            </w:r>
          </w:p>
        </w:tc>
        <w:tc>
          <w:tcPr>
            <w:tcW w:w="1980" w:type="dxa"/>
            <w:vAlign w:val="center"/>
          </w:tcPr>
          <w:p w14:paraId="3D6F806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340" w:type="dxa"/>
            <w:vAlign w:val="center"/>
          </w:tcPr>
          <w:p w14:paraId="799EF45E"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6211B661" w14:textId="77777777" w:rsidR="00065C53" w:rsidRPr="00E224E9" w:rsidRDefault="00065C53" w:rsidP="00C93145">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139</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33</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138</w:t>
            </w:r>
            <w:r w:rsidRPr="00E224E9">
              <w:rPr>
                <w:rFonts w:ascii="標楷體" w:hAnsi="標楷體" w:hint="eastAsia"/>
                <w:color w:val="000000" w:themeColor="text1"/>
                <w:sz w:val="24"/>
              </w:rPr>
              <w:t>列小計</w:t>
            </w:r>
          </w:p>
        </w:tc>
      </w:tr>
      <w:tr w:rsidR="00E224E9" w:rsidRPr="00E224E9" w14:paraId="453A18A9" w14:textId="77777777">
        <w:tc>
          <w:tcPr>
            <w:tcW w:w="2326" w:type="dxa"/>
            <w:vAlign w:val="center"/>
          </w:tcPr>
          <w:p w14:paraId="62EC2313"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140</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w:t>
            </w:r>
            <w:r w:rsidRPr="00E224E9">
              <w:rPr>
                <w:rFonts w:ascii="標楷體" w:hAnsi="標楷體" w:hint="eastAsia"/>
                <w:color w:val="000000" w:themeColor="text1"/>
                <w:sz w:val="24"/>
              </w:rPr>
              <w:t>4</w:t>
            </w:r>
            <w:r w:rsidR="00DB05A6" w:rsidRPr="00E224E9">
              <w:rPr>
                <w:rFonts w:ascii="標楷體" w:hAnsi="標楷體" w:hint="eastAsia"/>
                <w:color w:val="000000" w:themeColor="text1"/>
                <w:sz w:val="24"/>
              </w:rPr>
              <w:t>6</w:t>
            </w:r>
            <w:r w:rsidRPr="00E224E9">
              <w:rPr>
                <w:rFonts w:ascii="標楷體" w:hAnsi="標楷體" w:hint="eastAsia"/>
                <w:color w:val="000000" w:themeColor="text1"/>
                <w:sz w:val="24"/>
              </w:rPr>
              <w:t>列</w:t>
            </w:r>
          </w:p>
        </w:tc>
        <w:tc>
          <w:tcPr>
            <w:tcW w:w="1980" w:type="dxa"/>
            <w:vAlign w:val="center"/>
          </w:tcPr>
          <w:p w14:paraId="180A686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340" w:type="dxa"/>
            <w:vAlign w:val="center"/>
          </w:tcPr>
          <w:p w14:paraId="6253B20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3FE16706"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146</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40</w:t>
            </w:r>
            <w:r w:rsidRPr="00E224E9">
              <w:rPr>
                <w:rFonts w:ascii="標楷體" w:hAnsi="標楷體" w:hint="eastAsia"/>
                <w:color w:val="000000" w:themeColor="text1"/>
                <w:sz w:val="24"/>
              </w:rPr>
              <w:t>列~第1</w:t>
            </w:r>
            <w:r w:rsidR="00C93145" w:rsidRPr="00E224E9">
              <w:rPr>
                <w:rFonts w:ascii="標楷體" w:hAnsi="標楷體" w:hint="eastAsia"/>
                <w:color w:val="000000" w:themeColor="text1"/>
                <w:sz w:val="24"/>
              </w:rPr>
              <w:t>45</w:t>
            </w:r>
            <w:r w:rsidRPr="00E224E9">
              <w:rPr>
                <w:rFonts w:ascii="標楷體" w:hAnsi="標楷體" w:hint="eastAsia"/>
                <w:color w:val="000000" w:themeColor="text1"/>
                <w:sz w:val="24"/>
              </w:rPr>
              <w:t>列小計</w:t>
            </w:r>
          </w:p>
        </w:tc>
      </w:tr>
      <w:tr w:rsidR="00E224E9" w:rsidRPr="00E224E9" w14:paraId="64556C8E" w14:textId="77777777">
        <w:tc>
          <w:tcPr>
            <w:tcW w:w="2326" w:type="dxa"/>
            <w:vAlign w:val="center"/>
          </w:tcPr>
          <w:p w14:paraId="60D0F02C" w14:textId="77777777" w:rsidR="00065C53" w:rsidRPr="00E224E9" w:rsidRDefault="00065C53" w:rsidP="00DB05A6">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147</w:t>
            </w:r>
            <w:r w:rsidRPr="00E224E9">
              <w:rPr>
                <w:rFonts w:ascii="標楷體" w:hAnsi="標楷體" w:hint="eastAsia"/>
                <w:color w:val="000000" w:themeColor="text1"/>
                <w:sz w:val="24"/>
              </w:rPr>
              <w:t>列~第1</w:t>
            </w:r>
            <w:r w:rsidR="00DB05A6" w:rsidRPr="00E224E9">
              <w:rPr>
                <w:rFonts w:ascii="標楷體" w:hAnsi="標楷體" w:hint="eastAsia"/>
                <w:color w:val="000000" w:themeColor="text1"/>
                <w:sz w:val="24"/>
              </w:rPr>
              <w:t>5</w:t>
            </w:r>
            <w:r w:rsidRPr="00E224E9">
              <w:rPr>
                <w:rFonts w:ascii="標楷體" w:hAnsi="標楷體" w:hint="eastAsia"/>
                <w:color w:val="000000" w:themeColor="text1"/>
                <w:sz w:val="24"/>
              </w:rPr>
              <w:t>3列</w:t>
            </w:r>
          </w:p>
        </w:tc>
        <w:tc>
          <w:tcPr>
            <w:tcW w:w="1980" w:type="dxa"/>
            <w:vAlign w:val="center"/>
          </w:tcPr>
          <w:p w14:paraId="4A9AAD9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340" w:type="dxa"/>
            <w:vAlign w:val="center"/>
          </w:tcPr>
          <w:p w14:paraId="2B023906"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0F525361"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第1</w:t>
            </w:r>
            <w:r w:rsidR="00C93145" w:rsidRPr="00E224E9">
              <w:rPr>
                <w:rFonts w:ascii="標楷體" w:hAnsi="標楷體" w:hint="eastAsia"/>
                <w:color w:val="000000" w:themeColor="text1"/>
                <w:sz w:val="24"/>
              </w:rPr>
              <w:t>5</w:t>
            </w:r>
            <w:r w:rsidRPr="00E224E9">
              <w:rPr>
                <w:rFonts w:ascii="標楷體" w:hAnsi="標楷體" w:hint="eastAsia"/>
                <w:color w:val="000000" w:themeColor="text1"/>
                <w:sz w:val="24"/>
              </w:rPr>
              <w:t>3列為第1</w:t>
            </w:r>
            <w:r w:rsidR="00C93145" w:rsidRPr="00E224E9">
              <w:rPr>
                <w:rFonts w:ascii="標楷體" w:hAnsi="標楷體" w:hint="eastAsia"/>
                <w:color w:val="000000" w:themeColor="text1"/>
                <w:sz w:val="24"/>
              </w:rPr>
              <w:t>47</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152</w:t>
            </w:r>
            <w:r w:rsidRPr="00E224E9">
              <w:rPr>
                <w:rFonts w:ascii="標楷體" w:hAnsi="標楷體" w:hint="eastAsia"/>
                <w:color w:val="000000" w:themeColor="text1"/>
                <w:sz w:val="24"/>
              </w:rPr>
              <w:t>列小計</w:t>
            </w:r>
          </w:p>
        </w:tc>
      </w:tr>
      <w:tr w:rsidR="00E224E9" w:rsidRPr="00E224E9" w14:paraId="122E4021" w14:textId="77777777">
        <w:tc>
          <w:tcPr>
            <w:tcW w:w="2326" w:type="dxa"/>
            <w:vAlign w:val="center"/>
          </w:tcPr>
          <w:p w14:paraId="3C3265E4"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154</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160</w:t>
            </w:r>
            <w:r w:rsidRPr="00E224E9">
              <w:rPr>
                <w:rFonts w:ascii="標楷體" w:hAnsi="標楷體" w:hint="eastAsia"/>
                <w:color w:val="000000" w:themeColor="text1"/>
                <w:sz w:val="24"/>
              </w:rPr>
              <w:t>列</w:t>
            </w:r>
          </w:p>
        </w:tc>
        <w:tc>
          <w:tcPr>
            <w:tcW w:w="1980" w:type="dxa"/>
            <w:vAlign w:val="center"/>
          </w:tcPr>
          <w:p w14:paraId="747BC1A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340" w:type="dxa"/>
            <w:vAlign w:val="center"/>
          </w:tcPr>
          <w:p w14:paraId="4AC11E1A"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6DAC9DCA"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第1</w:t>
            </w:r>
            <w:r w:rsidR="00C93145" w:rsidRPr="00E224E9">
              <w:rPr>
                <w:rFonts w:ascii="標楷體" w:hAnsi="標楷體" w:hint="eastAsia"/>
                <w:color w:val="000000" w:themeColor="text1"/>
                <w:sz w:val="24"/>
              </w:rPr>
              <w:t>60</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54</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159</w:t>
            </w:r>
            <w:r w:rsidRPr="00E224E9">
              <w:rPr>
                <w:rFonts w:ascii="標楷體" w:hAnsi="標楷體" w:hint="eastAsia"/>
                <w:color w:val="000000" w:themeColor="text1"/>
                <w:sz w:val="24"/>
              </w:rPr>
              <w:t>列小計</w:t>
            </w:r>
          </w:p>
        </w:tc>
      </w:tr>
      <w:tr w:rsidR="00E224E9" w:rsidRPr="00E224E9" w14:paraId="2C0E1BAB" w14:textId="77777777">
        <w:tc>
          <w:tcPr>
            <w:tcW w:w="2326" w:type="dxa"/>
            <w:vAlign w:val="center"/>
          </w:tcPr>
          <w:p w14:paraId="135EDB47"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161</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167</w:t>
            </w:r>
            <w:r w:rsidRPr="00E224E9">
              <w:rPr>
                <w:rFonts w:ascii="標楷體" w:hAnsi="標楷體" w:hint="eastAsia"/>
                <w:color w:val="000000" w:themeColor="text1"/>
                <w:sz w:val="24"/>
              </w:rPr>
              <w:t>列</w:t>
            </w:r>
          </w:p>
        </w:tc>
        <w:tc>
          <w:tcPr>
            <w:tcW w:w="1980" w:type="dxa"/>
            <w:vAlign w:val="center"/>
          </w:tcPr>
          <w:p w14:paraId="390EE97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340" w:type="dxa"/>
            <w:vAlign w:val="center"/>
          </w:tcPr>
          <w:p w14:paraId="0C20512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4ED71359"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第1</w:t>
            </w:r>
            <w:r w:rsidR="00C93145" w:rsidRPr="00E224E9">
              <w:rPr>
                <w:rFonts w:ascii="標楷體" w:hAnsi="標楷體" w:hint="eastAsia"/>
                <w:color w:val="000000" w:themeColor="text1"/>
                <w:sz w:val="24"/>
              </w:rPr>
              <w:t>67</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61</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166</w:t>
            </w:r>
            <w:r w:rsidRPr="00E224E9">
              <w:rPr>
                <w:rFonts w:ascii="標楷體" w:hAnsi="標楷體" w:hint="eastAsia"/>
                <w:color w:val="000000" w:themeColor="text1"/>
                <w:sz w:val="24"/>
              </w:rPr>
              <w:t>列小計</w:t>
            </w:r>
          </w:p>
        </w:tc>
      </w:tr>
      <w:tr w:rsidR="00E224E9" w:rsidRPr="00E224E9" w14:paraId="634B6720" w14:textId="77777777">
        <w:tc>
          <w:tcPr>
            <w:tcW w:w="2326" w:type="dxa"/>
            <w:vAlign w:val="center"/>
          </w:tcPr>
          <w:p w14:paraId="34483CE6"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w:t>
            </w:r>
            <w:r w:rsidRPr="00E224E9">
              <w:rPr>
                <w:rFonts w:ascii="標楷體" w:hAnsi="標楷體" w:hint="eastAsia"/>
                <w:color w:val="000000" w:themeColor="text1"/>
                <w:sz w:val="24"/>
              </w:rPr>
              <w:t>6</w:t>
            </w:r>
            <w:r w:rsidR="00DB05A6" w:rsidRPr="00E224E9">
              <w:rPr>
                <w:rFonts w:ascii="標楷體" w:hAnsi="標楷體" w:hint="eastAsia"/>
                <w:color w:val="000000" w:themeColor="text1"/>
                <w:sz w:val="24"/>
              </w:rPr>
              <w:t>8</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174</w:t>
            </w:r>
            <w:r w:rsidRPr="00E224E9">
              <w:rPr>
                <w:rFonts w:ascii="標楷體" w:hAnsi="標楷體" w:hint="eastAsia"/>
                <w:color w:val="000000" w:themeColor="text1"/>
                <w:sz w:val="24"/>
              </w:rPr>
              <w:t>列</w:t>
            </w:r>
          </w:p>
        </w:tc>
        <w:tc>
          <w:tcPr>
            <w:tcW w:w="1980" w:type="dxa"/>
            <w:vAlign w:val="center"/>
          </w:tcPr>
          <w:p w14:paraId="52550BD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340" w:type="dxa"/>
            <w:vAlign w:val="center"/>
          </w:tcPr>
          <w:p w14:paraId="23B4DBA1"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6C5A67C2"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174</w:t>
            </w:r>
            <w:r w:rsidRPr="00E224E9">
              <w:rPr>
                <w:rFonts w:ascii="標楷體" w:hAnsi="標楷體" w:hint="eastAsia"/>
                <w:color w:val="000000" w:themeColor="text1"/>
                <w:sz w:val="24"/>
              </w:rPr>
              <w:t>列為第16</w:t>
            </w:r>
            <w:r w:rsidR="00C93145" w:rsidRPr="00E224E9">
              <w:rPr>
                <w:rFonts w:ascii="標楷體" w:hAnsi="標楷體" w:hint="eastAsia"/>
                <w:color w:val="000000" w:themeColor="text1"/>
                <w:sz w:val="24"/>
              </w:rPr>
              <w:t>8</w:t>
            </w:r>
            <w:r w:rsidRPr="00E224E9">
              <w:rPr>
                <w:rFonts w:ascii="標楷體" w:hAnsi="標楷體" w:hint="eastAsia"/>
                <w:color w:val="000000" w:themeColor="text1"/>
                <w:sz w:val="24"/>
              </w:rPr>
              <w:t>列~第1</w:t>
            </w:r>
            <w:r w:rsidR="00C93145" w:rsidRPr="00E224E9">
              <w:rPr>
                <w:rFonts w:ascii="標楷體" w:hAnsi="標楷體" w:hint="eastAsia"/>
                <w:color w:val="000000" w:themeColor="text1"/>
                <w:sz w:val="24"/>
              </w:rPr>
              <w:t>73</w:t>
            </w:r>
            <w:r w:rsidRPr="00E224E9">
              <w:rPr>
                <w:rFonts w:ascii="標楷體" w:hAnsi="標楷體" w:hint="eastAsia"/>
                <w:color w:val="000000" w:themeColor="text1"/>
                <w:sz w:val="24"/>
              </w:rPr>
              <w:t>列小計</w:t>
            </w:r>
          </w:p>
        </w:tc>
      </w:tr>
      <w:tr w:rsidR="00E224E9" w:rsidRPr="00E224E9" w14:paraId="41D41AFD" w14:textId="77777777">
        <w:tc>
          <w:tcPr>
            <w:tcW w:w="2326" w:type="dxa"/>
            <w:vAlign w:val="center"/>
          </w:tcPr>
          <w:p w14:paraId="5EC014F5"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175</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181</w:t>
            </w:r>
            <w:r w:rsidRPr="00E224E9">
              <w:rPr>
                <w:rFonts w:ascii="標楷體" w:hAnsi="標楷體" w:hint="eastAsia"/>
                <w:color w:val="000000" w:themeColor="text1"/>
                <w:sz w:val="24"/>
              </w:rPr>
              <w:t>列</w:t>
            </w:r>
          </w:p>
        </w:tc>
        <w:tc>
          <w:tcPr>
            <w:tcW w:w="1980" w:type="dxa"/>
            <w:vAlign w:val="center"/>
          </w:tcPr>
          <w:p w14:paraId="09F0EF2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340" w:type="dxa"/>
            <w:vAlign w:val="center"/>
          </w:tcPr>
          <w:p w14:paraId="7B1326BE"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28C25218"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181</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7</w:t>
            </w:r>
            <w:r w:rsidRPr="00E224E9">
              <w:rPr>
                <w:rFonts w:ascii="標楷體" w:hAnsi="標楷體" w:hint="eastAsia"/>
                <w:color w:val="000000" w:themeColor="text1"/>
                <w:sz w:val="24"/>
              </w:rPr>
              <w:t>5列~第18</w:t>
            </w:r>
            <w:r w:rsidR="00C93145" w:rsidRPr="00E224E9">
              <w:rPr>
                <w:rFonts w:ascii="標楷體" w:hAnsi="標楷體" w:hint="eastAsia"/>
                <w:color w:val="000000" w:themeColor="text1"/>
                <w:sz w:val="24"/>
              </w:rPr>
              <w:t>0</w:t>
            </w:r>
            <w:r w:rsidRPr="00E224E9">
              <w:rPr>
                <w:rFonts w:ascii="標楷體" w:hAnsi="標楷體" w:hint="eastAsia"/>
                <w:color w:val="000000" w:themeColor="text1"/>
                <w:sz w:val="24"/>
              </w:rPr>
              <w:t>列小計</w:t>
            </w:r>
          </w:p>
        </w:tc>
      </w:tr>
      <w:tr w:rsidR="00065C53" w:rsidRPr="00E224E9" w14:paraId="6ADE6EA2" w14:textId="77777777">
        <w:tc>
          <w:tcPr>
            <w:tcW w:w="2326" w:type="dxa"/>
            <w:vAlign w:val="center"/>
          </w:tcPr>
          <w:p w14:paraId="011C4590"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182</w:t>
            </w:r>
            <w:r w:rsidRPr="00E224E9">
              <w:rPr>
                <w:rFonts w:ascii="標楷體" w:hAnsi="標楷體" w:hint="eastAsia"/>
                <w:color w:val="000000" w:themeColor="text1"/>
                <w:sz w:val="24"/>
              </w:rPr>
              <w:t>列</w:t>
            </w:r>
          </w:p>
        </w:tc>
        <w:tc>
          <w:tcPr>
            <w:tcW w:w="4320" w:type="dxa"/>
            <w:gridSpan w:val="2"/>
            <w:vAlign w:val="center"/>
          </w:tcPr>
          <w:p w14:paraId="34A55D23"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以增加收益為目的</w:t>
            </w:r>
            <w:r w:rsidRPr="00E224E9">
              <w:rPr>
                <w:rFonts w:ascii="標楷體" w:hAnsi="標楷體"/>
                <w:color w:val="000000" w:themeColor="text1"/>
                <w:sz w:val="24"/>
              </w:rPr>
              <w:t>—</w:t>
            </w:r>
            <w:r w:rsidRPr="00E224E9">
              <w:rPr>
                <w:rFonts w:ascii="標楷體" w:hAnsi="標楷體" w:hint="eastAsia"/>
                <w:color w:val="000000" w:themeColor="text1"/>
                <w:sz w:val="24"/>
              </w:rPr>
              <w:t>買入所有期貨及遠期契約合計</w:t>
            </w:r>
          </w:p>
        </w:tc>
        <w:tc>
          <w:tcPr>
            <w:tcW w:w="2880" w:type="dxa"/>
            <w:vAlign w:val="center"/>
          </w:tcPr>
          <w:p w14:paraId="46F2C78E" w14:textId="77777777" w:rsidR="00065C53" w:rsidRPr="00E224E9" w:rsidRDefault="00065C53" w:rsidP="00C93145">
            <w:pPr>
              <w:keepNext/>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w:t>
            </w:r>
            <w:r w:rsidR="00C93145" w:rsidRPr="00E224E9">
              <w:rPr>
                <w:rFonts w:ascii="標楷體" w:hAnsi="標楷體" w:hint="eastAsia"/>
                <w:color w:val="000000" w:themeColor="text1"/>
                <w:sz w:val="24"/>
              </w:rPr>
              <w:t>32</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39</w:t>
            </w:r>
            <w:r w:rsidRPr="00E224E9">
              <w:rPr>
                <w:rFonts w:ascii="標楷體" w:hAnsi="標楷體" w:hint="eastAsia"/>
                <w:color w:val="000000" w:themeColor="text1"/>
                <w:sz w:val="24"/>
              </w:rPr>
              <w:t>、14</w:t>
            </w:r>
            <w:r w:rsidR="00C93145" w:rsidRPr="00E224E9">
              <w:rPr>
                <w:rFonts w:ascii="標楷體" w:hAnsi="標楷體" w:hint="eastAsia"/>
                <w:color w:val="000000" w:themeColor="text1"/>
                <w:sz w:val="24"/>
              </w:rPr>
              <w:t>6</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5</w:t>
            </w:r>
            <w:r w:rsidRPr="00E224E9">
              <w:rPr>
                <w:rFonts w:ascii="標楷體" w:hAnsi="標楷體" w:hint="eastAsia"/>
                <w:color w:val="000000" w:themeColor="text1"/>
                <w:sz w:val="24"/>
              </w:rPr>
              <w:t>3、1</w:t>
            </w:r>
            <w:r w:rsidR="00C93145" w:rsidRPr="00E224E9">
              <w:rPr>
                <w:rFonts w:ascii="標楷體" w:hAnsi="標楷體" w:hint="eastAsia"/>
                <w:color w:val="000000" w:themeColor="text1"/>
                <w:sz w:val="24"/>
              </w:rPr>
              <w:t>60</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67</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74</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81</w:t>
            </w:r>
            <w:r w:rsidRPr="00E224E9">
              <w:rPr>
                <w:rFonts w:ascii="標楷體" w:hAnsi="標楷體" w:hint="eastAsia"/>
                <w:color w:val="000000" w:themeColor="text1"/>
                <w:sz w:val="24"/>
              </w:rPr>
              <w:t>列之合計</w:t>
            </w:r>
          </w:p>
        </w:tc>
      </w:tr>
    </w:tbl>
    <w:p w14:paraId="72472F7D" w14:textId="77777777" w:rsidR="00065C53" w:rsidRPr="00E224E9" w:rsidRDefault="00065C53">
      <w:pPr>
        <w:spacing w:line="440" w:lineRule="exact"/>
        <w:rPr>
          <w:rFonts w:ascii="標楷體" w:hAnsi="標楷體"/>
          <w:color w:val="000000" w:themeColor="text1"/>
          <w:sz w:val="24"/>
        </w:rPr>
      </w:pPr>
    </w:p>
    <w:p w14:paraId="2FF5CB51" w14:textId="77777777" w:rsidR="00065C53" w:rsidRPr="00E224E9" w:rsidRDefault="00065C53">
      <w:pPr>
        <w:spacing w:line="440" w:lineRule="exact"/>
        <w:rPr>
          <w:rFonts w:ascii="標楷體" w:hAnsi="標楷體"/>
          <w:color w:val="000000" w:themeColor="text1"/>
          <w:sz w:val="24"/>
        </w:rPr>
      </w:pPr>
      <w:r w:rsidRPr="00E224E9">
        <w:rPr>
          <w:rFonts w:ascii="標楷體" w:hAnsi="標楷體"/>
          <w:color w:val="000000" w:themeColor="text1"/>
          <w:sz w:val="24"/>
        </w:rPr>
        <w:br w:type="page"/>
      </w:r>
      <w:r w:rsidRPr="00E224E9">
        <w:rPr>
          <w:rFonts w:ascii="標楷體" w:hAnsi="標楷體" w:hint="eastAsia"/>
          <w:color w:val="000000" w:themeColor="text1"/>
          <w:sz w:val="24"/>
        </w:rPr>
        <w:lastRenderedPageBreak/>
        <w:t>第</w:t>
      </w:r>
      <w:r w:rsidR="00DB05A6" w:rsidRPr="00E224E9">
        <w:rPr>
          <w:rFonts w:ascii="標楷體" w:hAnsi="標楷體" w:hint="eastAsia"/>
          <w:color w:val="000000" w:themeColor="text1"/>
          <w:sz w:val="24"/>
        </w:rPr>
        <w:t>183</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239</w:t>
      </w:r>
      <w:r w:rsidRPr="00E224E9">
        <w:rPr>
          <w:rFonts w:ascii="標楷體" w:hAnsi="標楷體" w:hint="eastAsia"/>
          <w:color w:val="000000" w:themeColor="text1"/>
          <w:sz w:val="24"/>
        </w:rPr>
        <w:t>列－以增加收益為目的</w:t>
      </w:r>
      <w:r w:rsidRPr="00E224E9">
        <w:rPr>
          <w:rFonts w:ascii="標楷體" w:hAnsi="標楷體"/>
          <w:color w:val="000000" w:themeColor="text1"/>
          <w:sz w:val="24"/>
        </w:rPr>
        <w:t>—</w:t>
      </w:r>
      <w:r w:rsidRPr="00E224E9">
        <w:rPr>
          <w:rFonts w:ascii="標楷體" w:hAnsi="標楷體" w:hint="eastAsia"/>
          <w:color w:val="000000" w:themeColor="text1"/>
          <w:sz w:val="24"/>
        </w:rPr>
        <w:t>賣出衍生性商品</w:t>
      </w:r>
    </w:p>
    <w:p w14:paraId="0385B47A"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w:t>
      </w:r>
      <w:r w:rsidR="00DB05A6" w:rsidRPr="00E224E9">
        <w:rPr>
          <w:rFonts w:ascii="標楷體" w:hAnsi="標楷體" w:hint="eastAsia"/>
          <w:color w:val="000000" w:themeColor="text1"/>
          <w:sz w:val="24"/>
        </w:rPr>
        <w:t>183</w:t>
      </w:r>
      <w:r w:rsidRPr="00E224E9">
        <w:rPr>
          <w:rFonts w:ascii="標楷體" w:hAnsi="標楷體" w:hint="eastAsia"/>
          <w:color w:val="000000" w:themeColor="text1"/>
          <w:sz w:val="24"/>
        </w:rPr>
        <w:t>列至第2</w:t>
      </w:r>
      <w:r w:rsidR="00DB05A6" w:rsidRPr="00E224E9">
        <w:rPr>
          <w:rFonts w:ascii="標楷體" w:hAnsi="標楷體" w:hint="eastAsia"/>
          <w:color w:val="000000" w:themeColor="text1"/>
          <w:sz w:val="24"/>
        </w:rPr>
        <w:t>39</w:t>
      </w:r>
      <w:r w:rsidRPr="00E224E9">
        <w:rPr>
          <w:rFonts w:ascii="標楷體" w:hAnsi="標楷體" w:hint="eastAsia"/>
          <w:color w:val="000000" w:themeColor="text1"/>
          <w:sz w:val="24"/>
        </w:rPr>
        <w:t>列請填列以增加收益為目的所賣出之期貨或遠期契約各欄之明細資料。並且依期貨及遠期契約之標的物類型，以及標的物所屬國家，分別填列於以下列次：</w:t>
      </w:r>
    </w:p>
    <w:p w14:paraId="3B695BD3" w14:textId="77777777" w:rsidR="00065C53" w:rsidRPr="00E224E9" w:rsidRDefault="00065C53">
      <w:pPr>
        <w:spacing w:line="440" w:lineRule="exact"/>
        <w:ind w:leftChars="300" w:left="780"/>
        <w:rPr>
          <w:rFonts w:ascii="標楷體" w:hAnsi="標楷體"/>
          <w:color w:val="000000" w:themeColor="text1"/>
          <w:sz w:val="24"/>
        </w:rPr>
      </w:pP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E224E9" w:rsidRPr="00E224E9" w14:paraId="2BBF9AD3" w14:textId="77777777">
        <w:tc>
          <w:tcPr>
            <w:tcW w:w="2340" w:type="dxa"/>
          </w:tcPr>
          <w:p w14:paraId="53F48DA2"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1980" w:type="dxa"/>
          </w:tcPr>
          <w:p w14:paraId="67EA73D7"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340" w:type="dxa"/>
          </w:tcPr>
          <w:p w14:paraId="286ADFD7"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標的物所屬國家</w:t>
            </w:r>
          </w:p>
        </w:tc>
        <w:tc>
          <w:tcPr>
            <w:tcW w:w="2880" w:type="dxa"/>
          </w:tcPr>
          <w:p w14:paraId="271A01B1"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468F3613" w14:textId="77777777">
        <w:tc>
          <w:tcPr>
            <w:tcW w:w="2340" w:type="dxa"/>
            <w:vAlign w:val="center"/>
          </w:tcPr>
          <w:p w14:paraId="70A35AF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183</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189</w:t>
            </w:r>
            <w:r w:rsidRPr="00E224E9">
              <w:rPr>
                <w:rFonts w:ascii="標楷體" w:hAnsi="標楷體" w:hint="eastAsia"/>
                <w:color w:val="000000" w:themeColor="text1"/>
                <w:sz w:val="24"/>
              </w:rPr>
              <w:t>列</w:t>
            </w:r>
          </w:p>
        </w:tc>
        <w:tc>
          <w:tcPr>
            <w:tcW w:w="1980" w:type="dxa"/>
            <w:vAlign w:val="center"/>
          </w:tcPr>
          <w:p w14:paraId="45E6303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340" w:type="dxa"/>
            <w:vAlign w:val="center"/>
          </w:tcPr>
          <w:p w14:paraId="2AD49083"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37B8C5F6" w14:textId="77777777" w:rsidR="00065C53" w:rsidRPr="00E224E9" w:rsidRDefault="00065C53" w:rsidP="00C93145">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189</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83</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188</w:t>
            </w:r>
            <w:r w:rsidRPr="00E224E9">
              <w:rPr>
                <w:rFonts w:ascii="標楷體" w:hAnsi="標楷體" w:hint="eastAsia"/>
                <w:color w:val="000000" w:themeColor="text1"/>
                <w:sz w:val="24"/>
              </w:rPr>
              <w:t>列小計</w:t>
            </w:r>
          </w:p>
        </w:tc>
      </w:tr>
      <w:tr w:rsidR="00E224E9" w:rsidRPr="00E224E9" w14:paraId="6FA9E49A" w14:textId="77777777">
        <w:tc>
          <w:tcPr>
            <w:tcW w:w="2340" w:type="dxa"/>
            <w:vAlign w:val="center"/>
          </w:tcPr>
          <w:p w14:paraId="7F1A4A3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190</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196</w:t>
            </w:r>
            <w:r w:rsidRPr="00E224E9">
              <w:rPr>
                <w:rFonts w:ascii="標楷體" w:hAnsi="標楷體" w:hint="eastAsia"/>
                <w:color w:val="000000" w:themeColor="text1"/>
                <w:sz w:val="24"/>
              </w:rPr>
              <w:t>列</w:t>
            </w:r>
          </w:p>
        </w:tc>
        <w:tc>
          <w:tcPr>
            <w:tcW w:w="1980" w:type="dxa"/>
            <w:vAlign w:val="center"/>
          </w:tcPr>
          <w:p w14:paraId="2E9E45F3"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340" w:type="dxa"/>
            <w:vAlign w:val="center"/>
          </w:tcPr>
          <w:p w14:paraId="08EE3BA5"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3672DD8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196</w:t>
            </w:r>
            <w:r w:rsidRPr="00E224E9">
              <w:rPr>
                <w:rFonts w:ascii="標楷體" w:hAnsi="標楷體" w:hint="eastAsia"/>
                <w:color w:val="000000" w:themeColor="text1"/>
                <w:sz w:val="24"/>
              </w:rPr>
              <w:t>列為第</w:t>
            </w:r>
            <w:r w:rsidR="00C93145" w:rsidRPr="00E224E9">
              <w:rPr>
                <w:rFonts w:ascii="標楷體" w:hAnsi="標楷體" w:hint="eastAsia"/>
                <w:color w:val="000000" w:themeColor="text1"/>
                <w:sz w:val="24"/>
              </w:rPr>
              <w:t>190</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195</w:t>
            </w:r>
            <w:r w:rsidRPr="00E224E9">
              <w:rPr>
                <w:rFonts w:ascii="標楷體" w:hAnsi="標楷體" w:hint="eastAsia"/>
                <w:color w:val="000000" w:themeColor="text1"/>
                <w:sz w:val="24"/>
              </w:rPr>
              <w:t>列小計</w:t>
            </w:r>
          </w:p>
        </w:tc>
      </w:tr>
      <w:tr w:rsidR="00E224E9" w:rsidRPr="00E224E9" w14:paraId="4DEFC116" w14:textId="77777777">
        <w:tc>
          <w:tcPr>
            <w:tcW w:w="2340" w:type="dxa"/>
            <w:vAlign w:val="center"/>
          </w:tcPr>
          <w:p w14:paraId="63B3D03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197</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203</w:t>
            </w:r>
            <w:r w:rsidRPr="00E224E9">
              <w:rPr>
                <w:rFonts w:ascii="標楷體" w:hAnsi="標楷體" w:hint="eastAsia"/>
                <w:color w:val="000000" w:themeColor="text1"/>
                <w:sz w:val="24"/>
              </w:rPr>
              <w:t>列</w:t>
            </w:r>
          </w:p>
        </w:tc>
        <w:tc>
          <w:tcPr>
            <w:tcW w:w="1980" w:type="dxa"/>
            <w:vAlign w:val="center"/>
          </w:tcPr>
          <w:p w14:paraId="0448D4B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340" w:type="dxa"/>
            <w:vAlign w:val="center"/>
          </w:tcPr>
          <w:p w14:paraId="7915ED9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594883A9"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203</w:t>
            </w:r>
            <w:r w:rsidRPr="00E224E9">
              <w:rPr>
                <w:rFonts w:ascii="標楷體" w:hAnsi="標楷體" w:hint="eastAsia"/>
                <w:color w:val="000000" w:themeColor="text1"/>
                <w:sz w:val="24"/>
              </w:rPr>
              <w:t>列為第</w:t>
            </w:r>
            <w:r w:rsidR="00C93145" w:rsidRPr="00E224E9">
              <w:rPr>
                <w:rFonts w:ascii="標楷體" w:hAnsi="標楷體" w:hint="eastAsia"/>
                <w:color w:val="000000" w:themeColor="text1"/>
                <w:sz w:val="24"/>
              </w:rPr>
              <w:t>197</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202</w:t>
            </w:r>
            <w:r w:rsidRPr="00E224E9">
              <w:rPr>
                <w:rFonts w:ascii="標楷體" w:hAnsi="標楷體" w:hint="eastAsia"/>
                <w:color w:val="000000" w:themeColor="text1"/>
                <w:sz w:val="24"/>
              </w:rPr>
              <w:t>列小計</w:t>
            </w:r>
          </w:p>
        </w:tc>
      </w:tr>
      <w:tr w:rsidR="00E224E9" w:rsidRPr="00E224E9" w14:paraId="57E3D2CD" w14:textId="77777777">
        <w:tc>
          <w:tcPr>
            <w:tcW w:w="2340" w:type="dxa"/>
            <w:vAlign w:val="center"/>
          </w:tcPr>
          <w:p w14:paraId="01CF48E8"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w:t>
            </w:r>
            <w:r w:rsidR="005D7615" w:rsidRPr="00E224E9">
              <w:rPr>
                <w:rFonts w:ascii="標楷體" w:hAnsi="標楷體" w:hint="eastAsia"/>
                <w:color w:val="000000" w:themeColor="text1"/>
                <w:sz w:val="24"/>
              </w:rPr>
              <w:t>04</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210</w:t>
            </w:r>
            <w:r w:rsidRPr="00E224E9">
              <w:rPr>
                <w:rFonts w:ascii="標楷體" w:hAnsi="標楷體" w:hint="eastAsia"/>
                <w:color w:val="000000" w:themeColor="text1"/>
                <w:sz w:val="24"/>
              </w:rPr>
              <w:t>列</w:t>
            </w:r>
          </w:p>
        </w:tc>
        <w:tc>
          <w:tcPr>
            <w:tcW w:w="1980" w:type="dxa"/>
            <w:vAlign w:val="center"/>
          </w:tcPr>
          <w:p w14:paraId="082C8C9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340" w:type="dxa"/>
            <w:vAlign w:val="center"/>
          </w:tcPr>
          <w:p w14:paraId="3019C842"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6824692D"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210</w:t>
            </w:r>
            <w:r w:rsidRPr="00E224E9">
              <w:rPr>
                <w:rFonts w:ascii="標楷體" w:hAnsi="標楷體" w:hint="eastAsia"/>
                <w:color w:val="000000" w:themeColor="text1"/>
                <w:sz w:val="24"/>
              </w:rPr>
              <w:t>列為第2</w:t>
            </w:r>
            <w:r w:rsidR="00C93145" w:rsidRPr="00E224E9">
              <w:rPr>
                <w:rFonts w:ascii="標楷體" w:hAnsi="標楷體" w:hint="eastAsia"/>
                <w:color w:val="000000" w:themeColor="text1"/>
                <w:sz w:val="24"/>
              </w:rPr>
              <w:t>04</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209</w:t>
            </w:r>
            <w:r w:rsidRPr="00E224E9">
              <w:rPr>
                <w:rFonts w:ascii="標楷體" w:hAnsi="標楷體" w:hint="eastAsia"/>
                <w:color w:val="000000" w:themeColor="text1"/>
                <w:sz w:val="24"/>
              </w:rPr>
              <w:t>列小計</w:t>
            </w:r>
          </w:p>
        </w:tc>
      </w:tr>
      <w:tr w:rsidR="00E224E9" w:rsidRPr="00E224E9" w14:paraId="54AF5544" w14:textId="77777777">
        <w:tc>
          <w:tcPr>
            <w:tcW w:w="2340" w:type="dxa"/>
            <w:vAlign w:val="center"/>
          </w:tcPr>
          <w:p w14:paraId="5A1AF6C3"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211</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217</w:t>
            </w:r>
            <w:r w:rsidRPr="00E224E9">
              <w:rPr>
                <w:rFonts w:ascii="標楷體" w:hAnsi="標楷體" w:hint="eastAsia"/>
                <w:color w:val="000000" w:themeColor="text1"/>
                <w:sz w:val="24"/>
              </w:rPr>
              <w:t>列</w:t>
            </w:r>
          </w:p>
        </w:tc>
        <w:tc>
          <w:tcPr>
            <w:tcW w:w="1980" w:type="dxa"/>
            <w:vAlign w:val="center"/>
          </w:tcPr>
          <w:p w14:paraId="57796D1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340" w:type="dxa"/>
            <w:vAlign w:val="center"/>
          </w:tcPr>
          <w:p w14:paraId="685A9B17"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76FCA0BC"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217</w:t>
            </w:r>
            <w:r w:rsidRPr="00E224E9">
              <w:rPr>
                <w:rFonts w:ascii="標楷體" w:hAnsi="標楷體" w:hint="eastAsia"/>
                <w:color w:val="000000" w:themeColor="text1"/>
                <w:sz w:val="24"/>
              </w:rPr>
              <w:t>列為第</w:t>
            </w:r>
            <w:r w:rsidR="00C93145" w:rsidRPr="00E224E9">
              <w:rPr>
                <w:rFonts w:ascii="標楷體" w:hAnsi="標楷體" w:hint="eastAsia"/>
                <w:color w:val="000000" w:themeColor="text1"/>
                <w:sz w:val="24"/>
              </w:rPr>
              <w:t>21</w:t>
            </w:r>
            <w:r w:rsidRPr="00E224E9">
              <w:rPr>
                <w:rFonts w:ascii="標楷體" w:hAnsi="標楷體" w:hint="eastAsia"/>
                <w:color w:val="000000" w:themeColor="text1"/>
                <w:sz w:val="24"/>
              </w:rPr>
              <w:t>1列~第</w:t>
            </w:r>
            <w:r w:rsidR="00C93145" w:rsidRPr="00E224E9">
              <w:rPr>
                <w:rFonts w:ascii="標楷體" w:hAnsi="標楷體" w:hint="eastAsia"/>
                <w:color w:val="000000" w:themeColor="text1"/>
                <w:sz w:val="24"/>
              </w:rPr>
              <w:t>216</w:t>
            </w:r>
            <w:r w:rsidRPr="00E224E9">
              <w:rPr>
                <w:rFonts w:ascii="標楷體" w:hAnsi="標楷體" w:hint="eastAsia"/>
                <w:color w:val="000000" w:themeColor="text1"/>
                <w:sz w:val="24"/>
              </w:rPr>
              <w:t>列小計</w:t>
            </w:r>
          </w:p>
        </w:tc>
      </w:tr>
      <w:tr w:rsidR="00E224E9" w:rsidRPr="00E224E9" w14:paraId="15905B90" w14:textId="77777777">
        <w:tc>
          <w:tcPr>
            <w:tcW w:w="2340" w:type="dxa"/>
            <w:vAlign w:val="center"/>
          </w:tcPr>
          <w:p w14:paraId="6566ED0A"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218</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224</w:t>
            </w:r>
            <w:r w:rsidRPr="00E224E9">
              <w:rPr>
                <w:rFonts w:ascii="標楷體" w:hAnsi="標楷體" w:hint="eastAsia"/>
                <w:color w:val="000000" w:themeColor="text1"/>
                <w:sz w:val="24"/>
              </w:rPr>
              <w:t>列</w:t>
            </w:r>
          </w:p>
        </w:tc>
        <w:tc>
          <w:tcPr>
            <w:tcW w:w="1980" w:type="dxa"/>
            <w:vAlign w:val="center"/>
          </w:tcPr>
          <w:p w14:paraId="38A0829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340" w:type="dxa"/>
            <w:vAlign w:val="center"/>
          </w:tcPr>
          <w:p w14:paraId="00BE61D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22BBB15F"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第22</w:t>
            </w:r>
            <w:r w:rsidR="00C93145" w:rsidRPr="00E224E9">
              <w:rPr>
                <w:rFonts w:ascii="標楷體" w:hAnsi="標楷體" w:hint="eastAsia"/>
                <w:color w:val="000000" w:themeColor="text1"/>
                <w:sz w:val="24"/>
              </w:rPr>
              <w:t>4</w:t>
            </w:r>
            <w:r w:rsidRPr="00E224E9">
              <w:rPr>
                <w:rFonts w:ascii="標楷體" w:hAnsi="標楷體" w:hint="eastAsia"/>
                <w:color w:val="000000" w:themeColor="text1"/>
                <w:sz w:val="24"/>
              </w:rPr>
              <w:t>列為第</w:t>
            </w:r>
            <w:r w:rsidR="00C93145" w:rsidRPr="00E224E9">
              <w:rPr>
                <w:rFonts w:ascii="標楷體" w:hAnsi="標楷體" w:hint="eastAsia"/>
                <w:color w:val="000000" w:themeColor="text1"/>
                <w:sz w:val="24"/>
              </w:rPr>
              <w:t>2</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8</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223</w:t>
            </w:r>
            <w:r w:rsidRPr="00E224E9">
              <w:rPr>
                <w:rFonts w:ascii="標楷體" w:hAnsi="標楷體" w:hint="eastAsia"/>
                <w:color w:val="000000" w:themeColor="text1"/>
                <w:sz w:val="24"/>
              </w:rPr>
              <w:t>列小計</w:t>
            </w:r>
          </w:p>
        </w:tc>
      </w:tr>
      <w:tr w:rsidR="00E224E9" w:rsidRPr="00E224E9" w14:paraId="0538F0F6" w14:textId="77777777">
        <w:tc>
          <w:tcPr>
            <w:tcW w:w="2340" w:type="dxa"/>
            <w:vAlign w:val="center"/>
          </w:tcPr>
          <w:p w14:paraId="5E155E51"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225</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231</w:t>
            </w:r>
            <w:r w:rsidRPr="00E224E9">
              <w:rPr>
                <w:rFonts w:ascii="標楷體" w:hAnsi="標楷體" w:hint="eastAsia"/>
                <w:color w:val="000000" w:themeColor="text1"/>
                <w:sz w:val="24"/>
              </w:rPr>
              <w:t>列</w:t>
            </w:r>
          </w:p>
        </w:tc>
        <w:tc>
          <w:tcPr>
            <w:tcW w:w="1980" w:type="dxa"/>
            <w:vAlign w:val="center"/>
          </w:tcPr>
          <w:p w14:paraId="74D0380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340" w:type="dxa"/>
            <w:vAlign w:val="center"/>
          </w:tcPr>
          <w:p w14:paraId="73036586"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645AAA02"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231</w:t>
            </w:r>
            <w:r w:rsidRPr="00E224E9">
              <w:rPr>
                <w:rFonts w:ascii="標楷體" w:hAnsi="標楷體" w:hint="eastAsia"/>
                <w:color w:val="000000" w:themeColor="text1"/>
                <w:sz w:val="24"/>
              </w:rPr>
              <w:t>列為第2</w:t>
            </w:r>
            <w:r w:rsidR="00C93145" w:rsidRPr="00E224E9">
              <w:rPr>
                <w:rFonts w:ascii="標楷體" w:hAnsi="標楷體" w:hint="eastAsia"/>
                <w:color w:val="000000" w:themeColor="text1"/>
                <w:sz w:val="24"/>
              </w:rPr>
              <w:t>25</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230</w:t>
            </w:r>
            <w:r w:rsidRPr="00E224E9">
              <w:rPr>
                <w:rFonts w:ascii="標楷體" w:hAnsi="標楷體" w:hint="eastAsia"/>
                <w:color w:val="000000" w:themeColor="text1"/>
                <w:sz w:val="24"/>
              </w:rPr>
              <w:t>列小計</w:t>
            </w:r>
          </w:p>
        </w:tc>
      </w:tr>
      <w:tr w:rsidR="00E224E9" w:rsidRPr="00E224E9" w14:paraId="7C676EA7" w14:textId="77777777">
        <w:tc>
          <w:tcPr>
            <w:tcW w:w="2340" w:type="dxa"/>
            <w:vAlign w:val="center"/>
          </w:tcPr>
          <w:p w14:paraId="7480C5DC"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232</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238</w:t>
            </w:r>
            <w:r w:rsidRPr="00E224E9">
              <w:rPr>
                <w:rFonts w:ascii="標楷體" w:hAnsi="標楷體" w:hint="eastAsia"/>
                <w:color w:val="000000" w:themeColor="text1"/>
                <w:sz w:val="24"/>
              </w:rPr>
              <w:t>列</w:t>
            </w:r>
          </w:p>
        </w:tc>
        <w:tc>
          <w:tcPr>
            <w:tcW w:w="1980" w:type="dxa"/>
            <w:vAlign w:val="center"/>
          </w:tcPr>
          <w:p w14:paraId="0B33877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340" w:type="dxa"/>
            <w:vAlign w:val="center"/>
          </w:tcPr>
          <w:p w14:paraId="52E12537"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225D9D47"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第2</w:t>
            </w:r>
            <w:r w:rsidR="00C93145" w:rsidRPr="00E224E9">
              <w:rPr>
                <w:rFonts w:ascii="標楷體" w:hAnsi="標楷體" w:hint="eastAsia"/>
                <w:color w:val="000000" w:themeColor="text1"/>
                <w:sz w:val="24"/>
              </w:rPr>
              <w:t>38</w:t>
            </w:r>
            <w:r w:rsidRPr="00E224E9">
              <w:rPr>
                <w:rFonts w:ascii="標楷體" w:hAnsi="標楷體" w:hint="eastAsia"/>
                <w:color w:val="000000" w:themeColor="text1"/>
                <w:sz w:val="24"/>
              </w:rPr>
              <w:t>列為第2</w:t>
            </w:r>
            <w:r w:rsidR="00C93145" w:rsidRPr="00E224E9">
              <w:rPr>
                <w:rFonts w:ascii="標楷體" w:hAnsi="標楷體" w:hint="eastAsia"/>
                <w:color w:val="000000" w:themeColor="text1"/>
                <w:sz w:val="24"/>
              </w:rPr>
              <w:t>32</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237</w:t>
            </w:r>
            <w:r w:rsidRPr="00E224E9">
              <w:rPr>
                <w:rFonts w:ascii="標楷體" w:hAnsi="標楷體" w:hint="eastAsia"/>
                <w:color w:val="000000" w:themeColor="text1"/>
                <w:sz w:val="24"/>
              </w:rPr>
              <w:t>列小計</w:t>
            </w:r>
          </w:p>
        </w:tc>
      </w:tr>
      <w:tr w:rsidR="00065C53" w:rsidRPr="00E224E9" w14:paraId="40C404A9" w14:textId="77777777">
        <w:tc>
          <w:tcPr>
            <w:tcW w:w="2340" w:type="dxa"/>
            <w:vAlign w:val="center"/>
          </w:tcPr>
          <w:p w14:paraId="270CEFE9"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239</w:t>
            </w:r>
            <w:r w:rsidRPr="00E224E9">
              <w:rPr>
                <w:rFonts w:ascii="標楷體" w:hAnsi="標楷體" w:hint="eastAsia"/>
                <w:color w:val="000000" w:themeColor="text1"/>
                <w:sz w:val="24"/>
              </w:rPr>
              <w:t>列</w:t>
            </w:r>
          </w:p>
        </w:tc>
        <w:tc>
          <w:tcPr>
            <w:tcW w:w="4320" w:type="dxa"/>
            <w:gridSpan w:val="2"/>
            <w:vAlign w:val="center"/>
          </w:tcPr>
          <w:p w14:paraId="365C7F3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以增加收益為目的</w:t>
            </w:r>
            <w:r w:rsidRPr="00E224E9">
              <w:rPr>
                <w:rFonts w:ascii="標楷體" w:hAnsi="標楷體"/>
                <w:color w:val="000000" w:themeColor="text1"/>
                <w:sz w:val="24"/>
              </w:rPr>
              <w:t>—</w:t>
            </w:r>
            <w:r w:rsidRPr="00E224E9">
              <w:rPr>
                <w:rFonts w:ascii="標楷體" w:hAnsi="標楷體" w:hint="eastAsia"/>
                <w:color w:val="000000" w:themeColor="text1"/>
                <w:sz w:val="24"/>
              </w:rPr>
              <w:t>賣出所有期貨及遠期契約合計</w:t>
            </w:r>
          </w:p>
        </w:tc>
        <w:tc>
          <w:tcPr>
            <w:tcW w:w="2880" w:type="dxa"/>
            <w:vAlign w:val="center"/>
          </w:tcPr>
          <w:p w14:paraId="1588EBA0" w14:textId="77777777" w:rsidR="00065C53" w:rsidRPr="00E224E9" w:rsidRDefault="00065C53" w:rsidP="00C93145">
            <w:pPr>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w:t>
            </w:r>
            <w:r w:rsidR="00C93145" w:rsidRPr="00E224E9">
              <w:rPr>
                <w:rFonts w:ascii="標楷體" w:hAnsi="標楷體" w:hint="eastAsia"/>
                <w:color w:val="000000" w:themeColor="text1"/>
                <w:sz w:val="24"/>
              </w:rPr>
              <w:t>89</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96</w:t>
            </w:r>
            <w:r w:rsidRPr="00E224E9">
              <w:rPr>
                <w:rFonts w:ascii="標楷體" w:hAnsi="標楷體" w:hint="eastAsia"/>
                <w:color w:val="000000" w:themeColor="text1"/>
                <w:sz w:val="24"/>
              </w:rPr>
              <w:t>、</w:t>
            </w:r>
            <w:r w:rsidR="00C93145" w:rsidRPr="00E224E9">
              <w:rPr>
                <w:rFonts w:ascii="標楷體" w:hAnsi="標楷體" w:hint="eastAsia"/>
                <w:color w:val="000000" w:themeColor="text1"/>
                <w:sz w:val="24"/>
              </w:rPr>
              <w:t>203</w:t>
            </w:r>
            <w:r w:rsidRPr="00E224E9">
              <w:rPr>
                <w:rFonts w:ascii="標楷體" w:hAnsi="標楷體" w:hint="eastAsia"/>
                <w:color w:val="000000" w:themeColor="text1"/>
                <w:sz w:val="24"/>
              </w:rPr>
              <w:t>、</w:t>
            </w:r>
            <w:r w:rsidR="00C93145" w:rsidRPr="00E224E9">
              <w:rPr>
                <w:rFonts w:ascii="標楷體" w:hAnsi="標楷體" w:hint="eastAsia"/>
                <w:color w:val="000000" w:themeColor="text1"/>
                <w:sz w:val="24"/>
              </w:rPr>
              <w:t>2</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0</w:t>
            </w:r>
            <w:r w:rsidRPr="00E224E9">
              <w:rPr>
                <w:rFonts w:ascii="標楷體" w:hAnsi="標楷體" w:hint="eastAsia"/>
                <w:color w:val="000000" w:themeColor="text1"/>
                <w:sz w:val="24"/>
              </w:rPr>
              <w:t>、</w:t>
            </w:r>
            <w:r w:rsidR="00C93145" w:rsidRPr="00E224E9">
              <w:rPr>
                <w:rFonts w:ascii="標楷體" w:hAnsi="標楷體" w:hint="eastAsia"/>
                <w:color w:val="000000" w:themeColor="text1"/>
                <w:sz w:val="24"/>
              </w:rPr>
              <w:t>2</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7、224</w:t>
            </w:r>
            <w:r w:rsidRPr="00E224E9">
              <w:rPr>
                <w:rFonts w:ascii="標楷體" w:hAnsi="標楷體" w:hint="eastAsia"/>
                <w:color w:val="000000" w:themeColor="text1"/>
                <w:sz w:val="24"/>
              </w:rPr>
              <w:t>、2</w:t>
            </w:r>
            <w:r w:rsidR="00C93145" w:rsidRPr="00E224E9">
              <w:rPr>
                <w:rFonts w:ascii="標楷體" w:hAnsi="標楷體" w:hint="eastAsia"/>
                <w:color w:val="000000" w:themeColor="text1"/>
                <w:sz w:val="24"/>
              </w:rPr>
              <w:t>31</w:t>
            </w:r>
            <w:r w:rsidRPr="00E224E9">
              <w:rPr>
                <w:rFonts w:ascii="標楷體" w:hAnsi="標楷體" w:hint="eastAsia"/>
                <w:color w:val="000000" w:themeColor="text1"/>
                <w:sz w:val="24"/>
              </w:rPr>
              <w:t>、2</w:t>
            </w:r>
            <w:r w:rsidR="00C93145" w:rsidRPr="00E224E9">
              <w:rPr>
                <w:rFonts w:ascii="標楷體" w:hAnsi="標楷體" w:hint="eastAsia"/>
                <w:color w:val="000000" w:themeColor="text1"/>
                <w:sz w:val="24"/>
              </w:rPr>
              <w:t>38</w:t>
            </w:r>
            <w:r w:rsidRPr="00E224E9">
              <w:rPr>
                <w:rFonts w:ascii="標楷體" w:hAnsi="標楷體" w:hint="eastAsia"/>
                <w:color w:val="000000" w:themeColor="text1"/>
                <w:sz w:val="24"/>
              </w:rPr>
              <w:t>列之合計</w:t>
            </w:r>
          </w:p>
        </w:tc>
      </w:tr>
    </w:tbl>
    <w:p w14:paraId="3AF38F54" w14:textId="77777777" w:rsidR="00065C53" w:rsidRPr="00E224E9" w:rsidRDefault="00065C53">
      <w:pPr>
        <w:spacing w:line="440" w:lineRule="exact"/>
        <w:ind w:leftChars="300" w:left="780"/>
        <w:rPr>
          <w:rFonts w:ascii="標楷體" w:hAnsi="標楷體"/>
          <w:color w:val="000000" w:themeColor="text1"/>
          <w:sz w:val="24"/>
        </w:rPr>
      </w:pPr>
    </w:p>
    <w:p w14:paraId="2CCE4B61"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240</w:t>
      </w:r>
      <w:r w:rsidRPr="00E224E9">
        <w:rPr>
          <w:rFonts w:ascii="標楷體" w:hAnsi="標楷體" w:hint="eastAsia"/>
          <w:color w:val="000000" w:themeColor="text1"/>
          <w:sz w:val="24"/>
        </w:rPr>
        <w:t>列－合計</w:t>
      </w:r>
    </w:p>
    <w:p w14:paraId="012E951E"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本列之金額為所有期貨與遠期契約之合計，為第1</w:t>
      </w:r>
      <w:r w:rsidR="005D7615" w:rsidRPr="00E224E9">
        <w:rPr>
          <w:rFonts w:ascii="標楷體" w:hAnsi="標楷體" w:hint="eastAsia"/>
          <w:color w:val="000000" w:themeColor="text1"/>
          <w:sz w:val="24"/>
        </w:rPr>
        <w:t>25</w:t>
      </w:r>
      <w:r w:rsidRPr="00E224E9">
        <w:rPr>
          <w:rFonts w:ascii="標楷體" w:hAnsi="標楷體" w:hint="eastAsia"/>
          <w:color w:val="000000" w:themeColor="text1"/>
          <w:sz w:val="24"/>
        </w:rPr>
        <w:t>列以避險為目的小計，與第</w:t>
      </w:r>
      <w:r w:rsidR="005D7615" w:rsidRPr="00E224E9">
        <w:rPr>
          <w:rFonts w:ascii="標楷體" w:hAnsi="標楷體" w:hint="eastAsia"/>
          <w:color w:val="000000" w:themeColor="text1"/>
          <w:sz w:val="24"/>
        </w:rPr>
        <w:t>182</w:t>
      </w:r>
      <w:r w:rsidRPr="00E224E9">
        <w:rPr>
          <w:rFonts w:ascii="標楷體" w:hAnsi="標楷體" w:hint="eastAsia"/>
          <w:color w:val="000000" w:themeColor="text1"/>
          <w:sz w:val="24"/>
        </w:rPr>
        <w:t>列以增加收益為目的</w:t>
      </w:r>
      <w:r w:rsidRPr="00E224E9">
        <w:rPr>
          <w:rFonts w:ascii="標楷體" w:hAnsi="標楷體"/>
          <w:color w:val="000000" w:themeColor="text1"/>
          <w:sz w:val="24"/>
        </w:rPr>
        <w:t>—</w:t>
      </w:r>
      <w:r w:rsidRPr="00E224E9">
        <w:rPr>
          <w:rFonts w:ascii="標楷體" w:hAnsi="標楷體" w:hint="eastAsia"/>
          <w:color w:val="000000" w:themeColor="text1"/>
          <w:sz w:val="24"/>
        </w:rPr>
        <w:t>買入小計，以及第</w:t>
      </w:r>
      <w:r w:rsidR="005D7615" w:rsidRPr="00E224E9">
        <w:rPr>
          <w:rFonts w:ascii="標楷體" w:hAnsi="標楷體" w:hint="eastAsia"/>
          <w:color w:val="000000" w:themeColor="text1"/>
          <w:sz w:val="24"/>
        </w:rPr>
        <w:t>239</w:t>
      </w:r>
      <w:r w:rsidRPr="00E224E9">
        <w:rPr>
          <w:rFonts w:ascii="標楷體" w:hAnsi="標楷體" w:hint="eastAsia"/>
          <w:color w:val="000000" w:themeColor="text1"/>
          <w:sz w:val="24"/>
        </w:rPr>
        <w:t>列以增加收益為目的</w:t>
      </w:r>
      <w:r w:rsidRPr="00E224E9">
        <w:rPr>
          <w:rFonts w:ascii="標楷體" w:hAnsi="標楷體"/>
          <w:color w:val="000000" w:themeColor="text1"/>
          <w:sz w:val="24"/>
        </w:rPr>
        <w:t>—</w:t>
      </w:r>
      <w:r w:rsidRPr="00E224E9">
        <w:rPr>
          <w:rFonts w:ascii="標楷體" w:hAnsi="標楷體" w:hint="eastAsia"/>
          <w:color w:val="000000" w:themeColor="text1"/>
          <w:sz w:val="24"/>
        </w:rPr>
        <w:t>賣出小計等三列之加總。</w:t>
      </w:r>
    </w:p>
    <w:p w14:paraId="731B614F" w14:textId="77777777" w:rsidR="00065C53" w:rsidRPr="00E224E9" w:rsidRDefault="00065C53">
      <w:pPr>
        <w:spacing w:line="440" w:lineRule="exact"/>
        <w:ind w:left="720"/>
        <w:jc w:val="both"/>
        <w:rPr>
          <w:rFonts w:ascii="標楷體" w:hAnsi="標楷體"/>
          <w:color w:val="000000" w:themeColor="text1"/>
          <w:sz w:val="24"/>
        </w:rPr>
      </w:pPr>
    </w:p>
    <w:p w14:paraId="7C71037D" w14:textId="77777777" w:rsidR="00065C53" w:rsidRPr="00E224E9" w:rsidRDefault="00065C53">
      <w:pPr>
        <w:spacing w:line="440" w:lineRule="exact"/>
        <w:ind w:leftChars="276" w:left="718"/>
        <w:jc w:val="both"/>
        <w:rPr>
          <w:rFonts w:ascii="標楷體" w:hAnsi="標楷體"/>
          <w:color w:val="000000" w:themeColor="text1"/>
        </w:rPr>
      </w:pPr>
    </w:p>
    <w:p w14:paraId="169FDE74" w14:textId="77777777" w:rsidR="00065C53" w:rsidRPr="00E224E9" w:rsidRDefault="00065C53">
      <w:pPr>
        <w:pStyle w:val="1"/>
        <w:spacing w:afterLines="0" w:line="440" w:lineRule="exact"/>
        <w:jc w:val="both"/>
        <w:rPr>
          <w:color w:val="000000" w:themeColor="text1"/>
        </w:rPr>
      </w:pPr>
      <w:r w:rsidRPr="00E224E9">
        <w:rPr>
          <w:color w:val="000000" w:themeColor="text1"/>
        </w:rPr>
        <w:br w:type="page"/>
      </w:r>
      <w:bookmarkStart w:id="72" w:name="_Toc219262236"/>
      <w:bookmarkStart w:id="73" w:name="_Toc200468530"/>
      <w:r w:rsidRPr="00E224E9">
        <w:rPr>
          <w:rFonts w:hint="eastAsia"/>
          <w:color w:val="000000" w:themeColor="text1"/>
        </w:rPr>
        <w:lastRenderedPageBreak/>
        <w:t>表16-1-2：衍生性商品餘額明細表－交換</w:t>
      </w:r>
      <w:bookmarkEnd w:id="72"/>
      <w:bookmarkEnd w:id="73"/>
    </w:p>
    <w:p w14:paraId="0E25CE5A" w14:textId="77777777" w:rsidR="00065C53" w:rsidRPr="00E224E9" w:rsidRDefault="00065C53">
      <w:pPr>
        <w:spacing w:line="440" w:lineRule="exact"/>
        <w:ind w:firstLineChars="207" w:firstLine="497"/>
        <w:rPr>
          <w:rFonts w:ascii="標楷體" w:hAnsi="標楷體"/>
          <w:color w:val="000000" w:themeColor="text1"/>
          <w:sz w:val="24"/>
        </w:rPr>
      </w:pPr>
      <w:r w:rsidRPr="00E224E9">
        <w:rPr>
          <w:rFonts w:ascii="標楷體" w:hAnsi="標楷體" w:hint="eastAsia"/>
          <w:color w:val="000000" w:themeColor="text1"/>
          <w:sz w:val="24"/>
        </w:rPr>
        <w:t>「衍生性商品餘額明細表－交換契約」係表達填報公司所從事之交換契約的明細資料，以供主管機關評估可能之風險。本明細表之契約名目部位金額、成本、最近收盤日</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金額，以及未實現損益等數額之合計數，可自動勾稽至表16-2之總表中。其中，匯率避險中屬於標準避險者，其契約名目部位金額合計數，將用以做為表30-3外匯風險金額之扣抵項目之一。本表所需填列之各欄明細資訊說明如下：</w:t>
      </w:r>
    </w:p>
    <w:p w14:paraId="5B6A0DB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第1欄－交易目的</w:t>
      </w:r>
    </w:p>
    <w:p w14:paraId="0E9DEA99"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本欄不需填列，填報公司僅需依各交換契約之交易目的，分別自「以避險為目的」或「以增加收益為目的」等兩種交易目的中，選擇適當之項目擇一填列。</w:t>
      </w:r>
    </w:p>
    <w:p w14:paraId="5B3DA860"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本表所稱以避險為目的之交換契約係指符合保險業從事衍生性金融商品交易應注意事項中第三點中以避險為目的之條件者。</w:t>
      </w:r>
    </w:p>
    <w:p w14:paraId="67715EF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第2欄－類型</w:t>
      </w:r>
    </w:p>
    <w:p w14:paraId="035404E4"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本欄不需填列，填報公司僅需依交換契約之標的物類型以及被避險資產或交換契約換入標的物所屬國家，將交換契約歸類於適當之類型中。各類型之定義說明如下：</w:t>
      </w:r>
    </w:p>
    <w:p w14:paraId="494C614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以避險為目的--匯率相關(標準避險)：</w:t>
      </w:r>
    </w:p>
    <w:p w14:paraId="123D3226"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本表所稱與匯率相關之交換契約係包括以匯率為交換標的之換匯以及換匯換利等交換契約；</w:t>
      </w:r>
    </w:p>
    <w:p w14:paraId="50B99340"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匯率(標準避險)係指該匯率交換契約所換出之幣別與被避險資產之幣別相同，並且其換入幣別需為台幣。例如:以約定之美元兌台幣之匯率換出美元，並且換回台幣，以進行美元資產之匯率避險者，即屬於標準避險；</w:t>
      </w:r>
    </w:p>
    <w:p w14:paraId="7A52E7F8"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本類型之交換契約請依被避險資產所屬國別，歸類為「被避險資產屬國外投資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」或「被避險資產屬國外投資</w:t>
      </w:r>
      <w:r w:rsidRPr="00E224E9">
        <w:rPr>
          <w:rFonts w:ascii="標楷體" w:hAnsi="標楷體"/>
          <w:color w:val="000000" w:themeColor="text1"/>
          <w:sz w:val="24"/>
        </w:rPr>
        <w:t>—</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599A209C"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以避險為目的--匯率相關(非標準避險)：</w:t>
      </w:r>
    </w:p>
    <w:p w14:paraId="08E1E2E8"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本表所稱匯率(非標準避險)係指該匯率交換所換出之幣別與被避險資產之幣別不同，或該交換契約換入之幣別非為台幣者。</w:t>
      </w:r>
    </w:p>
    <w:p w14:paraId="5CCA96C7"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本類型之交換契約請依被避險資產所屬國別，歸類為「被避險資產屬國外投資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」或「被避險資產屬國外投資</w:t>
      </w:r>
      <w:r w:rsidRPr="00E224E9">
        <w:rPr>
          <w:rFonts w:ascii="標楷體" w:hAnsi="標楷體"/>
          <w:color w:val="000000" w:themeColor="text1"/>
          <w:sz w:val="24"/>
        </w:rPr>
        <w:t>—</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307287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r w:rsidRPr="00E224E9">
        <w:rPr>
          <w:rFonts w:ascii="標楷體" w:hAnsi="標楷體"/>
          <w:color w:val="000000" w:themeColor="text1"/>
          <w:sz w:val="24"/>
        </w:rPr>
        <w:t>—</w:t>
      </w:r>
      <w:r w:rsidRPr="00E224E9">
        <w:rPr>
          <w:rFonts w:ascii="標楷體" w:hAnsi="標楷體" w:hint="eastAsia"/>
          <w:color w:val="000000" w:themeColor="text1"/>
          <w:sz w:val="24"/>
        </w:rPr>
        <w:t>權益證券相關：</w:t>
      </w:r>
    </w:p>
    <w:p w14:paraId="24A8EEDF"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本表所稱與權益證券相關之交換契約係包括以個別權益證券及股價指數為換入及換出標的者；</w:t>
      </w:r>
    </w:p>
    <w:p w14:paraId="7FE0A1F9"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lastRenderedPageBreak/>
        <w:t>本類型之交換契約請依被避險資產所屬國別，歸類為「被避險資產屬國內投資」、「被避險資產屬國外投資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」或「被避險資產屬國外投資</w:t>
      </w:r>
      <w:r w:rsidRPr="00E224E9">
        <w:rPr>
          <w:rFonts w:ascii="標楷體" w:hAnsi="標楷體"/>
          <w:color w:val="000000" w:themeColor="text1"/>
          <w:sz w:val="24"/>
        </w:rPr>
        <w:t>—</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7B2B9CD"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r w:rsidRPr="00E224E9">
        <w:rPr>
          <w:rFonts w:ascii="標楷體" w:hAnsi="標楷體"/>
          <w:color w:val="000000" w:themeColor="text1"/>
          <w:sz w:val="24"/>
        </w:rPr>
        <w:t>—</w:t>
      </w:r>
      <w:r w:rsidRPr="00E224E9">
        <w:rPr>
          <w:rFonts w:ascii="標楷體" w:hAnsi="標楷體" w:hint="eastAsia"/>
          <w:color w:val="000000" w:themeColor="text1"/>
          <w:sz w:val="24"/>
        </w:rPr>
        <w:t>其他標的</w:t>
      </w:r>
    </w:p>
    <w:p w14:paraId="4E8EE07D"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本表所稱以避險為目的之其他標的交換契約，係指除了以匯率以及權益證券為標的物以外的交換契約，例如利率相關或信用相關之交換契約即屬此類。</w:t>
      </w:r>
    </w:p>
    <w:p w14:paraId="5A46EE48"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本類型之交換契約請依被避險資產所屬國別，歸類為「被避險資產屬國內投資」、「被避險資產屬國外投資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」或「被避險資產屬國外投資</w:t>
      </w:r>
      <w:r w:rsidRPr="00E224E9">
        <w:rPr>
          <w:rFonts w:ascii="標楷體" w:hAnsi="標楷體"/>
          <w:color w:val="000000" w:themeColor="text1"/>
          <w:sz w:val="24"/>
        </w:rPr>
        <w:t>—</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E3015F2"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w:t>
      </w:r>
      <w:r w:rsidRPr="00E224E9">
        <w:rPr>
          <w:rFonts w:ascii="標楷體" w:hAnsi="標楷體"/>
          <w:color w:val="000000" w:themeColor="text1"/>
          <w:sz w:val="24"/>
        </w:rPr>
        <w:t>—</w:t>
      </w:r>
      <w:r w:rsidRPr="00E224E9">
        <w:rPr>
          <w:rFonts w:ascii="標楷體" w:hAnsi="標楷體" w:hint="eastAsia"/>
          <w:color w:val="000000" w:themeColor="text1"/>
          <w:sz w:val="24"/>
        </w:rPr>
        <w:t>匯率相關</w:t>
      </w:r>
    </w:p>
    <w:p w14:paraId="45C6E44B"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係指以增加收益為目的，並且交換契約之標的物與匯率相關者。本類型之交換契約請依</w:t>
      </w:r>
      <w:r w:rsidRPr="00E224E9">
        <w:rPr>
          <w:rFonts w:ascii="標楷體" w:hAnsi="標楷體" w:hint="eastAsia"/>
          <w:b/>
          <w:color w:val="000000" w:themeColor="text1"/>
          <w:sz w:val="24"/>
        </w:rPr>
        <w:t>交換契約換入標的物</w:t>
      </w:r>
      <w:r w:rsidRPr="00E224E9">
        <w:rPr>
          <w:rFonts w:ascii="標楷體" w:hAnsi="標楷體" w:hint="eastAsia"/>
          <w:color w:val="000000" w:themeColor="text1"/>
          <w:sz w:val="24"/>
        </w:rPr>
        <w:t>所屬國別，歸類為「換入標的物屬國外投資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」或「換入標的物屬國外投資</w:t>
      </w:r>
      <w:r w:rsidRPr="00E224E9">
        <w:rPr>
          <w:rFonts w:ascii="標楷體" w:hAnsi="標楷體"/>
          <w:color w:val="000000" w:themeColor="text1"/>
          <w:sz w:val="24"/>
        </w:rPr>
        <w:t>—</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7A30E2FD"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w:t>
      </w:r>
      <w:r w:rsidRPr="00E224E9">
        <w:rPr>
          <w:rFonts w:ascii="標楷體" w:hAnsi="標楷體"/>
          <w:color w:val="000000" w:themeColor="text1"/>
          <w:sz w:val="24"/>
        </w:rPr>
        <w:t>—</w:t>
      </w:r>
      <w:r w:rsidRPr="00E224E9">
        <w:rPr>
          <w:rFonts w:ascii="標楷體" w:hAnsi="標楷體" w:hint="eastAsia"/>
          <w:color w:val="000000" w:themeColor="text1"/>
          <w:sz w:val="24"/>
        </w:rPr>
        <w:t>權益證券相關</w:t>
      </w:r>
    </w:p>
    <w:p w14:paraId="40810AA2"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係指以增加收益為目的，並且交換契約之標的物與權益證券相關者。本類型之交換契約請依</w:t>
      </w:r>
      <w:r w:rsidRPr="00E224E9">
        <w:rPr>
          <w:rFonts w:ascii="標楷體" w:hAnsi="標楷體" w:hint="eastAsia"/>
          <w:b/>
          <w:color w:val="000000" w:themeColor="text1"/>
          <w:sz w:val="24"/>
        </w:rPr>
        <w:t>交換契約換入標的物</w:t>
      </w:r>
      <w:r w:rsidRPr="00E224E9">
        <w:rPr>
          <w:rFonts w:ascii="標楷體" w:hAnsi="標楷體" w:hint="eastAsia"/>
          <w:color w:val="000000" w:themeColor="text1"/>
          <w:sz w:val="24"/>
        </w:rPr>
        <w:t>所屬國別，歸類為「換入標的物屬國內投資」、「換入標的物屬國外投資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」或「換入標的物屬國外投資</w:t>
      </w:r>
      <w:r w:rsidRPr="00E224E9">
        <w:rPr>
          <w:rFonts w:ascii="標楷體" w:hAnsi="標楷體"/>
          <w:color w:val="000000" w:themeColor="text1"/>
          <w:sz w:val="24"/>
        </w:rPr>
        <w:t>—</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3181B31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w:t>
      </w:r>
      <w:r w:rsidRPr="00E224E9">
        <w:rPr>
          <w:rFonts w:ascii="標楷體" w:hAnsi="標楷體"/>
          <w:color w:val="000000" w:themeColor="text1"/>
          <w:sz w:val="24"/>
        </w:rPr>
        <w:t>—</w:t>
      </w:r>
      <w:r w:rsidRPr="00E224E9">
        <w:rPr>
          <w:rFonts w:ascii="標楷體" w:hAnsi="標楷體" w:hint="eastAsia"/>
          <w:color w:val="000000" w:themeColor="text1"/>
          <w:sz w:val="24"/>
        </w:rPr>
        <w:t>其他標的</w:t>
      </w:r>
    </w:p>
    <w:p w14:paraId="57C0ECDF"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係指以增加收益為目的，並且交換契約之標的物並不屬於匯率或權益證券相關者，例如利率相關或信用相關之交換契約即屬此類。本類型之交換契約請依</w:t>
      </w:r>
      <w:r w:rsidRPr="00E224E9">
        <w:rPr>
          <w:rFonts w:ascii="標楷體" w:hAnsi="標楷體" w:hint="eastAsia"/>
          <w:b/>
          <w:color w:val="000000" w:themeColor="text1"/>
          <w:sz w:val="24"/>
        </w:rPr>
        <w:t>交換契約換入標的物</w:t>
      </w:r>
      <w:r w:rsidRPr="00E224E9">
        <w:rPr>
          <w:rFonts w:ascii="標楷體" w:hAnsi="標楷體" w:hint="eastAsia"/>
          <w:color w:val="000000" w:themeColor="text1"/>
          <w:sz w:val="24"/>
        </w:rPr>
        <w:t>所屬國別，歸類為「換入標的物屬國內投資」、「換入標的物屬國外投資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」或「換入標的物屬國外投資</w:t>
      </w:r>
      <w:r w:rsidRPr="00E224E9">
        <w:rPr>
          <w:rFonts w:ascii="標楷體" w:hAnsi="標楷體"/>
          <w:color w:val="000000" w:themeColor="text1"/>
          <w:sz w:val="24"/>
        </w:rPr>
        <w:t>—</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1F4C0D9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第3欄－交易對手代號</w:t>
      </w:r>
    </w:p>
    <w:p w14:paraId="43B226E2"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請洽由保險事業發展中心統一配賦。</w:t>
      </w:r>
    </w:p>
    <w:p w14:paraId="248A7B7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第4欄－交易對手名稱</w:t>
      </w:r>
    </w:p>
    <w:p w14:paraId="6FAED253"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請依各衍生性商品之交易對手填列其名稱。</w:t>
      </w:r>
    </w:p>
    <w:p w14:paraId="20C7BB6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第5欄－交易對手信用評等機構</w:t>
      </w:r>
    </w:p>
    <w:p w14:paraId="296D44FF" w14:textId="22849C76"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請填列如A.S&amp;P，B.AM Best，C.Moody</w:t>
      </w:r>
      <w:r w:rsidRPr="00E224E9">
        <w:rPr>
          <w:rFonts w:ascii="標楷體" w:hAnsi="標楷體"/>
          <w:color w:val="000000" w:themeColor="text1"/>
          <w:sz w:val="24"/>
        </w:rPr>
        <w:t>’</w:t>
      </w:r>
      <w:r w:rsidRPr="00E224E9">
        <w:rPr>
          <w:rFonts w:ascii="標楷體" w:hAnsi="標楷體" w:hint="eastAsia"/>
          <w:color w:val="000000" w:themeColor="text1"/>
          <w:sz w:val="24"/>
        </w:rPr>
        <w:t>s，D.Fitch，E.TW，</w:t>
      </w:r>
      <w:r w:rsidRPr="00E224E9">
        <w:rPr>
          <w:rFonts w:ascii="標楷體" w:hAnsi="標楷體"/>
          <w:color w:val="000000" w:themeColor="text1"/>
          <w:sz w:val="24"/>
        </w:rPr>
        <w:t>F.</w:t>
      </w:r>
      <w:r w:rsidR="0054058C" w:rsidRPr="00E224E9">
        <w:rPr>
          <w:rFonts w:ascii="標楷體" w:hAnsi="標楷體"/>
          <w:color w:val="000000" w:themeColor="text1"/>
          <w:sz w:val="24"/>
        </w:rPr>
        <w:t>KBRA</w:t>
      </w:r>
      <w:r w:rsidR="0054058C" w:rsidRPr="00E224E9">
        <w:rPr>
          <w:rFonts w:ascii="標楷體" w:hAnsi="標楷體" w:hint="eastAsia"/>
          <w:color w:val="000000" w:themeColor="text1"/>
          <w:sz w:val="24"/>
        </w:rPr>
        <w:t>，G.</w:t>
      </w:r>
      <w:r w:rsidRPr="00E224E9">
        <w:rPr>
          <w:rFonts w:ascii="標楷體" w:hAnsi="標楷體" w:hint="eastAsia"/>
          <w:color w:val="000000" w:themeColor="text1"/>
          <w:sz w:val="24"/>
        </w:rPr>
        <w:t>其他；若無，請填列「無」。</w:t>
      </w:r>
    </w:p>
    <w:p w14:paraId="5FFCB7A9" w14:textId="77777777" w:rsidR="00065C53" w:rsidRPr="00E224E9" w:rsidRDefault="00065C53">
      <w:pPr>
        <w:spacing w:line="440" w:lineRule="exact"/>
        <w:rPr>
          <w:rFonts w:ascii="標楷體" w:hAnsi="標楷體"/>
          <w:color w:val="000000" w:themeColor="text1"/>
          <w:sz w:val="24"/>
        </w:rPr>
      </w:pPr>
      <w:r w:rsidRPr="00E224E9">
        <w:rPr>
          <w:rFonts w:ascii="標楷體" w:hAnsi="標楷體"/>
          <w:color w:val="000000" w:themeColor="text1"/>
          <w:sz w:val="24"/>
        </w:rPr>
        <w:br w:type="page"/>
      </w:r>
      <w:r w:rsidRPr="00E224E9">
        <w:rPr>
          <w:rFonts w:ascii="標楷體" w:hAnsi="標楷體" w:hint="eastAsia"/>
          <w:color w:val="000000" w:themeColor="text1"/>
          <w:sz w:val="24"/>
        </w:rPr>
        <w:lastRenderedPageBreak/>
        <w:t>第6欄－評等等級</w:t>
      </w:r>
    </w:p>
    <w:p w14:paraId="7D1EC41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評等等級請依信用評等機構所評估之等級填列，並請以最近一年之評等資料填寫；若無者，請填列「無」。</w:t>
      </w:r>
    </w:p>
    <w:p w14:paraId="2056275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第7欄－是否為關係人</w:t>
      </w:r>
    </w:p>
    <w:p w14:paraId="2430CF76"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是否為關係人請依序填列：A.否，B. 關係人－非控制與從屬關係，C.關係人－具控制與從屬關係；所稱關係人係依</w:t>
      </w:r>
      <w:r w:rsidR="00C65703" w:rsidRPr="00E224E9">
        <w:rPr>
          <w:rFonts w:ascii="標楷體" w:hAnsi="標楷體" w:hint="eastAsia"/>
          <w:color w:val="000000" w:themeColor="text1"/>
          <w:sz w:val="24"/>
        </w:rPr>
        <w:t>國際會計準則第24號公報</w:t>
      </w:r>
      <w:r w:rsidRPr="00E224E9">
        <w:rPr>
          <w:rFonts w:ascii="標楷體" w:hAnsi="標楷體" w:hint="eastAsia"/>
          <w:color w:val="000000" w:themeColor="text1"/>
          <w:sz w:val="24"/>
        </w:rPr>
        <w:t>及公司法第369-1~369-3條、第369-9條、及第369-11條及關係企業合併營業報告書關係企業合併財務報表及關係報告書編製準則第六條之規定</w:t>
      </w:r>
      <w:r w:rsidRPr="00E224E9">
        <w:rPr>
          <w:rFonts w:ascii="標楷體" w:hAnsi="標楷體"/>
          <w:color w:val="000000" w:themeColor="text1"/>
          <w:sz w:val="24"/>
        </w:rPr>
        <w:t xml:space="preserve"> </w:t>
      </w:r>
      <w:r w:rsidRPr="00E224E9">
        <w:rPr>
          <w:rFonts w:ascii="標楷體" w:hAnsi="標楷體" w:hint="eastAsia"/>
          <w:color w:val="000000" w:themeColor="text1"/>
          <w:sz w:val="24"/>
        </w:rPr>
        <w:t>。</w:t>
      </w:r>
    </w:p>
    <w:p w14:paraId="7F93AFF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第8欄－衍生性商品名稱</w:t>
      </w:r>
    </w:p>
    <w:p w14:paraId="5FD194B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請填列各衍生性商品之名稱，如遠期美金交換等。</w:t>
      </w:r>
    </w:p>
    <w:p w14:paraId="06439E3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第9欄－交易日期</w:t>
      </w:r>
    </w:p>
    <w:p w14:paraId="6B19FE2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請填列如2006/06/25。</w:t>
      </w:r>
    </w:p>
    <w:p w14:paraId="5F38B56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第10欄－到期日</w:t>
      </w:r>
    </w:p>
    <w:p w14:paraId="1D94EF8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請填列如2006/06/25。</w:t>
      </w:r>
    </w:p>
    <w:p w14:paraId="75B64BE9"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第11欄－契約名目部位金額</w:t>
      </w:r>
    </w:p>
    <w:p w14:paraId="6D8B0E1F"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契約名目部位金額基本上為交換契約名目本金;若屬國外投資，請以台幣計價。</w:t>
      </w:r>
    </w:p>
    <w:p w14:paraId="0AA9AB6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第12欄－未實現損益</w:t>
      </w:r>
    </w:p>
    <w:p w14:paraId="2A2271A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未實現損益為交換契約mark-to-market之未實現損益金額。</w:t>
      </w:r>
    </w:p>
    <w:p w14:paraId="066EF39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第13欄－衍生性商品標的物</w:t>
      </w:r>
    </w:p>
    <w:p w14:paraId="69833B6C"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請分別填列交換契約換入及換出之標的物名稱，須包含交換部份(本金或利息或總報酬等)之描述；若標的物為無法拆解之一籃子或商品組合，請填列「一籃子」或「商品組合」。以下為填報範例：</w:t>
      </w:r>
    </w:p>
    <w:p w14:paraId="6A8B8316" w14:textId="77777777" w:rsidR="00065C53" w:rsidRPr="00E224E9" w:rsidRDefault="00065C53">
      <w:pPr>
        <w:spacing w:line="440" w:lineRule="exact"/>
        <w:ind w:leftChars="225" w:left="839" w:hangingChars="106" w:hanging="254"/>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換匯換利契約填報範例：以交換契約換出美國公債浮動利率，換入台幣固定利率；則換入標的物請填列「台幣固定利率」，換出標的物請填列「美國公債浮動利率」。</w:t>
      </w:r>
    </w:p>
    <w:p w14:paraId="0530CF91" w14:textId="77777777" w:rsidR="00065C53" w:rsidRPr="00E224E9" w:rsidRDefault="00065C53">
      <w:pPr>
        <w:spacing w:line="440" w:lineRule="exact"/>
        <w:ind w:leftChars="225" w:left="839" w:hangingChars="106" w:hanging="254"/>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資產交換契約填報範例：以資產交換契約換出A公司債資產總報酬，換入B公債資產總報酬，則換出標的物請填列「A公司債總報酬」，換出標入物請填列「B公債總報酬」。</w:t>
      </w:r>
    </w:p>
    <w:p w14:paraId="3C97A8B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第14欄－標的物資產計價幣別</w:t>
      </w:r>
    </w:p>
    <w:p w14:paraId="213079C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請分別填列交換契約換入及換出之標的物計價幣別。若為一籃子貨幣所組成，請填列「一籃子」。</w:t>
      </w:r>
    </w:p>
    <w:p w14:paraId="5BBCA673" w14:textId="77777777" w:rsidR="00065C53" w:rsidRPr="00E224E9" w:rsidRDefault="00065C53">
      <w:pPr>
        <w:spacing w:line="440" w:lineRule="exact"/>
        <w:rPr>
          <w:rFonts w:ascii="標楷體" w:hAnsi="標楷體"/>
          <w:color w:val="000000" w:themeColor="text1"/>
          <w:sz w:val="24"/>
        </w:rPr>
      </w:pPr>
      <w:r w:rsidRPr="00E224E9">
        <w:rPr>
          <w:rFonts w:ascii="標楷體" w:hAnsi="標楷體"/>
          <w:color w:val="000000" w:themeColor="text1"/>
          <w:sz w:val="24"/>
        </w:rPr>
        <w:br w:type="page"/>
      </w:r>
      <w:r w:rsidRPr="00E224E9">
        <w:rPr>
          <w:rFonts w:ascii="標楷體" w:hAnsi="標楷體" w:hint="eastAsia"/>
          <w:color w:val="000000" w:themeColor="text1"/>
          <w:sz w:val="24"/>
        </w:rPr>
        <w:lastRenderedPageBreak/>
        <w:t>第15欄－衍生性商品標的物(淨)</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w:t>
      </w:r>
    </w:p>
    <w:p w14:paraId="6F4A7DD7"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請填列衍生性商品標的物</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總值，若同一契約中對於同一標的物同時存在買賣部位，則需以買賣部位之</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總值之淨數額填列;若屬國外投資,請以台幣計價</w:t>
      </w:r>
    </w:p>
    <w:p w14:paraId="17CA88C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第16欄－被避險資產名稱</w:t>
      </w:r>
    </w:p>
    <w:p w14:paraId="4FEF2FA9"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 xml:space="preserve">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 </w:t>
      </w:r>
    </w:p>
    <w:p w14:paraId="260444A8" w14:textId="77777777" w:rsidR="00065C53" w:rsidRPr="00E224E9" w:rsidRDefault="00065C53">
      <w:pPr>
        <w:spacing w:line="440" w:lineRule="exact"/>
        <w:ind w:leftChars="225" w:left="839" w:hangingChars="106" w:hanging="254"/>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換匯換利填報範例：以交換契約換出美元浮動利率，換入台幣固定利率，以進行A 美國公債浮動利息收入之避險，則被避險資產請填列「A</w:t>
      </w:r>
      <w:r w:rsidRPr="00E224E9">
        <w:rPr>
          <w:rFonts w:ascii="標楷體" w:hAnsi="標楷體" w:hint="eastAsia"/>
          <w:b/>
          <w:color w:val="000000" w:themeColor="text1"/>
          <w:sz w:val="24"/>
        </w:rPr>
        <w:t>美國公債利息</w:t>
      </w:r>
      <w:r w:rsidRPr="00E224E9">
        <w:rPr>
          <w:rFonts w:ascii="標楷體" w:hAnsi="標楷體" w:hint="eastAsia"/>
          <w:color w:val="000000" w:themeColor="text1"/>
          <w:sz w:val="24"/>
        </w:rPr>
        <w:t>」</w:t>
      </w:r>
      <w:r w:rsidRPr="00E224E9">
        <w:rPr>
          <w:rFonts w:ascii="標楷體" w:hAnsi="標楷體" w:hint="eastAsia"/>
          <w:b/>
          <w:color w:val="000000" w:themeColor="text1"/>
          <w:sz w:val="24"/>
        </w:rPr>
        <w:t>，不能僅填列「</w:t>
      </w:r>
      <w:r w:rsidRPr="00E224E9">
        <w:rPr>
          <w:rFonts w:ascii="標楷體" w:hAnsi="標楷體" w:hint="eastAsia"/>
          <w:color w:val="000000" w:themeColor="text1"/>
          <w:sz w:val="24"/>
        </w:rPr>
        <w:t>A</w:t>
      </w:r>
      <w:r w:rsidRPr="00E224E9">
        <w:rPr>
          <w:rFonts w:ascii="標楷體" w:hAnsi="標楷體" w:hint="eastAsia"/>
          <w:b/>
          <w:color w:val="000000" w:themeColor="text1"/>
          <w:sz w:val="24"/>
        </w:rPr>
        <w:t>美國公債」</w:t>
      </w:r>
      <w:r w:rsidRPr="00E224E9">
        <w:rPr>
          <w:rFonts w:ascii="標楷體" w:hAnsi="標楷體" w:hint="eastAsia"/>
          <w:color w:val="000000" w:themeColor="text1"/>
          <w:sz w:val="24"/>
        </w:rPr>
        <w:t>。</w:t>
      </w:r>
    </w:p>
    <w:p w14:paraId="0CCAA7D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第17欄－衍生性商品標的物與被避險資產之相關係數</w:t>
      </w:r>
    </w:p>
    <w:p w14:paraId="5595AF8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請填入衍生性商品標的物與被避險資產之「價格變動率」相關係數。</w:t>
      </w:r>
    </w:p>
    <w:p w14:paraId="6A7BD8B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第18欄－保管情形</w:t>
      </w:r>
    </w:p>
    <w:p w14:paraId="2C368674"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保管情形請填保管機構名稱及帳號,若屬集保帳戶請填集保。</w:t>
      </w:r>
    </w:p>
    <w:p w14:paraId="42D0E80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第19欄－備註</w:t>
      </w:r>
    </w:p>
    <w:p w14:paraId="63625737"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若有其他需要補充說明之事項，請填列於此欄。</w:t>
      </w:r>
    </w:p>
    <w:p w14:paraId="4EB8D0CA" w14:textId="77777777" w:rsidR="00065C53" w:rsidRPr="00E224E9" w:rsidRDefault="00065C53">
      <w:pPr>
        <w:spacing w:line="440" w:lineRule="exact"/>
        <w:ind w:leftChars="225" w:left="585"/>
        <w:rPr>
          <w:rFonts w:ascii="標楷體" w:hAnsi="標楷體"/>
          <w:color w:val="000000" w:themeColor="text1"/>
          <w:sz w:val="24"/>
        </w:rPr>
      </w:pPr>
    </w:p>
    <w:p w14:paraId="232EC03C" w14:textId="77777777" w:rsidR="00065C53" w:rsidRPr="00E224E9" w:rsidRDefault="00065C53">
      <w:pPr>
        <w:spacing w:line="440" w:lineRule="exact"/>
        <w:ind w:leftChars="225" w:left="585"/>
        <w:rPr>
          <w:rFonts w:ascii="標楷體" w:hAnsi="標楷體"/>
          <w:b/>
          <w:color w:val="000000" w:themeColor="text1"/>
          <w:sz w:val="24"/>
        </w:rPr>
      </w:pPr>
      <w:r w:rsidRPr="00E224E9">
        <w:rPr>
          <w:rFonts w:ascii="標楷體" w:hAnsi="標楷體" w:hint="eastAsia"/>
          <w:b/>
          <w:color w:val="000000" w:themeColor="text1"/>
          <w:sz w:val="24"/>
        </w:rPr>
        <w:t>以下為主要列之說明：</w:t>
      </w:r>
    </w:p>
    <w:p w14:paraId="5391720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第1列~第103列－以避險為目的</w:t>
      </w:r>
    </w:p>
    <w:p w14:paraId="0DD01AD0"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自第1列至第103列請填列以避險為目的之交換契約之明細資料。</w:t>
      </w:r>
    </w:p>
    <w:p w14:paraId="03A14DBF"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請依交換契約之標的物類型、被避險資產所屬國家，分別填列於以下列次：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E224E9" w:rsidRPr="00E224E9" w14:paraId="5E6FD361" w14:textId="77777777">
        <w:trPr>
          <w:tblHeader/>
        </w:trPr>
        <w:tc>
          <w:tcPr>
            <w:tcW w:w="2100" w:type="dxa"/>
            <w:shd w:val="clear" w:color="auto" w:fill="E0E0E0"/>
          </w:tcPr>
          <w:p w14:paraId="5E3043FE"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2220" w:type="dxa"/>
            <w:shd w:val="clear" w:color="auto" w:fill="E0E0E0"/>
          </w:tcPr>
          <w:p w14:paraId="7CAD5C88"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520" w:type="dxa"/>
            <w:shd w:val="clear" w:color="auto" w:fill="E0E0E0"/>
          </w:tcPr>
          <w:p w14:paraId="21C3D7E0"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被避險資產所屬國家</w:t>
            </w:r>
          </w:p>
        </w:tc>
        <w:tc>
          <w:tcPr>
            <w:tcW w:w="2700" w:type="dxa"/>
            <w:shd w:val="clear" w:color="auto" w:fill="E0E0E0"/>
          </w:tcPr>
          <w:p w14:paraId="713D79A0"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118AE0B5" w14:textId="77777777">
        <w:tc>
          <w:tcPr>
            <w:tcW w:w="2100" w:type="dxa"/>
            <w:vAlign w:val="center"/>
          </w:tcPr>
          <w:p w14:paraId="030D0B9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第1列~第13列</w:t>
            </w:r>
          </w:p>
        </w:tc>
        <w:tc>
          <w:tcPr>
            <w:tcW w:w="2220" w:type="dxa"/>
            <w:vAlign w:val="center"/>
          </w:tcPr>
          <w:p w14:paraId="2681F05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匯率(標準避險)</w:t>
            </w:r>
          </w:p>
        </w:tc>
        <w:tc>
          <w:tcPr>
            <w:tcW w:w="2520" w:type="dxa"/>
            <w:vAlign w:val="center"/>
          </w:tcPr>
          <w:p w14:paraId="61EE8064"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700" w:type="dxa"/>
            <w:vAlign w:val="center"/>
          </w:tcPr>
          <w:p w14:paraId="15C0690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第13列為第1列~第12列小計</w:t>
            </w:r>
          </w:p>
        </w:tc>
      </w:tr>
      <w:tr w:rsidR="00E224E9" w:rsidRPr="00E224E9" w14:paraId="4262895E" w14:textId="77777777">
        <w:tc>
          <w:tcPr>
            <w:tcW w:w="2100" w:type="dxa"/>
            <w:vAlign w:val="center"/>
          </w:tcPr>
          <w:p w14:paraId="17DB3016"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第14列~第26列</w:t>
            </w:r>
          </w:p>
        </w:tc>
        <w:tc>
          <w:tcPr>
            <w:tcW w:w="2220" w:type="dxa"/>
            <w:vAlign w:val="center"/>
          </w:tcPr>
          <w:p w14:paraId="4ED07589"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匯率(標準避險)</w:t>
            </w:r>
          </w:p>
        </w:tc>
        <w:tc>
          <w:tcPr>
            <w:tcW w:w="2520" w:type="dxa"/>
            <w:vAlign w:val="center"/>
          </w:tcPr>
          <w:p w14:paraId="2E39F5CB"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700" w:type="dxa"/>
            <w:vAlign w:val="center"/>
          </w:tcPr>
          <w:p w14:paraId="00972B3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第26列為第14列~第25列小計</w:t>
            </w:r>
          </w:p>
        </w:tc>
      </w:tr>
      <w:tr w:rsidR="00E224E9" w:rsidRPr="00E224E9" w14:paraId="53E6C38A" w14:textId="77777777">
        <w:tc>
          <w:tcPr>
            <w:tcW w:w="2100" w:type="dxa"/>
            <w:vAlign w:val="center"/>
          </w:tcPr>
          <w:p w14:paraId="593CBC8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第27列~第36列</w:t>
            </w:r>
          </w:p>
        </w:tc>
        <w:tc>
          <w:tcPr>
            <w:tcW w:w="2220" w:type="dxa"/>
            <w:vAlign w:val="center"/>
          </w:tcPr>
          <w:p w14:paraId="0A1A7DF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匯率(非標準避險)</w:t>
            </w:r>
          </w:p>
        </w:tc>
        <w:tc>
          <w:tcPr>
            <w:tcW w:w="2520" w:type="dxa"/>
            <w:vAlign w:val="center"/>
          </w:tcPr>
          <w:p w14:paraId="356003B0"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700" w:type="dxa"/>
            <w:vAlign w:val="center"/>
          </w:tcPr>
          <w:p w14:paraId="3F7A5A4B"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第36列為第27列~第35列小計</w:t>
            </w:r>
          </w:p>
        </w:tc>
      </w:tr>
      <w:tr w:rsidR="00E224E9" w:rsidRPr="00E224E9" w14:paraId="5B14EF4B" w14:textId="77777777">
        <w:tc>
          <w:tcPr>
            <w:tcW w:w="2100" w:type="dxa"/>
            <w:vAlign w:val="center"/>
          </w:tcPr>
          <w:p w14:paraId="56E86C3C"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第37列~第48列</w:t>
            </w:r>
          </w:p>
        </w:tc>
        <w:tc>
          <w:tcPr>
            <w:tcW w:w="2220" w:type="dxa"/>
            <w:vAlign w:val="center"/>
          </w:tcPr>
          <w:p w14:paraId="2D8D113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匯率(非標準避險)</w:t>
            </w:r>
          </w:p>
        </w:tc>
        <w:tc>
          <w:tcPr>
            <w:tcW w:w="2520" w:type="dxa"/>
            <w:vAlign w:val="center"/>
          </w:tcPr>
          <w:p w14:paraId="17DB2A07"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700" w:type="dxa"/>
            <w:vAlign w:val="center"/>
          </w:tcPr>
          <w:p w14:paraId="4DE8125A"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第48列為第37列~第47列小計</w:t>
            </w:r>
          </w:p>
        </w:tc>
      </w:tr>
      <w:tr w:rsidR="00E224E9" w:rsidRPr="00E224E9" w14:paraId="2163EC68" w14:textId="77777777">
        <w:tc>
          <w:tcPr>
            <w:tcW w:w="2100" w:type="dxa"/>
            <w:vAlign w:val="center"/>
          </w:tcPr>
          <w:p w14:paraId="4D2CFFF7"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第49列~第59列</w:t>
            </w:r>
          </w:p>
        </w:tc>
        <w:tc>
          <w:tcPr>
            <w:tcW w:w="2220" w:type="dxa"/>
            <w:vAlign w:val="center"/>
          </w:tcPr>
          <w:p w14:paraId="526479E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73A55E3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700" w:type="dxa"/>
            <w:vAlign w:val="center"/>
          </w:tcPr>
          <w:p w14:paraId="2A1C793D"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第59列為第49列~第58列小計</w:t>
            </w:r>
          </w:p>
        </w:tc>
      </w:tr>
      <w:tr w:rsidR="00E224E9" w:rsidRPr="00E224E9" w14:paraId="7430EC3C" w14:textId="77777777">
        <w:tc>
          <w:tcPr>
            <w:tcW w:w="2100" w:type="dxa"/>
            <w:vAlign w:val="center"/>
          </w:tcPr>
          <w:p w14:paraId="1171240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lastRenderedPageBreak/>
              <w:t>第60列~第70列</w:t>
            </w:r>
          </w:p>
        </w:tc>
        <w:tc>
          <w:tcPr>
            <w:tcW w:w="2220" w:type="dxa"/>
            <w:vAlign w:val="center"/>
          </w:tcPr>
          <w:p w14:paraId="3C80F17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39BD68C2"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700" w:type="dxa"/>
            <w:vAlign w:val="center"/>
          </w:tcPr>
          <w:p w14:paraId="3268A93A"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第70列為第60列~第69列小計</w:t>
            </w:r>
          </w:p>
        </w:tc>
      </w:tr>
      <w:tr w:rsidR="00E224E9" w:rsidRPr="00E224E9" w14:paraId="3FF0AD80" w14:textId="77777777">
        <w:tc>
          <w:tcPr>
            <w:tcW w:w="2100" w:type="dxa"/>
            <w:vAlign w:val="center"/>
          </w:tcPr>
          <w:p w14:paraId="13E3B5A8"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第71列~第81列</w:t>
            </w:r>
          </w:p>
        </w:tc>
        <w:tc>
          <w:tcPr>
            <w:tcW w:w="2220" w:type="dxa"/>
            <w:vAlign w:val="center"/>
          </w:tcPr>
          <w:p w14:paraId="21BCAB4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5E027916"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700" w:type="dxa"/>
            <w:vAlign w:val="center"/>
          </w:tcPr>
          <w:p w14:paraId="1FEC1BBC"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第81列為第71列~第80列小計</w:t>
            </w:r>
          </w:p>
        </w:tc>
      </w:tr>
      <w:tr w:rsidR="00E224E9" w:rsidRPr="00E224E9" w14:paraId="1150B8E7" w14:textId="77777777">
        <w:tc>
          <w:tcPr>
            <w:tcW w:w="2100" w:type="dxa"/>
            <w:vAlign w:val="center"/>
          </w:tcPr>
          <w:p w14:paraId="0F3CD5C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第82列~第88列</w:t>
            </w:r>
          </w:p>
        </w:tc>
        <w:tc>
          <w:tcPr>
            <w:tcW w:w="2220" w:type="dxa"/>
            <w:vAlign w:val="center"/>
          </w:tcPr>
          <w:p w14:paraId="2BE2EC32"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3B8C020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700" w:type="dxa"/>
            <w:vAlign w:val="center"/>
          </w:tcPr>
          <w:p w14:paraId="05365B14"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第88列為第82列~第87列小計</w:t>
            </w:r>
          </w:p>
        </w:tc>
      </w:tr>
      <w:tr w:rsidR="00E224E9" w:rsidRPr="00E224E9" w14:paraId="416DC2AF" w14:textId="77777777">
        <w:tc>
          <w:tcPr>
            <w:tcW w:w="2100" w:type="dxa"/>
            <w:vAlign w:val="center"/>
          </w:tcPr>
          <w:p w14:paraId="60D236F4"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第89列~第95列</w:t>
            </w:r>
          </w:p>
        </w:tc>
        <w:tc>
          <w:tcPr>
            <w:tcW w:w="2220" w:type="dxa"/>
            <w:vAlign w:val="center"/>
          </w:tcPr>
          <w:p w14:paraId="7B9321F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568A7C62"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700" w:type="dxa"/>
            <w:vAlign w:val="center"/>
          </w:tcPr>
          <w:p w14:paraId="19D2A76D"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第95列為第89列~第94列小計</w:t>
            </w:r>
          </w:p>
        </w:tc>
      </w:tr>
      <w:tr w:rsidR="00E224E9" w:rsidRPr="00E224E9" w14:paraId="5DFB7538" w14:textId="77777777">
        <w:tc>
          <w:tcPr>
            <w:tcW w:w="2100" w:type="dxa"/>
            <w:vAlign w:val="center"/>
          </w:tcPr>
          <w:p w14:paraId="2AD2955B"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第96列~第102列</w:t>
            </w:r>
          </w:p>
        </w:tc>
        <w:tc>
          <w:tcPr>
            <w:tcW w:w="2220" w:type="dxa"/>
            <w:vAlign w:val="center"/>
          </w:tcPr>
          <w:p w14:paraId="6BB89F7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24CAAF83"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700" w:type="dxa"/>
            <w:vAlign w:val="center"/>
          </w:tcPr>
          <w:p w14:paraId="0EBC043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第102列為第96列~第101列小計</w:t>
            </w:r>
          </w:p>
        </w:tc>
      </w:tr>
      <w:tr w:rsidR="00065C53" w:rsidRPr="00E224E9" w14:paraId="627E8D90" w14:textId="77777777">
        <w:tc>
          <w:tcPr>
            <w:tcW w:w="2100" w:type="dxa"/>
            <w:vAlign w:val="center"/>
          </w:tcPr>
          <w:p w14:paraId="12CCD61D"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第103列</w:t>
            </w:r>
          </w:p>
        </w:tc>
        <w:tc>
          <w:tcPr>
            <w:tcW w:w="4740" w:type="dxa"/>
            <w:gridSpan w:val="2"/>
            <w:vAlign w:val="center"/>
          </w:tcPr>
          <w:p w14:paraId="573ED82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以避險為目的之所有交換契約合計</w:t>
            </w:r>
          </w:p>
        </w:tc>
        <w:tc>
          <w:tcPr>
            <w:tcW w:w="2700" w:type="dxa"/>
            <w:vAlign w:val="center"/>
          </w:tcPr>
          <w:p w14:paraId="20F7EE52"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本列為第13、25、35、47、58、69、80、87、94、101列之合計</w:t>
            </w:r>
          </w:p>
        </w:tc>
      </w:tr>
    </w:tbl>
    <w:p w14:paraId="2C09BBFC" w14:textId="77777777" w:rsidR="00065C53" w:rsidRPr="00E224E9" w:rsidRDefault="00065C53">
      <w:pPr>
        <w:spacing w:line="440" w:lineRule="exact"/>
        <w:rPr>
          <w:rFonts w:ascii="標楷體" w:hAnsi="標楷體"/>
          <w:color w:val="000000" w:themeColor="text1"/>
          <w:sz w:val="24"/>
        </w:rPr>
      </w:pPr>
    </w:p>
    <w:p w14:paraId="0C7D70E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第104列~第160列－以增加收益為目的</w:t>
      </w:r>
    </w:p>
    <w:p w14:paraId="43609319"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自104列至第160列請填列以增加收益為目的所買入之交換契約各欄之明細資料。請依交換契約標的物之類型，以及換入標的物所屬國家，分別填列於以下列次：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E224E9" w:rsidRPr="00E224E9" w14:paraId="351C1F1F" w14:textId="77777777">
        <w:tc>
          <w:tcPr>
            <w:tcW w:w="2326" w:type="dxa"/>
          </w:tcPr>
          <w:p w14:paraId="6AF80FBB"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1800" w:type="dxa"/>
          </w:tcPr>
          <w:p w14:paraId="4980571E"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520" w:type="dxa"/>
          </w:tcPr>
          <w:p w14:paraId="5B9B002D"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換入標的物所屬國家</w:t>
            </w:r>
          </w:p>
        </w:tc>
        <w:tc>
          <w:tcPr>
            <w:tcW w:w="2880" w:type="dxa"/>
          </w:tcPr>
          <w:p w14:paraId="646295DD"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7E87A024" w14:textId="77777777">
        <w:tc>
          <w:tcPr>
            <w:tcW w:w="2326" w:type="dxa"/>
            <w:vAlign w:val="center"/>
          </w:tcPr>
          <w:p w14:paraId="12E2A7F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第104列~第110列</w:t>
            </w:r>
          </w:p>
        </w:tc>
        <w:tc>
          <w:tcPr>
            <w:tcW w:w="1800" w:type="dxa"/>
            <w:vAlign w:val="center"/>
          </w:tcPr>
          <w:p w14:paraId="1C51FE41"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520" w:type="dxa"/>
            <w:vAlign w:val="center"/>
          </w:tcPr>
          <w:p w14:paraId="1093C973"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10A3FF5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第110列為第104列~第109列小計</w:t>
            </w:r>
          </w:p>
        </w:tc>
      </w:tr>
      <w:tr w:rsidR="00E224E9" w:rsidRPr="00E224E9" w14:paraId="5F5B19A7" w14:textId="77777777">
        <w:tc>
          <w:tcPr>
            <w:tcW w:w="2326" w:type="dxa"/>
            <w:vAlign w:val="center"/>
          </w:tcPr>
          <w:p w14:paraId="341788B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第111列~第117列</w:t>
            </w:r>
          </w:p>
        </w:tc>
        <w:tc>
          <w:tcPr>
            <w:tcW w:w="1800" w:type="dxa"/>
            <w:vAlign w:val="center"/>
          </w:tcPr>
          <w:p w14:paraId="05E526F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520" w:type="dxa"/>
            <w:vAlign w:val="center"/>
          </w:tcPr>
          <w:p w14:paraId="4314413F"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7B17E939"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第117列為第111列~第116列小計</w:t>
            </w:r>
          </w:p>
        </w:tc>
      </w:tr>
      <w:tr w:rsidR="00E224E9" w:rsidRPr="00E224E9" w14:paraId="63F27B3C" w14:textId="77777777">
        <w:tc>
          <w:tcPr>
            <w:tcW w:w="2326" w:type="dxa"/>
            <w:vAlign w:val="center"/>
          </w:tcPr>
          <w:p w14:paraId="44F415E0"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第118列~第124列</w:t>
            </w:r>
          </w:p>
        </w:tc>
        <w:tc>
          <w:tcPr>
            <w:tcW w:w="1800" w:type="dxa"/>
            <w:vAlign w:val="center"/>
          </w:tcPr>
          <w:p w14:paraId="62F8160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6271FAB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49ABEEBC"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第124列為第118列~第123列小計</w:t>
            </w:r>
          </w:p>
        </w:tc>
      </w:tr>
      <w:tr w:rsidR="00E224E9" w:rsidRPr="00E224E9" w14:paraId="56017287" w14:textId="77777777">
        <w:tc>
          <w:tcPr>
            <w:tcW w:w="2326" w:type="dxa"/>
            <w:vAlign w:val="center"/>
          </w:tcPr>
          <w:p w14:paraId="686E9DF0"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第125列~第131列</w:t>
            </w:r>
          </w:p>
        </w:tc>
        <w:tc>
          <w:tcPr>
            <w:tcW w:w="1800" w:type="dxa"/>
            <w:vAlign w:val="center"/>
          </w:tcPr>
          <w:p w14:paraId="76ADE4A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082A3DDB"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5793A3D8"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第131列為第125列~第130列小計</w:t>
            </w:r>
          </w:p>
        </w:tc>
      </w:tr>
      <w:tr w:rsidR="00E224E9" w:rsidRPr="00E224E9" w14:paraId="6A4D421E" w14:textId="77777777">
        <w:tc>
          <w:tcPr>
            <w:tcW w:w="2326" w:type="dxa"/>
            <w:vAlign w:val="center"/>
          </w:tcPr>
          <w:p w14:paraId="109395D0"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第132列~第138列</w:t>
            </w:r>
          </w:p>
        </w:tc>
        <w:tc>
          <w:tcPr>
            <w:tcW w:w="1800" w:type="dxa"/>
            <w:vAlign w:val="center"/>
          </w:tcPr>
          <w:p w14:paraId="08E70E3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231898DD"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01AD2411"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第138列為第132列~第137列小計</w:t>
            </w:r>
          </w:p>
        </w:tc>
      </w:tr>
      <w:tr w:rsidR="00E224E9" w:rsidRPr="00E224E9" w14:paraId="19EE10C1" w14:textId="77777777">
        <w:tc>
          <w:tcPr>
            <w:tcW w:w="2326" w:type="dxa"/>
            <w:vAlign w:val="center"/>
          </w:tcPr>
          <w:p w14:paraId="30EE5D9B"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第139列~第145列</w:t>
            </w:r>
          </w:p>
        </w:tc>
        <w:tc>
          <w:tcPr>
            <w:tcW w:w="1800" w:type="dxa"/>
            <w:vAlign w:val="center"/>
          </w:tcPr>
          <w:p w14:paraId="4389D29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19607EB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25E9EB21"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第145列為第139列~第144列小計</w:t>
            </w:r>
          </w:p>
        </w:tc>
      </w:tr>
      <w:tr w:rsidR="00E224E9" w:rsidRPr="00E224E9" w14:paraId="4B6257D4" w14:textId="77777777">
        <w:tc>
          <w:tcPr>
            <w:tcW w:w="2326" w:type="dxa"/>
            <w:vAlign w:val="center"/>
          </w:tcPr>
          <w:p w14:paraId="5D0585B1"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第146列~第152列</w:t>
            </w:r>
          </w:p>
        </w:tc>
        <w:tc>
          <w:tcPr>
            <w:tcW w:w="1800" w:type="dxa"/>
            <w:vAlign w:val="center"/>
          </w:tcPr>
          <w:p w14:paraId="37E6BF61"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2A48AB2E"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40DBCD5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第152列為第146列~第151列小計</w:t>
            </w:r>
          </w:p>
        </w:tc>
      </w:tr>
      <w:tr w:rsidR="00E224E9" w:rsidRPr="00E224E9" w14:paraId="420D19A7" w14:textId="77777777">
        <w:tc>
          <w:tcPr>
            <w:tcW w:w="2326" w:type="dxa"/>
            <w:vAlign w:val="center"/>
          </w:tcPr>
          <w:p w14:paraId="16D04133"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第153列~第159列</w:t>
            </w:r>
          </w:p>
        </w:tc>
        <w:tc>
          <w:tcPr>
            <w:tcW w:w="1800" w:type="dxa"/>
            <w:vAlign w:val="center"/>
          </w:tcPr>
          <w:p w14:paraId="4E620B8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2262321C"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2C2928C0"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第159列為第153列~第158列小計</w:t>
            </w:r>
          </w:p>
        </w:tc>
      </w:tr>
      <w:tr w:rsidR="00E224E9" w:rsidRPr="00E224E9" w14:paraId="6D82E757" w14:textId="77777777">
        <w:tc>
          <w:tcPr>
            <w:tcW w:w="2326" w:type="dxa"/>
            <w:vAlign w:val="center"/>
          </w:tcPr>
          <w:p w14:paraId="0B9DF596"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第160列</w:t>
            </w:r>
          </w:p>
        </w:tc>
        <w:tc>
          <w:tcPr>
            <w:tcW w:w="4320" w:type="dxa"/>
            <w:gridSpan w:val="2"/>
            <w:vAlign w:val="center"/>
          </w:tcPr>
          <w:p w14:paraId="45E32DC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以增加收益為目的之所有交換契約合計</w:t>
            </w:r>
          </w:p>
        </w:tc>
        <w:tc>
          <w:tcPr>
            <w:tcW w:w="2880" w:type="dxa"/>
            <w:vAlign w:val="center"/>
          </w:tcPr>
          <w:p w14:paraId="375FB3D6" w14:textId="77777777" w:rsidR="00065C53" w:rsidRPr="00E224E9" w:rsidRDefault="00065C53">
            <w:pPr>
              <w:keepNext/>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本列為第110、117、</w:t>
            </w:r>
            <w:r w:rsidRPr="00E224E9">
              <w:rPr>
                <w:rFonts w:ascii="標楷體" w:hAnsi="標楷體" w:hint="eastAsia"/>
                <w:color w:val="000000" w:themeColor="text1"/>
                <w:sz w:val="24"/>
              </w:rPr>
              <w:lastRenderedPageBreak/>
              <w:t>124、131、137、145、152、159列之合計</w:t>
            </w:r>
          </w:p>
        </w:tc>
      </w:tr>
    </w:tbl>
    <w:p w14:paraId="51F1E333"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lastRenderedPageBreak/>
        <w:t>第161列－合計</w:t>
      </w:r>
    </w:p>
    <w:p w14:paraId="47A5F943" w14:textId="77777777" w:rsidR="00065C53" w:rsidRPr="00E224E9" w:rsidRDefault="00065C53">
      <w:pPr>
        <w:spacing w:line="440" w:lineRule="exact"/>
        <w:ind w:leftChars="300" w:left="780"/>
        <w:rPr>
          <w:rFonts w:ascii="標楷體" w:hAnsi="標楷體"/>
          <w:color w:val="000000" w:themeColor="text1"/>
        </w:rPr>
      </w:pPr>
      <w:r w:rsidRPr="00E224E9">
        <w:rPr>
          <w:rFonts w:ascii="標楷體" w:hAnsi="標楷體" w:hint="eastAsia"/>
          <w:color w:val="000000" w:themeColor="text1"/>
        </w:rPr>
        <w:t>本列之金額為所有交換契約之合計，為第103列以避險為目的小計，與第160列以增加收益為目的小計等二列之加總。</w:t>
      </w:r>
    </w:p>
    <w:p w14:paraId="45586218" w14:textId="77777777" w:rsidR="00065C53" w:rsidRPr="00E224E9" w:rsidRDefault="00065C53">
      <w:pPr>
        <w:pStyle w:val="1"/>
        <w:spacing w:afterLines="0" w:line="440" w:lineRule="exact"/>
        <w:jc w:val="both"/>
        <w:rPr>
          <w:color w:val="000000" w:themeColor="text1"/>
        </w:rPr>
      </w:pPr>
      <w:r w:rsidRPr="00E224E9">
        <w:rPr>
          <w:color w:val="000000" w:themeColor="text1"/>
        </w:rPr>
        <w:br w:type="page"/>
      </w:r>
      <w:bookmarkStart w:id="74" w:name="_Toc219262237"/>
      <w:bookmarkStart w:id="75" w:name="_Toc200468531"/>
      <w:r w:rsidRPr="00E224E9">
        <w:rPr>
          <w:rFonts w:hint="eastAsia"/>
          <w:color w:val="000000" w:themeColor="text1"/>
        </w:rPr>
        <w:lastRenderedPageBreak/>
        <w:t>表16-1-3：衍生性商品餘額明細表－買入選擇權(含認購《售》權證)</w:t>
      </w:r>
      <w:bookmarkEnd w:id="74"/>
      <w:bookmarkEnd w:id="75"/>
      <w:r w:rsidRPr="00E224E9">
        <w:rPr>
          <w:rFonts w:hint="eastAsia"/>
          <w:color w:val="000000" w:themeColor="text1"/>
        </w:rPr>
        <w:t xml:space="preserve"> </w:t>
      </w:r>
    </w:p>
    <w:p w14:paraId="6AB81BFE" w14:textId="77777777" w:rsidR="00065C53" w:rsidRPr="00E224E9" w:rsidRDefault="00065C53">
      <w:pPr>
        <w:spacing w:line="440" w:lineRule="exact"/>
        <w:ind w:firstLineChars="207" w:firstLine="497"/>
        <w:rPr>
          <w:rFonts w:ascii="標楷體" w:hAnsi="標楷體"/>
          <w:color w:val="000000" w:themeColor="text1"/>
          <w:sz w:val="24"/>
        </w:rPr>
      </w:pPr>
      <w:r w:rsidRPr="00E224E9">
        <w:rPr>
          <w:rFonts w:ascii="標楷體" w:hAnsi="標楷體" w:hint="eastAsia"/>
          <w:color w:val="000000" w:themeColor="text1"/>
          <w:sz w:val="24"/>
        </w:rPr>
        <w:t>「衍生性商品餘額明細表－買入選擇權(含認購《售》權證</w:t>
      </w:r>
      <w:r w:rsidRPr="00E224E9">
        <w:rPr>
          <w:rFonts w:ascii="標楷體" w:hAnsi="標楷體" w:hint="eastAsia"/>
          <w:color w:val="000000" w:themeColor="text1"/>
        </w:rPr>
        <w:t>)</w:t>
      </w:r>
      <w:r w:rsidRPr="00E224E9">
        <w:rPr>
          <w:rFonts w:ascii="標楷體" w:hAnsi="標楷體" w:hint="eastAsia"/>
          <w:color w:val="000000" w:themeColor="text1"/>
          <w:sz w:val="24"/>
        </w:rPr>
        <w:t>」係表達填報公司所買入選擇權(含認購《售》權證</w:t>
      </w:r>
      <w:r w:rsidRPr="00E224E9">
        <w:rPr>
          <w:rFonts w:ascii="標楷體" w:hAnsi="標楷體" w:hint="eastAsia"/>
          <w:color w:val="000000" w:themeColor="text1"/>
        </w:rPr>
        <w:t>)</w:t>
      </w:r>
      <w:r w:rsidRPr="00E224E9">
        <w:rPr>
          <w:rFonts w:ascii="標楷體" w:hAnsi="標楷體" w:hint="eastAsia"/>
          <w:color w:val="000000" w:themeColor="text1"/>
          <w:sz w:val="24"/>
        </w:rPr>
        <w:t>的明細資料，以供主管機關評估可能之風險。本表以下所稱選擇權，皆包含認購《售》權證。本明細表之名目部位金額、成本、最近收盤日</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總金額，以及未實現損益等數額之合計數，可自動勾稽至表16-2之總表中。其中，匯率避險中屬於標準避險者，其名目部位金額合計數，將用以做為表30-3外匯風險金額之扣抵項目</w:t>
      </w:r>
      <w:r w:rsidR="003A7D78" w:rsidRPr="00E224E9">
        <w:rPr>
          <w:rFonts w:ascii="標楷體" w:hAnsi="標楷體" w:hint="eastAsia"/>
          <w:color w:val="000000" w:themeColor="text1"/>
          <w:sz w:val="24"/>
        </w:rPr>
        <w:t>；權益證券相關避險中屬於可扣抵風險資本者，其名目部位金額合計數乘上對應之抵減比率，將用以做為表30-3上市普通股風險金額之扣抵項目之一</w:t>
      </w:r>
      <w:r w:rsidR="00E10DB6" w:rsidRPr="00E224E9">
        <w:rPr>
          <w:rFonts w:ascii="Book Antiqua" w:hAnsi="標楷體" w:hint="eastAsia"/>
          <w:color w:val="000000" w:themeColor="text1"/>
          <w:sz w:val="24"/>
        </w:rPr>
        <w:t>；</w:t>
      </w:r>
      <w:r w:rsidR="00A75552" w:rsidRPr="00E224E9">
        <w:rPr>
          <w:rFonts w:ascii="Book Antiqua" w:hAnsi="標楷體" w:hint="eastAsia"/>
          <w:color w:val="000000" w:themeColor="text1"/>
        </w:rPr>
        <w:t>前述扣抵項目若以選擇權作為避險工具者，該選擇權之</w:t>
      </w:r>
      <w:r w:rsidR="00A75552" w:rsidRPr="00E224E9">
        <w:rPr>
          <w:rFonts w:ascii="Book Antiqua" w:hAnsi="標楷體" w:hint="eastAsia"/>
          <w:b/>
          <w:color w:val="000000" w:themeColor="text1"/>
        </w:rPr>
        <w:t>執行價格不得低於財報日</w:t>
      </w:r>
      <w:r w:rsidR="00A75552" w:rsidRPr="00E224E9">
        <w:rPr>
          <w:rFonts w:ascii="Book Antiqua" w:hAnsi="標楷體" w:hint="eastAsia"/>
          <w:color w:val="000000" w:themeColor="text1"/>
        </w:rPr>
        <w:t>(6</w:t>
      </w:r>
      <w:r w:rsidR="00A75552" w:rsidRPr="00E224E9">
        <w:rPr>
          <w:rFonts w:ascii="Book Antiqua" w:hAnsi="標楷體" w:hint="eastAsia"/>
          <w:color w:val="000000" w:themeColor="text1"/>
        </w:rPr>
        <w:t>月</w:t>
      </w:r>
      <w:r w:rsidR="00A75552" w:rsidRPr="00E224E9">
        <w:rPr>
          <w:rFonts w:ascii="Book Antiqua" w:hAnsi="標楷體" w:hint="eastAsia"/>
          <w:color w:val="000000" w:themeColor="text1"/>
        </w:rPr>
        <w:t>30</w:t>
      </w:r>
      <w:r w:rsidR="00A75552" w:rsidRPr="00E224E9">
        <w:rPr>
          <w:rFonts w:ascii="Book Antiqua" w:hAnsi="標楷體" w:hint="eastAsia"/>
          <w:color w:val="000000" w:themeColor="text1"/>
        </w:rPr>
        <w:t>日或</w:t>
      </w:r>
      <w:r w:rsidR="00A75552" w:rsidRPr="00E224E9">
        <w:rPr>
          <w:rFonts w:ascii="Book Antiqua" w:hAnsi="標楷體" w:hint="eastAsia"/>
          <w:color w:val="000000" w:themeColor="text1"/>
        </w:rPr>
        <w:t>12</w:t>
      </w:r>
      <w:r w:rsidR="00A75552" w:rsidRPr="00E224E9">
        <w:rPr>
          <w:rFonts w:ascii="Book Antiqua" w:hAnsi="標楷體" w:hint="eastAsia"/>
          <w:color w:val="000000" w:themeColor="text1"/>
        </w:rPr>
        <w:t>月</w:t>
      </w:r>
      <w:r w:rsidR="00A75552" w:rsidRPr="00E224E9">
        <w:rPr>
          <w:rFonts w:ascii="Book Antiqua" w:hAnsi="標楷體" w:hint="eastAsia"/>
          <w:color w:val="000000" w:themeColor="text1"/>
        </w:rPr>
        <w:t>31</w:t>
      </w:r>
      <w:r w:rsidR="00A75552" w:rsidRPr="00E224E9">
        <w:rPr>
          <w:rFonts w:ascii="Book Antiqua" w:hAnsi="標楷體" w:hint="eastAsia"/>
          <w:color w:val="000000" w:themeColor="text1"/>
        </w:rPr>
        <w:t>日</w:t>
      </w:r>
      <w:r w:rsidR="00A75552" w:rsidRPr="00E224E9">
        <w:rPr>
          <w:rFonts w:ascii="Book Antiqua" w:hAnsi="標楷體" w:hint="eastAsia"/>
          <w:color w:val="000000" w:themeColor="text1"/>
        </w:rPr>
        <w:t>)</w:t>
      </w:r>
      <w:r w:rsidR="00A75552" w:rsidRPr="00E224E9">
        <w:rPr>
          <w:rFonts w:ascii="Book Antiqua" w:hAnsi="標楷體" w:hint="eastAsia"/>
          <w:b/>
          <w:color w:val="000000" w:themeColor="text1"/>
        </w:rPr>
        <w:t>收盤匯率</w:t>
      </w:r>
      <w:r w:rsidR="008F0473" w:rsidRPr="00E224E9">
        <w:rPr>
          <w:rFonts w:ascii="Book Antiqua" w:hAnsi="標楷體" w:hint="eastAsia"/>
          <w:b/>
          <w:color w:val="000000" w:themeColor="text1"/>
        </w:rPr>
        <w:t>/</w:t>
      </w:r>
      <w:r w:rsidR="008F0473" w:rsidRPr="00E224E9">
        <w:rPr>
          <w:rFonts w:ascii="Book Antiqua" w:hAnsi="標楷體" w:hint="eastAsia"/>
          <w:b/>
          <w:color w:val="000000" w:themeColor="text1"/>
        </w:rPr>
        <w:t>價</w:t>
      </w:r>
      <w:r w:rsidR="00A75552" w:rsidRPr="00E224E9">
        <w:rPr>
          <w:rFonts w:ascii="Book Antiqua" w:hAnsi="標楷體" w:hint="eastAsia"/>
          <w:b/>
          <w:color w:val="000000" w:themeColor="text1"/>
        </w:rPr>
        <w:t>之</w:t>
      </w:r>
      <w:r w:rsidR="00A75552" w:rsidRPr="00E224E9">
        <w:rPr>
          <w:rFonts w:ascii="Book Antiqua" w:hAnsi="標楷體" w:hint="eastAsia"/>
          <w:b/>
          <w:color w:val="000000" w:themeColor="text1"/>
        </w:rPr>
        <w:t>95%</w:t>
      </w:r>
      <w:r w:rsidR="00A75552" w:rsidRPr="00E224E9">
        <w:rPr>
          <w:rFonts w:ascii="Book Antiqua" w:hAnsi="標楷體"/>
          <w:color w:val="000000" w:themeColor="text1"/>
        </w:rPr>
        <w:t>。</w:t>
      </w:r>
    </w:p>
    <w:p w14:paraId="3416C0FB" w14:textId="77777777" w:rsidR="00065C53" w:rsidRPr="00E224E9" w:rsidRDefault="00065C53">
      <w:pPr>
        <w:spacing w:line="440" w:lineRule="exact"/>
        <w:ind w:firstLineChars="207" w:firstLine="497"/>
        <w:rPr>
          <w:rFonts w:ascii="標楷體" w:hAnsi="標楷體"/>
          <w:color w:val="000000" w:themeColor="text1"/>
          <w:sz w:val="24"/>
        </w:rPr>
      </w:pPr>
      <w:r w:rsidRPr="00E224E9">
        <w:rPr>
          <w:rFonts w:ascii="標楷體" w:hAnsi="標楷體" w:hint="eastAsia"/>
          <w:color w:val="000000" w:themeColor="text1"/>
          <w:sz w:val="24"/>
        </w:rPr>
        <w:t>本表所需填列之各欄明細資訊說明如下：</w:t>
      </w:r>
    </w:p>
    <w:p w14:paraId="67F631A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第1欄－交易目的</w:t>
      </w:r>
    </w:p>
    <w:p w14:paraId="6ADABC29"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本欄不需填列，填報公司僅需依各選擇權之交易目的，分別自「以避險為目的」或「以增加收益為目的」等兩種交易目的中，選擇適當之項目擇一填列。</w:t>
      </w:r>
    </w:p>
    <w:p w14:paraId="64716675"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本表所稱以避險為目的之選擇權交易係指符合</w:t>
      </w:r>
      <w:r w:rsidRPr="00E224E9">
        <w:rPr>
          <w:rFonts w:ascii="新細明體" w:hAnsi="新細明體" w:hint="eastAsia"/>
          <w:color w:val="000000" w:themeColor="text1"/>
          <w:sz w:val="24"/>
        </w:rPr>
        <w:t>「保險業從事衍生性金融商品交易管理辦法」第</w:t>
      </w:r>
      <w:r w:rsidRPr="00E224E9">
        <w:rPr>
          <w:rFonts w:ascii="新細明體" w:hAnsi="新細明體" w:hint="eastAsia"/>
          <w:color w:val="000000" w:themeColor="text1"/>
          <w:sz w:val="24"/>
        </w:rPr>
        <w:t>3</w:t>
      </w:r>
      <w:r w:rsidRPr="00E224E9">
        <w:rPr>
          <w:rFonts w:ascii="新細明體" w:hAnsi="新細明體" w:hint="eastAsia"/>
          <w:color w:val="000000" w:themeColor="text1"/>
          <w:sz w:val="24"/>
        </w:rPr>
        <w:t>條</w:t>
      </w:r>
      <w:r w:rsidRPr="00E224E9">
        <w:rPr>
          <w:rFonts w:ascii="標楷體" w:hAnsi="標楷體" w:hint="eastAsia"/>
          <w:color w:val="000000" w:themeColor="text1"/>
          <w:sz w:val="24"/>
        </w:rPr>
        <w:t>中以避險為目的之條件者。</w:t>
      </w:r>
    </w:p>
    <w:p w14:paraId="6D747031"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第2欄－類型</w:t>
      </w:r>
    </w:p>
    <w:p w14:paraId="2700F1E7"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本欄不需填列，填報公司僅需依選擇權標的物之類型以及被避險資產或選擇權標的物所屬國家，將選擇權交易歸類於適當之類型中。各類型之定義說明如下：</w:t>
      </w:r>
    </w:p>
    <w:p w14:paraId="6A4CE62F"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以避險為目的--匯率相關(標準避險)：</w:t>
      </w:r>
    </w:p>
    <w:p w14:paraId="23278CEA"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本表所稱與匯率相關之買入選擇權係指以匯率為標的之選擇權契約；</w:t>
      </w:r>
    </w:p>
    <w:p w14:paraId="3F55BFCE"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本表所稱匯率(標準避險)之選擇權係指該匯率選擇權之執行價(匯率)係為兌</w:t>
      </w:r>
      <w:r w:rsidR="00917922" w:rsidRPr="00E224E9">
        <w:rPr>
          <w:rFonts w:ascii="標楷體" w:hAnsi="標楷體" w:hint="eastAsia"/>
          <w:color w:val="000000" w:themeColor="text1"/>
          <w:sz w:val="24"/>
        </w:rPr>
        <w:t>出外幣，並且兌入台幣，並且該外幣之幣別與被避險資產之幣別相同者，且</w:t>
      </w:r>
      <w:r w:rsidR="00917922" w:rsidRPr="00E224E9">
        <w:rPr>
          <w:rFonts w:ascii="Book Antiqua" w:hAnsi="標楷體" w:hint="eastAsia"/>
          <w:color w:val="000000" w:themeColor="text1"/>
        </w:rPr>
        <w:t>該選擇權之</w:t>
      </w:r>
      <w:r w:rsidR="00917922" w:rsidRPr="00E224E9">
        <w:rPr>
          <w:rFonts w:ascii="Book Antiqua" w:hAnsi="標楷體" w:hint="eastAsia"/>
          <w:b/>
          <w:color w:val="000000" w:themeColor="text1"/>
        </w:rPr>
        <w:t>執行價格不得低於財報日</w:t>
      </w:r>
      <w:r w:rsidR="00917922" w:rsidRPr="00E224E9">
        <w:rPr>
          <w:rFonts w:ascii="Book Antiqua" w:hAnsi="標楷體" w:hint="eastAsia"/>
          <w:color w:val="000000" w:themeColor="text1"/>
        </w:rPr>
        <w:t>(6</w:t>
      </w:r>
      <w:r w:rsidR="00917922" w:rsidRPr="00E224E9">
        <w:rPr>
          <w:rFonts w:ascii="Book Antiqua" w:hAnsi="標楷體" w:hint="eastAsia"/>
          <w:color w:val="000000" w:themeColor="text1"/>
        </w:rPr>
        <w:t>月</w:t>
      </w:r>
      <w:r w:rsidR="00917922" w:rsidRPr="00E224E9">
        <w:rPr>
          <w:rFonts w:ascii="Book Antiqua" w:hAnsi="標楷體" w:hint="eastAsia"/>
          <w:color w:val="000000" w:themeColor="text1"/>
        </w:rPr>
        <w:t>30</w:t>
      </w:r>
      <w:r w:rsidR="00917922" w:rsidRPr="00E224E9">
        <w:rPr>
          <w:rFonts w:ascii="Book Antiqua" w:hAnsi="標楷體" w:hint="eastAsia"/>
          <w:color w:val="000000" w:themeColor="text1"/>
        </w:rPr>
        <w:t>日或</w:t>
      </w:r>
      <w:r w:rsidR="00917922" w:rsidRPr="00E224E9">
        <w:rPr>
          <w:rFonts w:ascii="Book Antiqua" w:hAnsi="標楷體" w:hint="eastAsia"/>
          <w:color w:val="000000" w:themeColor="text1"/>
        </w:rPr>
        <w:t>12</w:t>
      </w:r>
      <w:r w:rsidR="00917922" w:rsidRPr="00E224E9">
        <w:rPr>
          <w:rFonts w:ascii="Book Antiqua" w:hAnsi="標楷體" w:hint="eastAsia"/>
          <w:color w:val="000000" w:themeColor="text1"/>
        </w:rPr>
        <w:t>月</w:t>
      </w:r>
      <w:r w:rsidR="00917922" w:rsidRPr="00E224E9">
        <w:rPr>
          <w:rFonts w:ascii="Book Antiqua" w:hAnsi="標楷體" w:hint="eastAsia"/>
          <w:color w:val="000000" w:themeColor="text1"/>
        </w:rPr>
        <w:t>31</w:t>
      </w:r>
      <w:r w:rsidR="00917922" w:rsidRPr="00E224E9">
        <w:rPr>
          <w:rFonts w:ascii="Book Antiqua" w:hAnsi="標楷體" w:hint="eastAsia"/>
          <w:color w:val="000000" w:themeColor="text1"/>
        </w:rPr>
        <w:t>日</w:t>
      </w:r>
      <w:r w:rsidR="00917922" w:rsidRPr="00E224E9">
        <w:rPr>
          <w:rFonts w:ascii="Book Antiqua" w:hAnsi="標楷體" w:hint="eastAsia"/>
          <w:color w:val="000000" w:themeColor="text1"/>
        </w:rPr>
        <w:t>)</w:t>
      </w:r>
      <w:r w:rsidR="00917922" w:rsidRPr="00E224E9">
        <w:rPr>
          <w:rFonts w:ascii="Book Antiqua" w:hAnsi="標楷體" w:hint="eastAsia"/>
          <w:b/>
          <w:color w:val="000000" w:themeColor="text1"/>
        </w:rPr>
        <w:t>收盤匯率之</w:t>
      </w:r>
      <w:r w:rsidR="00917922" w:rsidRPr="00E224E9">
        <w:rPr>
          <w:rFonts w:ascii="Book Antiqua" w:hAnsi="標楷體" w:hint="eastAsia"/>
          <w:b/>
          <w:color w:val="000000" w:themeColor="text1"/>
        </w:rPr>
        <w:t>95%</w:t>
      </w:r>
      <w:r w:rsidR="00917922" w:rsidRPr="00E224E9">
        <w:rPr>
          <w:rFonts w:ascii="Book Antiqua" w:hAnsi="標楷體"/>
          <w:color w:val="000000" w:themeColor="text1"/>
        </w:rPr>
        <w:t>。</w:t>
      </w:r>
    </w:p>
    <w:p w14:paraId="57AC10A9"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本類型之選擇權請依被避險資產所屬國別，歸類為「被避險資產屬國外投資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7F080087"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以避險為目的--匯率相關(非標準避險)：</w:t>
      </w:r>
    </w:p>
    <w:p w14:paraId="710932C7"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本表所稱匯率(非標準避險)係指該選擇權之執行價(匯率)之兌出幣別與被避險資產之幣別不同，或該選擇權兌入之幣別非為台幣者。</w:t>
      </w:r>
    </w:p>
    <w:p w14:paraId="08EDE053"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lastRenderedPageBreak/>
        <w:t>本類型之選擇權請依被避險資產所屬國別，歸類為「被避險資產屬國外投資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28C39683" w14:textId="77777777" w:rsidR="00C33336" w:rsidRPr="00E224E9" w:rsidRDefault="00C33336" w:rsidP="00C33336">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r w:rsidRPr="00E224E9">
        <w:rPr>
          <w:rFonts w:ascii="標楷體" w:hAnsi="標楷體"/>
          <w:color w:val="000000" w:themeColor="text1"/>
          <w:sz w:val="24"/>
        </w:rPr>
        <w:t>—</w:t>
      </w:r>
      <w:r w:rsidRPr="00E224E9">
        <w:rPr>
          <w:rFonts w:ascii="標楷體" w:hAnsi="標楷體" w:hint="eastAsia"/>
          <w:color w:val="000000" w:themeColor="text1"/>
          <w:sz w:val="24"/>
        </w:rPr>
        <w:t>權益證券相關(可扣抵風險資本)</w:t>
      </w:r>
    </w:p>
    <w:p w14:paraId="7271E891" w14:textId="77777777" w:rsidR="00C33336" w:rsidRPr="00E224E9" w:rsidRDefault="00C33336" w:rsidP="00C33336">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本表所稱與權益證券相關(可扣抵風險資本)之選擇權係為臺灣期貨交易所以「臺灣加權指數」為標的之選擇權</w:t>
      </w:r>
      <w:r w:rsidR="003A7D78" w:rsidRPr="00E224E9">
        <w:rPr>
          <w:rFonts w:ascii="標楷體" w:hAnsi="標楷體" w:hint="eastAsia"/>
          <w:color w:val="000000" w:themeColor="text1"/>
          <w:sz w:val="24"/>
        </w:rPr>
        <w:t>，且該選擇權之執行價格不得低於財報日(6月30日或12月31日)收盤</w:t>
      </w:r>
      <w:r w:rsidR="008F0473" w:rsidRPr="00E224E9">
        <w:rPr>
          <w:rFonts w:ascii="標楷體" w:hAnsi="標楷體" w:hint="eastAsia"/>
          <w:color w:val="000000" w:themeColor="text1"/>
          <w:sz w:val="24"/>
        </w:rPr>
        <w:t>價</w:t>
      </w:r>
      <w:r w:rsidR="003A7D78" w:rsidRPr="00E224E9">
        <w:rPr>
          <w:rFonts w:ascii="標楷體" w:hAnsi="標楷體" w:hint="eastAsia"/>
          <w:color w:val="000000" w:themeColor="text1"/>
          <w:sz w:val="24"/>
        </w:rPr>
        <w:t>之95%</w:t>
      </w:r>
      <w:r w:rsidRPr="00E224E9">
        <w:rPr>
          <w:rFonts w:ascii="標楷體" w:hAnsi="標楷體" w:hint="eastAsia"/>
          <w:color w:val="000000" w:themeColor="text1"/>
          <w:sz w:val="24"/>
        </w:rPr>
        <w:t>。被避險資產組合中個股股票皆須為「臺灣50指數」、「臺灣中型100指數」或「摩根臺灣指數」中之成分股（以下簡稱三大指數成分股），其中「臺灣50指數」成分股支數所占比率不得低於30％；</w:t>
      </w:r>
    </w:p>
    <w:p w14:paraId="16F3FFBC"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29A688EB"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（1）被避險部位組合與其Beta值；</w:t>
      </w:r>
    </w:p>
    <w:p w14:paraId="74DF6CFE"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（2）預計使用之避險交易工具；</w:t>
      </w:r>
    </w:p>
    <w:p w14:paraId="3A65535F"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（3）使用衍生性金融商品進行避險交易 之計畫規模；</w:t>
      </w:r>
    </w:p>
    <w:p w14:paraId="5C3C2A2B"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（4）預計避險計畫之執行效期；</w:t>
      </w:r>
    </w:p>
    <w:p w14:paraId="0B2A987A"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（5）風險評估；</w:t>
      </w:r>
    </w:p>
    <w:p w14:paraId="7C284686"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（6）避險績效衡量及停損機制。</w:t>
      </w:r>
    </w:p>
    <w:p w14:paraId="30268A73" w14:textId="77777777" w:rsidR="00C33336" w:rsidRPr="00E224E9" w:rsidRDefault="00C33336" w:rsidP="00C33336">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選擇權請依被避險資產組合三大指數成分股支數，歸類為「被避險資產組合成分股支數30~70支(風險抵減50%)」或「被避險資產組合成分股支數70(含)支以上(風險抵減65%)」項下，以便做為國內上市普通股風險之扣抵額。</w:t>
      </w:r>
    </w:p>
    <w:p w14:paraId="519A3CB6"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r w:rsidRPr="00E224E9">
        <w:rPr>
          <w:rFonts w:ascii="標楷體" w:hAnsi="標楷體"/>
          <w:color w:val="000000" w:themeColor="text1"/>
          <w:sz w:val="24"/>
        </w:rPr>
        <w:t>—</w:t>
      </w:r>
      <w:r w:rsidRPr="00E224E9">
        <w:rPr>
          <w:rFonts w:ascii="標楷體" w:hAnsi="標楷體" w:hint="eastAsia"/>
          <w:color w:val="000000" w:themeColor="text1"/>
          <w:sz w:val="24"/>
        </w:rPr>
        <w:t>權益證券相關</w:t>
      </w:r>
      <w:r w:rsidR="00C33336" w:rsidRPr="00E224E9">
        <w:rPr>
          <w:rFonts w:ascii="標楷體" w:hAnsi="標楷體" w:hint="eastAsia"/>
          <w:color w:val="000000" w:themeColor="text1"/>
          <w:sz w:val="24"/>
        </w:rPr>
        <w:t>(不可扣抵風險資本)</w:t>
      </w:r>
      <w:r w:rsidRPr="00E224E9">
        <w:rPr>
          <w:rFonts w:ascii="標楷體" w:hAnsi="標楷體" w:hint="eastAsia"/>
          <w:color w:val="000000" w:themeColor="text1"/>
          <w:sz w:val="24"/>
        </w:rPr>
        <w:t>：</w:t>
      </w:r>
    </w:p>
    <w:p w14:paraId="2517F147"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本表所稱與權益證券相關</w:t>
      </w:r>
      <w:r w:rsidR="00C33336" w:rsidRPr="00E224E9">
        <w:rPr>
          <w:rFonts w:ascii="標楷體" w:hAnsi="標楷體" w:hint="eastAsia"/>
          <w:color w:val="000000" w:themeColor="text1"/>
          <w:sz w:val="24"/>
        </w:rPr>
        <w:t>(不可扣抵風險資本)</w:t>
      </w:r>
      <w:r w:rsidRPr="00E224E9">
        <w:rPr>
          <w:rFonts w:ascii="標楷體" w:hAnsi="標楷體" w:hint="eastAsia"/>
          <w:color w:val="000000" w:themeColor="text1"/>
          <w:sz w:val="24"/>
        </w:rPr>
        <w:t>之選擇權係包括</w:t>
      </w:r>
      <w:r w:rsidR="00C33336" w:rsidRPr="00E224E9">
        <w:rPr>
          <w:rFonts w:ascii="標楷體" w:hAnsi="標楷體" w:hint="eastAsia"/>
          <w:color w:val="000000" w:themeColor="text1"/>
          <w:sz w:val="24"/>
        </w:rPr>
        <w:t>除「以避險為目的—權益證券相關(可扣抵風險資本)」外，</w:t>
      </w:r>
      <w:r w:rsidRPr="00E224E9">
        <w:rPr>
          <w:rFonts w:ascii="標楷體" w:hAnsi="標楷體" w:hint="eastAsia"/>
          <w:color w:val="000000" w:themeColor="text1"/>
          <w:sz w:val="24"/>
        </w:rPr>
        <w:t>以個別權益證券及股價指數為標的者；</w:t>
      </w:r>
    </w:p>
    <w:p w14:paraId="228FFE7F"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本類型之選擇權請依被避險資產所屬國別，歸類為「被避險資產屬國內投資」、「被避險資產屬國外投資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09230F7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r w:rsidRPr="00E224E9">
        <w:rPr>
          <w:rFonts w:ascii="標楷體" w:hAnsi="標楷體"/>
          <w:color w:val="000000" w:themeColor="text1"/>
          <w:sz w:val="24"/>
        </w:rPr>
        <w:t>—</w:t>
      </w:r>
      <w:r w:rsidRPr="00E224E9">
        <w:rPr>
          <w:rFonts w:ascii="標楷體" w:hAnsi="標楷體" w:hint="eastAsia"/>
          <w:color w:val="000000" w:themeColor="text1"/>
          <w:sz w:val="24"/>
        </w:rPr>
        <w:t>其他標的</w:t>
      </w:r>
    </w:p>
    <w:p w14:paraId="21157DC9"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本表所稱以避險為目的之其他標的選擇權，係指除了以匯率以及權益證券為標的物以外的選擇權商品，例如利率相關或信用相關之選擇權即屬此類。</w:t>
      </w:r>
    </w:p>
    <w:p w14:paraId="50873FEA"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本類型之選擇權請依被避險資產所屬國別，歸類為「被避險資產屬國內投資」、</w:t>
      </w:r>
      <w:r w:rsidRPr="00E224E9">
        <w:rPr>
          <w:rFonts w:ascii="標楷體" w:hAnsi="標楷體" w:hint="eastAsia"/>
          <w:color w:val="000000" w:themeColor="text1"/>
          <w:sz w:val="24"/>
        </w:rPr>
        <w:lastRenderedPageBreak/>
        <w:t>「被避險資產屬國外投資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」或「被避險資產屬國外投資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FABE12D"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w:t>
      </w:r>
      <w:r w:rsidRPr="00E224E9">
        <w:rPr>
          <w:rFonts w:ascii="標楷體" w:hAnsi="標楷體"/>
          <w:color w:val="000000" w:themeColor="text1"/>
          <w:sz w:val="24"/>
        </w:rPr>
        <w:t>—</w:t>
      </w:r>
      <w:r w:rsidRPr="00E224E9">
        <w:rPr>
          <w:rFonts w:ascii="標楷體" w:hAnsi="標楷體" w:hint="eastAsia"/>
          <w:color w:val="000000" w:themeColor="text1"/>
          <w:sz w:val="24"/>
        </w:rPr>
        <w:t>匯率相關</w:t>
      </w:r>
    </w:p>
    <w:p w14:paraId="2FEA6E24"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係指以增加收益為目的，並且選擇權之標的物與匯率相關者。本類型之選擇權請依</w:t>
      </w:r>
      <w:r w:rsidRPr="00E224E9">
        <w:rPr>
          <w:rFonts w:ascii="標楷體" w:hAnsi="標楷體" w:hint="eastAsia"/>
          <w:b/>
          <w:color w:val="000000" w:themeColor="text1"/>
          <w:sz w:val="24"/>
        </w:rPr>
        <w:t>選擇權標的物</w:t>
      </w:r>
      <w:r w:rsidRPr="00E224E9">
        <w:rPr>
          <w:rFonts w:ascii="標楷體" w:hAnsi="標楷體" w:hint="eastAsia"/>
          <w:color w:val="000000" w:themeColor="text1"/>
          <w:sz w:val="24"/>
        </w:rPr>
        <w:t>所屬國別，歸類為「衍生性商品標的物屬國外投資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」或「衍生性商品標的物屬國外投資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4F90190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w:t>
      </w:r>
      <w:r w:rsidRPr="00E224E9">
        <w:rPr>
          <w:rFonts w:ascii="標楷體" w:hAnsi="標楷體"/>
          <w:color w:val="000000" w:themeColor="text1"/>
          <w:sz w:val="24"/>
        </w:rPr>
        <w:t>—</w:t>
      </w:r>
      <w:r w:rsidRPr="00E224E9">
        <w:rPr>
          <w:rFonts w:ascii="標楷體" w:hAnsi="標楷體" w:hint="eastAsia"/>
          <w:color w:val="000000" w:themeColor="text1"/>
          <w:sz w:val="24"/>
        </w:rPr>
        <w:t>權益證券相關</w:t>
      </w:r>
    </w:p>
    <w:p w14:paraId="661D9D26"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係指以增加收益為目的，並且選擇權之標的物與權益證券相關者。本類型之選擇權請依</w:t>
      </w:r>
      <w:r w:rsidRPr="00E224E9">
        <w:rPr>
          <w:rFonts w:ascii="標楷體" w:hAnsi="標楷體" w:hint="eastAsia"/>
          <w:b/>
          <w:color w:val="000000" w:themeColor="text1"/>
          <w:sz w:val="24"/>
        </w:rPr>
        <w:t>選擇權標的物</w:t>
      </w:r>
      <w:r w:rsidRPr="00E224E9">
        <w:rPr>
          <w:rFonts w:ascii="標楷體" w:hAnsi="標楷體" w:hint="eastAsia"/>
          <w:color w:val="000000" w:themeColor="text1"/>
          <w:sz w:val="24"/>
        </w:rPr>
        <w:t>所屬國別，歸類為「衍生性商品標的物屬國內投資」、「衍生性商品標的物屬國外投資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」或「衍生性商品標的物屬國外投資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1922B910"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w:t>
      </w:r>
      <w:r w:rsidRPr="00E224E9">
        <w:rPr>
          <w:rFonts w:ascii="標楷體" w:hAnsi="標楷體"/>
          <w:color w:val="000000" w:themeColor="text1"/>
          <w:sz w:val="24"/>
        </w:rPr>
        <w:t>—</w:t>
      </w:r>
      <w:r w:rsidRPr="00E224E9">
        <w:rPr>
          <w:rFonts w:ascii="標楷體" w:hAnsi="標楷體" w:hint="eastAsia"/>
          <w:color w:val="000000" w:themeColor="text1"/>
          <w:sz w:val="24"/>
        </w:rPr>
        <w:t>其他標的</w:t>
      </w:r>
    </w:p>
    <w:p w14:paraId="642250C2"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係指以增加收益為目的，並且選擇權之標的物並不屬於匯率或權益證券相關者，例如利率相關或信用相關之選擇權契約即屬此類。本類型之</w:t>
      </w:r>
      <w:r w:rsidRPr="00E224E9">
        <w:rPr>
          <w:rFonts w:ascii="標楷體" w:hAnsi="標楷體" w:hint="eastAsia"/>
          <w:b/>
          <w:color w:val="000000" w:themeColor="text1"/>
          <w:sz w:val="24"/>
        </w:rPr>
        <w:t>選擇權標的物</w:t>
      </w:r>
      <w:r w:rsidRPr="00E224E9">
        <w:rPr>
          <w:rFonts w:ascii="標楷體" w:hAnsi="標楷體" w:hint="eastAsia"/>
          <w:color w:val="000000" w:themeColor="text1"/>
          <w:sz w:val="24"/>
        </w:rPr>
        <w:t>請依</w:t>
      </w:r>
      <w:r w:rsidRPr="00E224E9">
        <w:rPr>
          <w:rFonts w:ascii="標楷體" w:hAnsi="標楷體" w:hint="eastAsia"/>
          <w:b/>
          <w:color w:val="000000" w:themeColor="text1"/>
          <w:sz w:val="24"/>
        </w:rPr>
        <w:t>選擇權標的物</w:t>
      </w:r>
      <w:r w:rsidRPr="00E224E9">
        <w:rPr>
          <w:rFonts w:ascii="標楷體" w:hAnsi="標楷體" w:hint="eastAsia"/>
          <w:color w:val="000000" w:themeColor="text1"/>
          <w:sz w:val="24"/>
        </w:rPr>
        <w:t>所屬國別，歸類為「衍生性商品標的物屬國內投資」、「衍生性商品標的物屬國外投資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」或「衍生性商品標的物屬國外投資</w:t>
      </w:r>
      <w:r w:rsidRPr="00E224E9">
        <w:rPr>
          <w:rFonts w:ascii="標楷體" w:hAnsi="標楷體"/>
          <w:color w:val="000000" w:themeColor="text1"/>
          <w:sz w:val="24"/>
        </w:rPr>
        <w:t>—</w:t>
      </w:r>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13811A4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第3欄－交易對手代號</w:t>
      </w:r>
    </w:p>
    <w:p w14:paraId="5ADA4D5E"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請洽由保險事業發展中心統一配賦。</w:t>
      </w:r>
    </w:p>
    <w:p w14:paraId="03D6E9B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第4欄－交易對手名稱</w:t>
      </w:r>
    </w:p>
    <w:p w14:paraId="66D1C249"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請依各衍生性商品之交易對手填列其名稱。</w:t>
      </w:r>
    </w:p>
    <w:p w14:paraId="1817676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第5欄－交易對手信用評等機構</w:t>
      </w:r>
    </w:p>
    <w:p w14:paraId="54E79291" w14:textId="24875032"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請填列如A.S&amp;P，B.AM Best，C.Moody</w:t>
      </w:r>
      <w:r w:rsidRPr="00E224E9">
        <w:rPr>
          <w:rFonts w:ascii="標楷體" w:hAnsi="標楷體"/>
          <w:color w:val="000000" w:themeColor="text1"/>
          <w:sz w:val="24"/>
        </w:rPr>
        <w:t>’</w:t>
      </w:r>
      <w:r w:rsidRPr="00E224E9">
        <w:rPr>
          <w:rFonts w:ascii="標楷體" w:hAnsi="標楷體" w:hint="eastAsia"/>
          <w:color w:val="000000" w:themeColor="text1"/>
          <w:sz w:val="24"/>
        </w:rPr>
        <w:t>s，D.Fitch，E.TW，</w:t>
      </w:r>
      <w:r w:rsidRPr="00E224E9">
        <w:rPr>
          <w:rFonts w:ascii="標楷體" w:hAnsi="標楷體"/>
          <w:color w:val="000000" w:themeColor="text1"/>
          <w:sz w:val="24"/>
        </w:rPr>
        <w:t>F.</w:t>
      </w:r>
      <w:r w:rsidR="00790B59" w:rsidRPr="00E224E9">
        <w:rPr>
          <w:rFonts w:ascii="標楷體" w:hAnsi="標楷體"/>
          <w:color w:val="000000" w:themeColor="text1"/>
          <w:sz w:val="24"/>
        </w:rPr>
        <w:t>KBRA</w:t>
      </w:r>
      <w:r w:rsidR="00790B59" w:rsidRPr="00E224E9">
        <w:rPr>
          <w:rFonts w:ascii="標楷體" w:hAnsi="標楷體" w:hint="eastAsia"/>
          <w:color w:val="000000" w:themeColor="text1"/>
          <w:sz w:val="24"/>
        </w:rPr>
        <w:t>，G.</w:t>
      </w:r>
      <w:r w:rsidRPr="00E224E9">
        <w:rPr>
          <w:rFonts w:ascii="標楷體" w:hAnsi="標楷體" w:hint="eastAsia"/>
          <w:color w:val="000000" w:themeColor="text1"/>
          <w:sz w:val="24"/>
        </w:rPr>
        <w:t>其他；若無，請填列「無」。</w:t>
      </w:r>
    </w:p>
    <w:p w14:paraId="52EEB9F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第6欄－評等等級</w:t>
      </w:r>
    </w:p>
    <w:p w14:paraId="2B60104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評等等級請依信用評等機構所評估之等級填列，並請以最近一年之評等資料填寫；若無者，請填列「無」。</w:t>
      </w:r>
    </w:p>
    <w:p w14:paraId="1F5DDA8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第7欄－是否為關係人</w:t>
      </w:r>
    </w:p>
    <w:p w14:paraId="6E941E63"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是否為關係人請依序填列：A.否，B. 關係人－非控制與從屬關係，C.關係人－具控制與從屬關係；所稱關係人係依</w:t>
      </w:r>
      <w:r w:rsidR="00C65703" w:rsidRPr="00E224E9">
        <w:rPr>
          <w:rFonts w:ascii="標楷體" w:hAnsi="標楷體" w:hint="eastAsia"/>
          <w:color w:val="000000" w:themeColor="text1"/>
          <w:sz w:val="24"/>
        </w:rPr>
        <w:t>國際會計準則第24號公報</w:t>
      </w:r>
      <w:r w:rsidRPr="00E224E9">
        <w:rPr>
          <w:rFonts w:ascii="標楷體" w:hAnsi="標楷體" w:hint="eastAsia"/>
          <w:color w:val="000000" w:themeColor="text1"/>
          <w:sz w:val="24"/>
        </w:rPr>
        <w:t>及公司法第369-1~369-3條、第369-9條、及第369-11條及關係企業合併營業報告書關係企業合</w:t>
      </w:r>
      <w:r w:rsidRPr="00E224E9">
        <w:rPr>
          <w:rFonts w:ascii="標楷體" w:hAnsi="標楷體" w:hint="eastAsia"/>
          <w:color w:val="000000" w:themeColor="text1"/>
          <w:sz w:val="24"/>
        </w:rPr>
        <w:lastRenderedPageBreak/>
        <w:t>併財務報表及關係報告書編製準則第六條之規定</w:t>
      </w:r>
      <w:r w:rsidRPr="00E224E9">
        <w:rPr>
          <w:rFonts w:ascii="標楷體" w:hAnsi="標楷體"/>
          <w:color w:val="000000" w:themeColor="text1"/>
          <w:sz w:val="24"/>
        </w:rPr>
        <w:t xml:space="preserve"> </w:t>
      </w:r>
      <w:r w:rsidRPr="00E224E9">
        <w:rPr>
          <w:rFonts w:ascii="標楷體" w:hAnsi="標楷體" w:hint="eastAsia"/>
          <w:color w:val="000000" w:themeColor="text1"/>
          <w:sz w:val="24"/>
        </w:rPr>
        <w:t>。</w:t>
      </w:r>
    </w:p>
    <w:p w14:paraId="435EBD84" w14:textId="77777777" w:rsidR="00506578" w:rsidRPr="00E224E9" w:rsidRDefault="00506578">
      <w:pPr>
        <w:spacing w:line="440" w:lineRule="exact"/>
        <w:ind w:leftChars="225" w:left="585"/>
        <w:rPr>
          <w:rFonts w:ascii="標楷體" w:hAnsi="標楷體"/>
          <w:color w:val="000000" w:themeColor="text1"/>
          <w:sz w:val="24"/>
        </w:rPr>
      </w:pPr>
    </w:p>
    <w:p w14:paraId="24994D0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第8欄－選擇權名稱</w:t>
      </w:r>
    </w:p>
    <w:p w14:paraId="282D5B8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請填列各該選擇權之名稱，如台灣加權指數期貨賣權、A股票認購權證等。</w:t>
      </w:r>
    </w:p>
    <w:p w14:paraId="6F1D8DF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第9欄－交易日期</w:t>
      </w:r>
    </w:p>
    <w:p w14:paraId="5BDCAFA6"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請填列如2006/06/25。</w:t>
      </w:r>
    </w:p>
    <w:p w14:paraId="3C4B48A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第10欄－到期日</w:t>
      </w:r>
    </w:p>
    <w:p w14:paraId="2F2EDDE0"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請填列如2006/06/25。</w:t>
      </w:r>
    </w:p>
    <w:p w14:paraId="34029E7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第11欄－契約數</w:t>
      </w:r>
    </w:p>
    <w:p w14:paraId="6386D92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請填列各該選擇權之未平倉契約數。</w:t>
      </w:r>
    </w:p>
    <w:p w14:paraId="4745B2C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第12欄－名目部位金額</w:t>
      </w:r>
    </w:p>
    <w:p w14:paraId="57E7DDDF"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名目部位金額基本上為各該選擇權</w:t>
      </w:r>
      <w:r w:rsidRPr="00E224E9">
        <w:rPr>
          <w:rFonts w:ascii="標楷體" w:hAnsi="標楷體" w:hint="eastAsia"/>
          <w:color w:val="000000" w:themeColor="text1"/>
        </w:rPr>
        <w:t>之</w:t>
      </w:r>
      <w:r w:rsidRPr="00E224E9">
        <w:rPr>
          <w:rFonts w:ascii="標楷體" w:hAnsi="標楷體" w:hint="eastAsia"/>
          <w:color w:val="000000" w:themeColor="text1"/>
          <w:sz w:val="24"/>
        </w:rPr>
        <w:t>名目本金；若屬國外投資，請以台幣計價。</w:t>
      </w:r>
    </w:p>
    <w:p w14:paraId="7537979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第13欄－選擇權最近收盤日</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總金額</w:t>
      </w:r>
    </w:p>
    <w:p w14:paraId="70BF650D"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請填列依據會計準則公報第34號中『</w:t>
      </w:r>
      <w:r w:rsidR="005D7451"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』之金額。</w:t>
      </w:r>
    </w:p>
    <w:p w14:paraId="7994A4D2"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第14欄－選擇權未實現損益</w:t>
      </w:r>
    </w:p>
    <w:p w14:paraId="56840B4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未實現損益為該選擇權mark-to-market之未實現損益金額。</w:t>
      </w:r>
    </w:p>
    <w:p w14:paraId="22B2119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第15欄－選擇權標的物</w:t>
      </w:r>
    </w:p>
    <w:p w14:paraId="2459A36D"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請填列該選擇權之標的物名稱；若標的物為無法拆解之一籃子或商品組合，請填列「一籃子」或「商品組合」。</w:t>
      </w:r>
    </w:p>
    <w:p w14:paraId="1DDF50B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第16欄－選擇權標的物</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總值(按台幣計價)</w:t>
      </w:r>
    </w:p>
    <w:p w14:paraId="1B280DDE"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請填列選擇權標的物</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總值。該</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總值等於選擇權標的物</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乘上該選擇權執行可換得之標的物數量。若屬國外投資,請以台幣計價。</w:t>
      </w:r>
    </w:p>
    <w:p w14:paraId="6AA8B68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第17欄－執行價格(按台幣計價)</w:t>
      </w:r>
    </w:p>
    <w:p w14:paraId="656EE0FC" w14:textId="77777777" w:rsidR="00995461" w:rsidRPr="00E224E9" w:rsidRDefault="00065C53"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請填列該選擇權之執行價格；若屬國外投資,請以台幣計價。</w:t>
      </w:r>
    </w:p>
    <w:p w14:paraId="69BA0720" w14:textId="77777777" w:rsidR="00065C53" w:rsidRPr="00E224E9" w:rsidRDefault="00065C53"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第18欄－選擇權價內/價外值</w:t>
      </w:r>
    </w:p>
    <w:p w14:paraId="20B03FD4"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所謂價內值（in</w:t>
      </w:r>
      <w:r w:rsidRPr="00E224E9">
        <w:rPr>
          <w:rFonts w:ascii="標楷體" w:hAnsi="標楷體"/>
          <w:color w:val="000000" w:themeColor="text1"/>
          <w:sz w:val="24"/>
        </w:rPr>
        <w:t xml:space="preserve"> the money</w:t>
      </w:r>
      <w:r w:rsidRPr="00E224E9">
        <w:rPr>
          <w:rFonts w:ascii="標楷體" w:hAnsi="標楷體" w:hint="eastAsia"/>
          <w:color w:val="000000" w:themeColor="text1"/>
          <w:sz w:val="24"/>
        </w:rPr>
        <w:t>）係指若選擇權為買權時，當標的物之</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大於選擇權之執行價，價內值等於</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減執行價之值；若選擇權為賣權時，當標的物之</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小於選擇權之執行價，價內值等於執行價減</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之值。</w:t>
      </w:r>
    </w:p>
    <w:p w14:paraId="248D5C64"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所謂價外值（</w:t>
      </w:r>
      <w:r w:rsidRPr="00E224E9">
        <w:rPr>
          <w:rFonts w:ascii="標楷體" w:hAnsi="標楷體"/>
          <w:color w:val="000000" w:themeColor="text1"/>
          <w:sz w:val="24"/>
        </w:rPr>
        <w:t>out of the money</w:t>
      </w:r>
      <w:r w:rsidRPr="00E224E9">
        <w:rPr>
          <w:rFonts w:ascii="標楷體" w:hAnsi="標楷體" w:hint="eastAsia"/>
          <w:color w:val="000000" w:themeColor="text1"/>
          <w:sz w:val="24"/>
        </w:rPr>
        <w:t>）係指若選擇權為買權時，當標的物之</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小於選擇權之執行價，價外值等於執行價減</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之值；若選擇權為賣權時，當標的資產之</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大於選擇權之執行價，價外值等於</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減執行價。</w:t>
      </w:r>
    </w:p>
    <w:p w14:paraId="5E1E40E4"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lastRenderedPageBreak/>
        <w:t>請依上述定義，確認各選擇權於填報基準日係屬於價內或價外，擇一填列(意即，任一選擇權若有價內值則不會有價外值，反之亦然)。若屬國外投資，請以台幣計價。</w:t>
      </w:r>
    </w:p>
    <w:p w14:paraId="49AC5F7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第19欄－選擇權價內/價外總價值</w:t>
      </w:r>
    </w:p>
    <w:p w14:paraId="74D8377E"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所謂價內價內/價外總價值係指各該選擇權之價內或價外值(第18欄)乘上各該選擇權契約數(第11欄)。若屬國外投資,請以台幣計價。</w:t>
      </w:r>
    </w:p>
    <w:p w14:paraId="25D5CAF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第20欄－被避險資產名稱</w:t>
      </w:r>
    </w:p>
    <w:p w14:paraId="15D9539C"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請填入以該選擇權進行避險之資產，例如以台灣加權指數期貨賣權進行A股票之避險，則被避險資產請填列A股票。</w:t>
      </w:r>
    </w:p>
    <w:p w14:paraId="4D69394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第21欄－選擇權標的物與被避險資產之相關係數</w:t>
      </w:r>
    </w:p>
    <w:p w14:paraId="58C715B5"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請填入各該選擇權標的物與被避險資產之「價格變動率」相關係數。</w:t>
      </w:r>
    </w:p>
    <w:p w14:paraId="6898B471" w14:textId="77777777" w:rsidR="00995461" w:rsidRPr="00E224E9" w:rsidRDefault="00995461"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第22欄－被避險資產β值</w:t>
      </w:r>
    </w:p>
    <w:p w14:paraId="454F3E46" w14:textId="77777777" w:rsidR="00995461" w:rsidRPr="00E224E9" w:rsidRDefault="00995461"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請填列「以避險為目的—權益證券相關(可扣抵風險資本)」被避險資產組合於評價日之β值。</w:t>
      </w:r>
    </w:p>
    <w:p w14:paraId="0C14DA80" w14:textId="77777777" w:rsidR="00995461" w:rsidRPr="00E224E9" w:rsidRDefault="00995461"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第23欄－被避險資產成分股支數</w:t>
      </w:r>
    </w:p>
    <w:p w14:paraId="170F1687" w14:textId="77777777" w:rsidR="00995461" w:rsidRPr="00E224E9" w:rsidRDefault="00995461"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請填列「以避險為目的—權益證券相關(可扣抵風險資本)」被避險資產組合三大指數成分股支數。</w:t>
      </w:r>
    </w:p>
    <w:p w14:paraId="38DFEB19" w14:textId="77777777" w:rsidR="00995461" w:rsidRPr="00E224E9" w:rsidRDefault="00995461"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第24欄－被避險資產為臺灣50成分股支數</w:t>
      </w:r>
    </w:p>
    <w:p w14:paraId="014ADE73" w14:textId="77777777" w:rsidR="00995461" w:rsidRPr="00E224E9" w:rsidRDefault="00995461"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請填列「以避險為目的—權益證券相關(可扣抵風險資本)」被避險資產組合為「臺灣50指數」成分股支數。</w:t>
      </w:r>
    </w:p>
    <w:p w14:paraId="30449661" w14:textId="77777777" w:rsidR="00995461" w:rsidRPr="00E224E9" w:rsidRDefault="00995461"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第25欄－最後持有資產幣別</w:t>
      </w:r>
    </w:p>
    <w:p w14:paraId="5249CE58" w14:textId="77777777" w:rsidR="00995461" w:rsidRPr="00E224E9" w:rsidRDefault="00995461"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請填列各該選擇權執行後最終持有資產之幣別；若最後持有資產幣別為一籃子，請填列「一籃子」。</w:t>
      </w:r>
    </w:p>
    <w:p w14:paraId="747DF9C4" w14:textId="77777777" w:rsidR="00995461" w:rsidRPr="00E224E9" w:rsidRDefault="00995461"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第26欄－保管情形</w:t>
      </w:r>
    </w:p>
    <w:p w14:paraId="1FE3DD06" w14:textId="77777777" w:rsidR="00995461" w:rsidRPr="00E224E9" w:rsidRDefault="00995461"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保管情形請填保管機構名稱及帳號,若屬集保帳戶請填集保。</w:t>
      </w:r>
    </w:p>
    <w:p w14:paraId="03A2FCBC" w14:textId="77777777" w:rsidR="00995461" w:rsidRPr="00E224E9" w:rsidRDefault="00995461"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第2</w:t>
      </w:r>
      <w:r w:rsidRPr="00E224E9">
        <w:rPr>
          <w:rFonts w:ascii="標楷體" w:hAnsi="標楷體"/>
          <w:color w:val="000000" w:themeColor="text1"/>
          <w:sz w:val="24"/>
        </w:rPr>
        <w:t>7</w:t>
      </w:r>
      <w:r w:rsidRPr="00E224E9">
        <w:rPr>
          <w:rFonts w:ascii="標楷體" w:hAnsi="標楷體" w:hint="eastAsia"/>
          <w:color w:val="000000" w:themeColor="text1"/>
          <w:sz w:val="24"/>
        </w:rPr>
        <w:t>欄－備註</w:t>
      </w:r>
    </w:p>
    <w:p w14:paraId="1EC66BB3" w14:textId="77777777" w:rsidR="00995461" w:rsidRPr="00E224E9" w:rsidRDefault="00995461"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若有其他需要補充說明之事項，請填列於此欄。</w:t>
      </w:r>
    </w:p>
    <w:p w14:paraId="3D1E7CBB" w14:textId="77777777" w:rsidR="00995461" w:rsidRPr="00E224E9" w:rsidRDefault="00995461">
      <w:pPr>
        <w:spacing w:line="440" w:lineRule="exact"/>
        <w:ind w:leftChars="225" w:left="585"/>
        <w:rPr>
          <w:rFonts w:ascii="標楷體" w:hAnsi="標楷體"/>
          <w:color w:val="000000" w:themeColor="text1"/>
          <w:sz w:val="24"/>
        </w:rPr>
      </w:pPr>
    </w:p>
    <w:p w14:paraId="55A3EF71" w14:textId="77777777" w:rsidR="00065C53" w:rsidRPr="00E224E9" w:rsidRDefault="00065C53">
      <w:pPr>
        <w:spacing w:line="440" w:lineRule="exact"/>
        <w:ind w:leftChars="225" w:left="585"/>
        <w:rPr>
          <w:rFonts w:ascii="標楷體" w:hAnsi="標楷體"/>
          <w:b/>
          <w:color w:val="000000" w:themeColor="text1"/>
          <w:sz w:val="24"/>
        </w:rPr>
      </w:pPr>
      <w:r w:rsidRPr="00E224E9">
        <w:rPr>
          <w:rFonts w:ascii="標楷體" w:hAnsi="標楷體" w:hint="eastAsia"/>
          <w:b/>
          <w:color w:val="000000" w:themeColor="text1"/>
          <w:sz w:val="24"/>
        </w:rPr>
        <w:t>以下為主要列之說明：</w:t>
      </w:r>
    </w:p>
    <w:p w14:paraId="0D25B64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第1列~第</w:t>
      </w:r>
      <w:r w:rsidR="008066B8" w:rsidRPr="00E224E9">
        <w:rPr>
          <w:rFonts w:ascii="標楷體" w:hAnsi="標楷體" w:hint="eastAsia"/>
          <w:color w:val="000000" w:themeColor="text1"/>
          <w:sz w:val="24"/>
        </w:rPr>
        <w:t>125</w:t>
      </w:r>
      <w:r w:rsidRPr="00E224E9">
        <w:rPr>
          <w:rFonts w:ascii="標楷體" w:hAnsi="標楷體" w:hint="eastAsia"/>
          <w:color w:val="000000" w:themeColor="text1"/>
          <w:sz w:val="24"/>
        </w:rPr>
        <w:t>列－以避險為目的</w:t>
      </w:r>
    </w:p>
    <w:p w14:paraId="7ACE1DF9"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自第1列至第</w:t>
      </w:r>
      <w:r w:rsidR="008066B8" w:rsidRPr="00E224E9">
        <w:rPr>
          <w:rFonts w:ascii="標楷體" w:hAnsi="標楷體" w:hint="eastAsia"/>
          <w:color w:val="000000" w:themeColor="text1"/>
          <w:sz w:val="24"/>
        </w:rPr>
        <w:t>125</w:t>
      </w:r>
      <w:r w:rsidRPr="00E224E9">
        <w:rPr>
          <w:rFonts w:ascii="標楷體" w:hAnsi="標楷體" w:hint="eastAsia"/>
          <w:color w:val="000000" w:themeColor="text1"/>
          <w:sz w:val="24"/>
        </w:rPr>
        <w:t>列請填列以避險為目的所從事之選擇權交易的明細資料。</w:t>
      </w:r>
    </w:p>
    <w:p w14:paraId="5060E067"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lastRenderedPageBreak/>
        <w:t>本表所稱以避險為目的之選擇權交易係指符合</w:t>
      </w:r>
      <w:r w:rsidRPr="00E224E9">
        <w:rPr>
          <w:rFonts w:ascii="新細明體" w:hAnsi="新細明體" w:hint="eastAsia"/>
          <w:color w:val="000000" w:themeColor="text1"/>
          <w:sz w:val="24"/>
        </w:rPr>
        <w:t>「保險業從事衍生性金融商品交易管理辦法」第</w:t>
      </w:r>
      <w:r w:rsidRPr="00E224E9">
        <w:rPr>
          <w:rFonts w:ascii="新細明體" w:hAnsi="新細明體" w:hint="eastAsia"/>
          <w:color w:val="000000" w:themeColor="text1"/>
          <w:sz w:val="24"/>
        </w:rPr>
        <w:t>3</w:t>
      </w:r>
      <w:r w:rsidRPr="00E224E9">
        <w:rPr>
          <w:rFonts w:ascii="新細明體" w:hAnsi="新細明體" w:hint="eastAsia"/>
          <w:color w:val="000000" w:themeColor="text1"/>
          <w:sz w:val="24"/>
        </w:rPr>
        <w:t>條</w:t>
      </w:r>
      <w:r w:rsidRPr="00E224E9">
        <w:rPr>
          <w:rFonts w:ascii="標楷體" w:hAnsi="標楷體" w:hint="eastAsia"/>
          <w:color w:val="000000" w:themeColor="text1"/>
          <w:sz w:val="24"/>
        </w:rPr>
        <w:t>中以避險為目的之條件者；</w:t>
      </w:r>
    </w:p>
    <w:p w14:paraId="2F8DAE81" w14:textId="77777777" w:rsidR="008066B8" w:rsidRPr="00E224E9" w:rsidRDefault="008066B8" w:rsidP="008066B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本表所稱與權益證券相關(可扣抵風險資本)之選擇權係為臺灣期貨交易所以「臺灣加權指數」為標的者；</w:t>
      </w:r>
    </w:p>
    <w:p w14:paraId="696C5198" w14:textId="77777777" w:rsidR="008066B8" w:rsidRPr="00E224E9" w:rsidRDefault="008066B8" w:rsidP="008066B8">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本表所稱與權益證券相關(不可扣抵風險資本)之選擇權係包括除「以避險為目的—權益證券相關(可扣抵風險資本)」外，以個別權益證券及股價指數為標的者；</w:t>
      </w:r>
    </w:p>
    <w:p w14:paraId="7B83200A"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本表所稱匯率(標準避險)係指該匯率選擇權之標的物幣別與被避險資產之幣別相同，並且該選擇權執行後最終持有資產之幣別為台幣者。</w:t>
      </w:r>
    </w:p>
    <w:p w14:paraId="70710815"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本表所稱匯率(非標準避險)係指該匯率選擇權之標的物幣別與被避險資產之幣別不同，或該選擇權執行後最終持有資產之幣別非為台幣者。</w:t>
      </w:r>
    </w:p>
    <w:p w14:paraId="3B4FEF90"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835"/>
        <w:gridCol w:w="1885"/>
      </w:tblGrid>
      <w:tr w:rsidR="00E224E9" w:rsidRPr="00E224E9" w14:paraId="6777E071" w14:textId="77777777" w:rsidTr="008066B8">
        <w:tc>
          <w:tcPr>
            <w:tcW w:w="2268" w:type="dxa"/>
          </w:tcPr>
          <w:p w14:paraId="04A62A61"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2552" w:type="dxa"/>
          </w:tcPr>
          <w:p w14:paraId="75B46E27"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835" w:type="dxa"/>
          </w:tcPr>
          <w:p w14:paraId="25F2C0BC" w14:textId="77777777" w:rsidR="003A7D78" w:rsidRPr="00E224E9" w:rsidRDefault="00065C53" w:rsidP="003A7D78">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被避險資產所屬國家</w:t>
            </w:r>
            <w:r w:rsidR="003A7D78" w:rsidRPr="00E224E9">
              <w:rPr>
                <w:rFonts w:ascii="標楷體" w:hAnsi="標楷體" w:hint="eastAsia"/>
                <w:color w:val="000000" w:themeColor="text1"/>
                <w:sz w:val="24"/>
              </w:rPr>
              <w:t>/</w:t>
            </w:r>
          </w:p>
          <w:p w14:paraId="6CD8BBCB" w14:textId="77777777" w:rsidR="00065C53" w:rsidRPr="00E224E9" w:rsidRDefault="003A7D78" w:rsidP="003A7D78">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被避險資產成分股支數</w:t>
            </w:r>
          </w:p>
        </w:tc>
        <w:tc>
          <w:tcPr>
            <w:tcW w:w="1885" w:type="dxa"/>
          </w:tcPr>
          <w:p w14:paraId="51A9503C"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51306DC7" w14:textId="77777777" w:rsidTr="008066B8">
        <w:tc>
          <w:tcPr>
            <w:tcW w:w="2268" w:type="dxa"/>
            <w:vAlign w:val="center"/>
          </w:tcPr>
          <w:p w14:paraId="7CEA364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第1列~第13列</w:t>
            </w:r>
          </w:p>
        </w:tc>
        <w:tc>
          <w:tcPr>
            <w:tcW w:w="2552" w:type="dxa"/>
            <w:vAlign w:val="center"/>
          </w:tcPr>
          <w:p w14:paraId="40320D5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匯率(標準避險)</w:t>
            </w:r>
          </w:p>
        </w:tc>
        <w:tc>
          <w:tcPr>
            <w:tcW w:w="2835" w:type="dxa"/>
            <w:vAlign w:val="center"/>
          </w:tcPr>
          <w:p w14:paraId="5B370664"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1885" w:type="dxa"/>
            <w:vAlign w:val="center"/>
          </w:tcPr>
          <w:p w14:paraId="68FD1C3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第13列為第1列~第12列小計</w:t>
            </w:r>
          </w:p>
        </w:tc>
      </w:tr>
      <w:tr w:rsidR="00E224E9" w:rsidRPr="00E224E9" w14:paraId="43475207" w14:textId="77777777" w:rsidTr="008066B8">
        <w:tc>
          <w:tcPr>
            <w:tcW w:w="2268" w:type="dxa"/>
            <w:vAlign w:val="center"/>
          </w:tcPr>
          <w:p w14:paraId="49F0588A"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第14列~第26列</w:t>
            </w:r>
          </w:p>
        </w:tc>
        <w:tc>
          <w:tcPr>
            <w:tcW w:w="2552" w:type="dxa"/>
            <w:vAlign w:val="center"/>
          </w:tcPr>
          <w:p w14:paraId="2481798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匯率(標準避險)</w:t>
            </w:r>
          </w:p>
        </w:tc>
        <w:tc>
          <w:tcPr>
            <w:tcW w:w="2835" w:type="dxa"/>
            <w:vAlign w:val="center"/>
          </w:tcPr>
          <w:p w14:paraId="16201041"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1885" w:type="dxa"/>
            <w:vAlign w:val="center"/>
          </w:tcPr>
          <w:p w14:paraId="671C49C7"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第26列為第14列~第25列小計</w:t>
            </w:r>
          </w:p>
        </w:tc>
      </w:tr>
      <w:tr w:rsidR="00E224E9" w:rsidRPr="00E224E9" w14:paraId="1CD22569" w14:textId="77777777" w:rsidTr="008066B8">
        <w:tc>
          <w:tcPr>
            <w:tcW w:w="2268" w:type="dxa"/>
            <w:vAlign w:val="center"/>
          </w:tcPr>
          <w:p w14:paraId="22229E40"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第27列~第</w:t>
            </w:r>
            <w:r w:rsidR="008066B8" w:rsidRPr="00E224E9">
              <w:rPr>
                <w:rFonts w:ascii="標楷體" w:hAnsi="標楷體" w:hint="eastAsia"/>
                <w:color w:val="000000" w:themeColor="text1"/>
                <w:sz w:val="24"/>
              </w:rPr>
              <w:t>37</w:t>
            </w:r>
            <w:r w:rsidRPr="00E224E9">
              <w:rPr>
                <w:rFonts w:ascii="標楷體" w:hAnsi="標楷體" w:hint="eastAsia"/>
                <w:color w:val="000000" w:themeColor="text1"/>
                <w:sz w:val="24"/>
              </w:rPr>
              <w:t>列</w:t>
            </w:r>
          </w:p>
        </w:tc>
        <w:tc>
          <w:tcPr>
            <w:tcW w:w="2552" w:type="dxa"/>
            <w:vAlign w:val="center"/>
          </w:tcPr>
          <w:p w14:paraId="251DD092"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匯率(非標準避險)</w:t>
            </w:r>
          </w:p>
        </w:tc>
        <w:tc>
          <w:tcPr>
            <w:tcW w:w="2835" w:type="dxa"/>
            <w:vAlign w:val="center"/>
          </w:tcPr>
          <w:p w14:paraId="03D74A48"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1885" w:type="dxa"/>
            <w:vAlign w:val="center"/>
          </w:tcPr>
          <w:p w14:paraId="75496C71"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8066B8" w:rsidRPr="00E224E9">
              <w:rPr>
                <w:rFonts w:ascii="標楷體" w:hAnsi="標楷體" w:hint="eastAsia"/>
                <w:color w:val="000000" w:themeColor="text1"/>
                <w:sz w:val="24"/>
              </w:rPr>
              <w:t>37</w:t>
            </w:r>
            <w:r w:rsidRPr="00E224E9">
              <w:rPr>
                <w:rFonts w:ascii="標楷體" w:hAnsi="標楷體" w:hint="eastAsia"/>
                <w:color w:val="000000" w:themeColor="text1"/>
                <w:sz w:val="24"/>
              </w:rPr>
              <w:t>列為第27列~第</w:t>
            </w:r>
            <w:r w:rsidR="008066B8" w:rsidRPr="00E224E9">
              <w:rPr>
                <w:rFonts w:ascii="標楷體" w:hAnsi="標楷體" w:hint="eastAsia"/>
                <w:color w:val="000000" w:themeColor="text1"/>
                <w:sz w:val="24"/>
              </w:rPr>
              <w:t>36</w:t>
            </w:r>
            <w:r w:rsidRPr="00E224E9">
              <w:rPr>
                <w:rFonts w:ascii="標楷體" w:hAnsi="標楷體" w:hint="eastAsia"/>
                <w:color w:val="000000" w:themeColor="text1"/>
                <w:sz w:val="24"/>
              </w:rPr>
              <w:t>列小計</w:t>
            </w:r>
          </w:p>
        </w:tc>
      </w:tr>
      <w:tr w:rsidR="00E224E9" w:rsidRPr="00E224E9" w14:paraId="425830D9" w14:textId="77777777" w:rsidTr="008066B8">
        <w:tc>
          <w:tcPr>
            <w:tcW w:w="2268" w:type="dxa"/>
            <w:vAlign w:val="center"/>
          </w:tcPr>
          <w:p w14:paraId="44F1F873"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8066B8" w:rsidRPr="00E224E9">
              <w:rPr>
                <w:rFonts w:ascii="標楷體" w:hAnsi="標楷體" w:hint="eastAsia"/>
                <w:color w:val="000000" w:themeColor="text1"/>
                <w:sz w:val="24"/>
              </w:rPr>
              <w:t>38</w:t>
            </w:r>
            <w:r w:rsidRPr="00E224E9">
              <w:rPr>
                <w:rFonts w:ascii="標楷體" w:hAnsi="標楷體" w:hint="eastAsia"/>
                <w:color w:val="000000" w:themeColor="text1"/>
                <w:sz w:val="24"/>
              </w:rPr>
              <w:t>列~第48列</w:t>
            </w:r>
          </w:p>
        </w:tc>
        <w:tc>
          <w:tcPr>
            <w:tcW w:w="2552" w:type="dxa"/>
            <w:vAlign w:val="center"/>
          </w:tcPr>
          <w:p w14:paraId="11D51C5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匯率(非標準避險)</w:t>
            </w:r>
          </w:p>
        </w:tc>
        <w:tc>
          <w:tcPr>
            <w:tcW w:w="2835" w:type="dxa"/>
            <w:vAlign w:val="center"/>
          </w:tcPr>
          <w:p w14:paraId="37ABD5F2"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1885" w:type="dxa"/>
            <w:vAlign w:val="center"/>
          </w:tcPr>
          <w:p w14:paraId="563B772F"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第48列為第</w:t>
            </w:r>
            <w:r w:rsidR="008066B8" w:rsidRPr="00E224E9">
              <w:rPr>
                <w:rFonts w:ascii="標楷體" w:hAnsi="標楷體" w:hint="eastAsia"/>
                <w:color w:val="000000" w:themeColor="text1"/>
                <w:sz w:val="24"/>
              </w:rPr>
              <w:t>38</w:t>
            </w:r>
            <w:r w:rsidRPr="00E224E9">
              <w:rPr>
                <w:rFonts w:ascii="標楷體" w:hAnsi="標楷體" w:hint="eastAsia"/>
                <w:color w:val="000000" w:themeColor="text1"/>
                <w:sz w:val="24"/>
              </w:rPr>
              <w:t>列~第47列小計</w:t>
            </w:r>
          </w:p>
        </w:tc>
      </w:tr>
      <w:tr w:rsidR="00E224E9" w:rsidRPr="00E224E9" w14:paraId="05B4697F" w14:textId="77777777" w:rsidTr="008066B8">
        <w:tc>
          <w:tcPr>
            <w:tcW w:w="2268" w:type="dxa"/>
            <w:vAlign w:val="center"/>
          </w:tcPr>
          <w:p w14:paraId="4C56C874"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第49列~第59列</w:t>
            </w:r>
          </w:p>
        </w:tc>
        <w:tc>
          <w:tcPr>
            <w:tcW w:w="2552" w:type="dxa"/>
            <w:vAlign w:val="center"/>
          </w:tcPr>
          <w:p w14:paraId="3854D8E4"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權益證券相關(可扣抵風險資本)</w:t>
            </w:r>
          </w:p>
        </w:tc>
        <w:tc>
          <w:tcPr>
            <w:tcW w:w="2835" w:type="dxa"/>
            <w:vAlign w:val="center"/>
          </w:tcPr>
          <w:p w14:paraId="2A1178FF" w14:textId="77777777" w:rsidR="008066B8" w:rsidRPr="00E224E9" w:rsidRDefault="008066B8" w:rsidP="008066B8">
            <w:pPr>
              <w:spacing w:line="440" w:lineRule="exact"/>
              <w:rPr>
                <w:rFonts w:ascii="Book Antiqua" w:hAnsi="標楷體"/>
                <w:color w:val="000000" w:themeColor="text1"/>
                <w:sz w:val="24"/>
              </w:rPr>
            </w:pPr>
            <w:r w:rsidRPr="00E224E9">
              <w:rPr>
                <w:rFonts w:ascii="Book Antiqua" w:hAnsi="標楷體" w:hint="eastAsia"/>
                <w:color w:val="000000" w:themeColor="text1"/>
                <w:sz w:val="24"/>
              </w:rPr>
              <w:t>30~70</w:t>
            </w:r>
            <w:r w:rsidRPr="00E224E9">
              <w:rPr>
                <w:rFonts w:ascii="Book Antiqua" w:hAnsi="標楷體" w:hint="eastAsia"/>
                <w:color w:val="000000" w:themeColor="text1"/>
                <w:sz w:val="24"/>
              </w:rPr>
              <w:t>支</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風險抵減</w:t>
            </w:r>
            <w:r w:rsidRPr="00E224E9">
              <w:rPr>
                <w:rFonts w:ascii="Book Antiqua" w:hAnsi="標楷體" w:hint="eastAsia"/>
                <w:color w:val="000000" w:themeColor="text1"/>
                <w:sz w:val="24"/>
              </w:rPr>
              <w:t>50%)</w:t>
            </w:r>
          </w:p>
        </w:tc>
        <w:tc>
          <w:tcPr>
            <w:tcW w:w="1885" w:type="dxa"/>
            <w:vAlign w:val="center"/>
          </w:tcPr>
          <w:p w14:paraId="7B5BA420"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第59列為第49列~第58列小計</w:t>
            </w:r>
          </w:p>
        </w:tc>
      </w:tr>
      <w:tr w:rsidR="00E224E9" w:rsidRPr="00E224E9" w14:paraId="69E4E721" w14:textId="77777777" w:rsidTr="008066B8">
        <w:tc>
          <w:tcPr>
            <w:tcW w:w="2268" w:type="dxa"/>
            <w:vAlign w:val="center"/>
          </w:tcPr>
          <w:p w14:paraId="753FE900"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第60列~第70列</w:t>
            </w:r>
          </w:p>
        </w:tc>
        <w:tc>
          <w:tcPr>
            <w:tcW w:w="2552" w:type="dxa"/>
            <w:vAlign w:val="center"/>
          </w:tcPr>
          <w:p w14:paraId="2FDAAA39"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權益證券相關(可扣抵風險資本)</w:t>
            </w:r>
          </w:p>
        </w:tc>
        <w:tc>
          <w:tcPr>
            <w:tcW w:w="2835" w:type="dxa"/>
            <w:vAlign w:val="center"/>
          </w:tcPr>
          <w:p w14:paraId="72C1250B" w14:textId="77777777" w:rsidR="008066B8" w:rsidRPr="00E224E9" w:rsidRDefault="008066B8" w:rsidP="008066B8">
            <w:pPr>
              <w:spacing w:line="440" w:lineRule="exact"/>
              <w:rPr>
                <w:rFonts w:ascii="Book Antiqua" w:hAnsi="標楷體"/>
                <w:color w:val="000000" w:themeColor="text1"/>
                <w:sz w:val="24"/>
              </w:rPr>
            </w:pPr>
            <w:r w:rsidRPr="00E224E9">
              <w:rPr>
                <w:rFonts w:ascii="Book Antiqua" w:hAnsi="標楷體" w:hint="eastAsia"/>
                <w:color w:val="000000" w:themeColor="text1"/>
                <w:sz w:val="24"/>
              </w:rPr>
              <w:t>70(</w:t>
            </w:r>
            <w:r w:rsidRPr="00E224E9">
              <w:rPr>
                <w:rFonts w:ascii="Book Antiqua" w:hAnsi="標楷體" w:hint="eastAsia"/>
                <w:color w:val="000000" w:themeColor="text1"/>
                <w:sz w:val="24"/>
              </w:rPr>
              <w:t>含</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支以上</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風險抵減</w:t>
            </w:r>
            <w:r w:rsidRPr="00E224E9">
              <w:rPr>
                <w:rFonts w:ascii="Book Antiqua" w:hAnsi="標楷體" w:hint="eastAsia"/>
                <w:color w:val="000000" w:themeColor="text1"/>
                <w:sz w:val="24"/>
              </w:rPr>
              <w:t>65%)</w:t>
            </w:r>
          </w:p>
        </w:tc>
        <w:tc>
          <w:tcPr>
            <w:tcW w:w="1885" w:type="dxa"/>
            <w:vAlign w:val="center"/>
          </w:tcPr>
          <w:p w14:paraId="76B71D1D"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第70列為第60列~第69列小計</w:t>
            </w:r>
          </w:p>
        </w:tc>
      </w:tr>
      <w:tr w:rsidR="00E224E9" w:rsidRPr="00E224E9" w14:paraId="4AE1659C" w14:textId="77777777" w:rsidTr="008066B8">
        <w:tc>
          <w:tcPr>
            <w:tcW w:w="2268" w:type="dxa"/>
            <w:vAlign w:val="center"/>
          </w:tcPr>
          <w:p w14:paraId="0D83D819"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第71列~第81列</w:t>
            </w:r>
          </w:p>
        </w:tc>
        <w:tc>
          <w:tcPr>
            <w:tcW w:w="2552" w:type="dxa"/>
            <w:vAlign w:val="center"/>
          </w:tcPr>
          <w:p w14:paraId="1605FB45"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權益證券相關(不可扣抵風險資本)</w:t>
            </w:r>
          </w:p>
        </w:tc>
        <w:tc>
          <w:tcPr>
            <w:tcW w:w="2835" w:type="dxa"/>
            <w:vAlign w:val="center"/>
          </w:tcPr>
          <w:p w14:paraId="7E8544C7"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1885" w:type="dxa"/>
            <w:vAlign w:val="center"/>
          </w:tcPr>
          <w:p w14:paraId="59AC87C5"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第81列為第71列~第80列小計</w:t>
            </w:r>
          </w:p>
        </w:tc>
      </w:tr>
      <w:tr w:rsidR="00E224E9" w:rsidRPr="00E224E9" w14:paraId="5B4F1D46" w14:textId="77777777" w:rsidTr="008066B8">
        <w:tc>
          <w:tcPr>
            <w:tcW w:w="2268" w:type="dxa"/>
            <w:vAlign w:val="center"/>
          </w:tcPr>
          <w:p w14:paraId="4403F1BB"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lastRenderedPageBreak/>
              <w:t>第82列~第92列</w:t>
            </w:r>
          </w:p>
        </w:tc>
        <w:tc>
          <w:tcPr>
            <w:tcW w:w="2552" w:type="dxa"/>
            <w:vAlign w:val="center"/>
          </w:tcPr>
          <w:p w14:paraId="665D6787"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權益證券相關(不可扣抵風險資本)</w:t>
            </w:r>
          </w:p>
        </w:tc>
        <w:tc>
          <w:tcPr>
            <w:tcW w:w="2835" w:type="dxa"/>
            <w:vAlign w:val="center"/>
          </w:tcPr>
          <w:p w14:paraId="285982A8" w14:textId="77777777" w:rsidR="008066B8" w:rsidRPr="00E224E9" w:rsidRDefault="008066B8" w:rsidP="008066B8">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1885" w:type="dxa"/>
            <w:vAlign w:val="center"/>
          </w:tcPr>
          <w:p w14:paraId="0CF62DFE"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第92列為第82列~第91列小計</w:t>
            </w:r>
          </w:p>
        </w:tc>
      </w:tr>
      <w:tr w:rsidR="00E224E9" w:rsidRPr="00E224E9" w14:paraId="4402671A" w14:textId="77777777" w:rsidTr="008066B8">
        <w:tc>
          <w:tcPr>
            <w:tcW w:w="2268" w:type="dxa"/>
            <w:vAlign w:val="center"/>
          </w:tcPr>
          <w:p w14:paraId="0522E285"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第93列~第103列</w:t>
            </w:r>
          </w:p>
        </w:tc>
        <w:tc>
          <w:tcPr>
            <w:tcW w:w="2552" w:type="dxa"/>
            <w:vAlign w:val="center"/>
          </w:tcPr>
          <w:p w14:paraId="2658C4DC"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權益證券相關(不可扣抵風險資本)</w:t>
            </w:r>
          </w:p>
        </w:tc>
        <w:tc>
          <w:tcPr>
            <w:tcW w:w="2835" w:type="dxa"/>
            <w:vAlign w:val="center"/>
          </w:tcPr>
          <w:p w14:paraId="3684FCC5" w14:textId="77777777" w:rsidR="008066B8" w:rsidRPr="00E224E9" w:rsidRDefault="008066B8" w:rsidP="008066B8">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1885" w:type="dxa"/>
            <w:vAlign w:val="center"/>
          </w:tcPr>
          <w:p w14:paraId="26E1EB08"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第103列為第93列~第102列小計</w:t>
            </w:r>
          </w:p>
        </w:tc>
      </w:tr>
      <w:tr w:rsidR="00E224E9" w:rsidRPr="00E224E9" w14:paraId="4CCD845F" w14:textId="77777777" w:rsidTr="008066B8">
        <w:tc>
          <w:tcPr>
            <w:tcW w:w="2268" w:type="dxa"/>
            <w:vAlign w:val="center"/>
          </w:tcPr>
          <w:p w14:paraId="2B3A1814"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第104列~第110列</w:t>
            </w:r>
          </w:p>
        </w:tc>
        <w:tc>
          <w:tcPr>
            <w:tcW w:w="2552" w:type="dxa"/>
            <w:vAlign w:val="center"/>
          </w:tcPr>
          <w:p w14:paraId="6EBA839D"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835" w:type="dxa"/>
            <w:vAlign w:val="center"/>
          </w:tcPr>
          <w:p w14:paraId="045821C3"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1885" w:type="dxa"/>
            <w:vAlign w:val="center"/>
          </w:tcPr>
          <w:p w14:paraId="4413F5E7"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第110列為第104列~第109列小計</w:t>
            </w:r>
          </w:p>
        </w:tc>
      </w:tr>
      <w:tr w:rsidR="00E224E9" w:rsidRPr="00E224E9" w14:paraId="080C9B0E" w14:textId="77777777" w:rsidTr="008066B8">
        <w:tc>
          <w:tcPr>
            <w:tcW w:w="2268" w:type="dxa"/>
            <w:vAlign w:val="center"/>
          </w:tcPr>
          <w:p w14:paraId="035C081B"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第111列~第117列</w:t>
            </w:r>
          </w:p>
        </w:tc>
        <w:tc>
          <w:tcPr>
            <w:tcW w:w="2552" w:type="dxa"/>
            <w:vAlign w:val="center"/>
          </w:tcPr>
          <w:p w14:paraId="7CAFB43E"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835" w:type="dxa"/>
            <w:vAlign w:val="center"/>
          </w:tcPr>
          <w:p w14:paraId="7BA2B6D1" w14:textId="77777777" w:rsidR="008066B8" w:rsidRPr="00E224E9" w:rsidRDefault="008066B8" w:rsidP="008066B8">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1885" w:type="dxa"/>
            <w:vAlign w:val="center"/>
          </w:tcPr>
          <w:p w14:paraId="2C4C595A"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第117列為第111列~第116列小計</w:t>
            </w:r>
          </w:p>
        </w:tc>
      </w:tr>
      <w:tr w:rsidR="00E224E9" w:rsidRPr="00E224E9" w14:paraId="474BDF6B" w14:textId="77777777" w:rsidTr="008066B8">
        <w:tc>
          <w:tcPr>
            <w:tcW w:w="2268" w:type="dxa"/>
            <w:vAlign w:val="center"/>
          </w:tcPr>
          <w:p w14:paraId="66A514E4"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第118列~第124列</w:t>
            </w:r>
          </w:p>
        </w:tc>
        <w:tc>
          <w:tcPr>
            <w:tcW w:w="2552" w:type="dxa"/>
            <w:vAlign w:val="center"/>
          </w:tcPr>
          <w:p w14:paraId="661F607E"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835" w:type="dxa"/>
            <w:vAlign w:val="center"/>
          </w:tcPr>
          <w:p w14:paraId="5CC5B0AA" w14:textId="77777777" w:rsidR="008066B8" w:rsidRPr="00E224E9" w:rsidRDefault="008066B8" w:rsidP="008066B8">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1885" w:type="dxa"/>
            <w:vAlign w:val="center"/>
          </w:tcPr>
          <w:p w14:paraId="2717635E"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第124列為第118列~第123列小計</w:t>
            </w:r>
          </w:p>
        </w:tc>
      </w:tr>
      <w:tr w:rsidR="00E224E9" w:rsidRPr="00E224E9" w14:paraId="57E6B5FB" w14:textId="77777777" w:rsidTr="008066B8">
        <w:tc>
          <w:tcPr>
            <w:tcW w:w="2268" w:type="dxa"/>
            <w:vAlign w:val="center"/>
          </w:tcPr>
          <w:p w14:paraId="44C6F6A5"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第125列</w:t>
            </w:r>
          </w:p>
        </w:tc>
        <w:tc>
          <w:tcPr>
            <w:tcW w:w="5387" w:type="dxa"/>
            <w:gridSpan w:val="2"/>
            <w:vAlign w:val="center"/>
          </w:tcPr>
          <w:p w14:paraId="1FF0EB90"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以避險為目的--買入選擇權交易合計</w:t>
            </w:r>
          </w:p>
        </w:tc>
        <w:tc>
          <w:tcPr>
            <w:tcW w:w="1885" w:type="dxa"/>
            <w:vAlign w:val="center"/>
          </w:tcPr>
          <w:p w14:paraId="7889C20F"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本列為第13、26、37、48、59、70、81、92、103、110、117、124列之合計</w:t>
            </w:r>
          </w:p>
        </w:tc>
      </w:tr>
    </w:tbl>
    <w:p w14:paraId="48E033D4" w14:textId="77777777" w:rsidR="00065C53" w:rsidRPr="00E224E9" w:rsidRDefault="00065C53">
      <w:pPr>
        <w:spacing w:line="440" w:lineRule="exact"/>
        <w:rPr>
          <w:rFonts w:ascii="標楷體" w:hAnsi="標楷體"/>
          <w:color w:val="000000" w:themeColor="text1"/>
          <w:sz w:val="24"/>
        </w:rPr>
      </w:pPr>
      <w:r w:rsidRPr="00E224E9">
        <w:rPr>
          <w:rFonts w:ascii="標楷體" w:hAnsi="標楷體"/>
          <w:color w:val="000000" w:themeColor="text1"/>
          <w:sz w:val="24"/>
        </w:rPr>
        <w:br w:type="page"/>
      </w:r>
      <w:r w:rsidRPr="00E224E9">
        <w:rPr>
          <w:rFonts w:ascii="標楷體" w:hAnsi="標楷體" w:hint="eastAsia"/>
          <w:color w:val="000000" w:themeColor="text1"/>
          <w:sz w:val="24"/>
        </w:rPr>
        <w:lastRenderedPageBreak/>
        <w:t>第</w:t>
      </w:r>
      <w:r w:rsidR="008066B8" w:rsidRPr="00E224E9">
        <w:rPr>
          <w:rFonts w:ascii="標楷體" w:hAnsi="標楷體" w:hint="eastAsia"/>
          <w:color w:val="000000" w:themeColor="text1"/>
          <w:sz w:val="24"/>
        </w:rPr>
        <w:t>126</w:t>
      </w:r>
      <w:r w:rsidRPr="00E224E9">
        <w:rPr>
          <w:rFonts w:ascii="標楷體" w:hAnsi="標楷體" w:hint="eastAsia"/>
          <w:color w:val="000000" w:themeColor="text1"/>
          <w:sz w:val="24"/>
        </w:rPr>
        <w:t>列~第</w:t>
      </w:r>
      <w:r w:rsidR="008066B8" w:rsidRPr="00E224E9">
        <w:rPr>
          <w:rFonts w:ascii="標楷體" w:hAnsi="標楷體" w:hint="eastAsia"/>
          <w:color w:val="000000" w:themeColor="text1"/>
          <w:sz w:val="24"/>
        </w:rPr>
        <w:t>182</w:t>
      </w:r>
      <w:r w:rsidRPr="00E224E9">
        <w:rPr>
          <w:rFonts w:ascii="標楷體" w:hAnsi="標楷體" w:hint="eastAsia"/>
          <w:color w:val="000000" w:themeColor="text1"/>
          <w:sz w:val="24"/>
        </w:rPr>
        <w:t>列－以增加收益為目的</w:t>
      </w:r>
    </w:p>
    <w:p w14:paraId="5C311718"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自1</w:t>
      </w:r>
      <w:r w:rsidR="008066B8" w:rsidRPr="00E224E9">
        <w:rPr>
          <w:rFonts w:ascii="標楷體" w:hAnsi="標楷體" w:hint="eastAsia"/>
          <w:color w:val="000000" w:themeColor="text1"/>
          <w:sz w:val="24"/>
        </w:rPr>
        <w:t>26</w:t>
      </w:r>
      <w:r w:rsidRPr="00E224E9">
        <w:rPr>
          <w:rFonts w:ascii="標楷體" w:hAnsi="標楷體" w:hint="eastAsia"/>
          <w:color w:val="000000" w:themeColor="text1"/>
          <w:sz w:val="24"/>
        </w:rPr>
        <w:t>列至第</w:t>
      </w:r>
      <w:r w:rsidR="008066B8" w:rsidRPr="00E224E9">
        <w:rPr>
          <w:rFonts w:ascii="標楷體" w:hAnsi="標楷體" w:hint="eastAsia"/>
          <w:color w:val="000000" w:themeColor="text1"/>
          <w:sz w:val="24"/>
        </w:rPr>
        <w:t>182</w:t>
      </w:r>
      <w:r w:rsidRPr="00E224E9">
        <w:rPr>
          <w:rFonts w:ascii="標楷體" w:hAnsi="標楷體" w:hint="eastAsia"/>
          <w:color w:val="000000" w:themeColor="text1"/>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E224E9" w:rsidRPr="00E224E9" w14:paraId="6DD15854" w14:textId="77777777">
        <w:tc>
          <w:tcPr>
            <w:tcW w:w="2326" w:type="dxa"/>
          </w:tcPr>
          <w:p w14:paraId="624FCDB5"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1800" w:type="dxa"/>
          </w:tcPr>
          <w:p w14:paraId="2A93785D"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520" w:type="dxa"/>
          </w:tcPr>
          <w:p w14:paraId="767D58EE" w14:textId="77777777" w:rsidR="00065C53" w:rsidRPr="00E224E9" w:rsidRDefault="00D03352">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被避險資產所屬國家</w:t>
            </w:r>
          </w:p>
        </w:tc>
        <w:tc>
          <w:tcPr>
            <w:tcW w:w="2880" w:type="dxa"/>
          </w:tcPr>
          <w:p w14:paraId="41C997CD"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47A45AAB" w14:textId="77777777">
        <w:tc>
          <w:tcPr>
            <w:tcW w:w="2326" w:type="dxa"/>
            <w:vAlign w:val="center"/>
          </w:tcPr>
          <w:p w14:paraId="13368BF3"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第126列~第132列</w:t>
            </w:r>
          </w:p>
        </w:tc>
        <w:tc>
          <w:tcPr>
            <w:tcW w:w="1800" w:type="dxa"/>
            <w:vAlign w:val="center"/>
          </w:tcPr>
          <w:p w14:paraId="2EA39F74"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520" w:type="dxa"/>
            <w:vAlign w:val="center"/>
          </w:tcPr>
          <w:p w14:paraId="5628E521" w14:textId="77777777" w:rsidR="00D03352" w:rsidRPr="00E224E9" w:rsidRDefault="00D03352" w:rsidP="00D03352">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79EB0178"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第132列為第126列~第131列小計</w:t>
            </w:r>
          </w:p>
        </w:tc>
      </w:tr>
      <w:tr w:rsidR="00E224E9" w:rsidRPr="00E224E9" w14:paraId="1A5F6266" w14:textId="77777777">
        <w:tc>
          <w:tcPr>
            <w:tcW w:w="2326" w:type="dxa"/>
            <w:vAlign w:val="center"/>
          </w:tcPr>
          <w:p w14:paraId="0737388D"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第133列~第139列</w:t>
            </w:r>
          </w:p>
        </w:tc>
        <w:tc>
          <w:tcPr>
            <w:tcW w:w="1800" w:type="dxa"/>
            <w:vAlign w:val="center"/>
          </w:tcPr>
          <w:p w14:paraId="6C81384F"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520" w:type="dxa"/>
            <w:vAlign w:val="center"/>
          </w:tcPr>
          <w:p w14:paraId="345A2CA8" w14:textId="77777777" w:rsidR="00D03352" w:rsidRPr="00E224E9" w:rsidRDefault="00D03352" w:rsidP="00D03352">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026FE98C"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第139列為第133列~第138列小計</w:t>
            </w:r>
          </w:p>
        </w:tc>
      </w:tr>
      <w:tr w:rsidR="00E224E9" w:rsidRPr="00E224E9" w14:paraId="1011FA12" w14:textId="77777777">
        <w:tc>
          <w:tcPr>
            <w:tcW w:w="2326" w:type="dxa"/>
            <w:vAlign w:val="center"/>
          </w:tcPr>
          <w:p w14:paraId="584EA1EC"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第140列~第146列</w:t>
            </w:r>
          </w:p>
        </w:tc>
        <w:tc>
          <w:tcPr>
            <w:tcW w:w="1800" w:type="dxa"/>
            <w:vAlign w:val="center"/>
          </w:tcPr>
          <w:p w14:paraId="5BA6B46C"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25647D56"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1B290783"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第146列為第140列~第145列小計</w:t>
            </w:r>
          </w:p>
        </w:tc>
      </w:tr>
      <w:tr w:rsidR="00E224E9" w:rsidRPr="00E224E9" w14:paraId="1D9F9148" w14:textId="77777777">
        <w:tc>
          <w:tcPr>
            <w:tcW w:w="2326" w:type="dxa"/>
            <w:vAlign w:val="center"/>
          </w:tcPr>
          <w:p w14:paraId="1CB330F9"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第147列~第153列</w:t>
            </w:r>
          </w:p>
        </w:tc>
        <w:tc>
          <w:tcPr>
            <w:tcW w:w="1800" w:type="dxa"/>
            <w:vAlign w:val="center"/>
          </w:tcPr>
          <w:p w14:paraId="216A8F49"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10079A4C" w14:textId="77777777" w:rsidR="00D03352" w:rsidRPr="00E224E9" w:rsidRDefault="00D03352" w:rsidP="00D03352">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0EB7009F"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第153列為第147列~第152列小計</w:t>
            </w:r>
          </w:p>
        </w:tc>
      </w:tr>
      <w:tr w:rsidR="00E224E9" w:rsidRPr="00E224E9" w14:paraId="3F59F9F1" w14:textId="77777777">
        <w:tc>
          <w:tcPr>
            <w:tcW w:w="2326" w:type="dxa"/>
            <w:vAlign w:val="center"/>
          </w:tcPr>
          <w:p w14:paraId="0D952F81"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第154列~第160列</w:t>
            </w:r>
          </w:p>
        </w:tc>
        <w:tc>
          <w:tcPr>
            <w:tcW w:w="1800" w:type="dxa"/>
            <w:vAlign w:val="center"/>
          </w:tcPr>
          <w:p w14:paraId="2F4C321E"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192B82F7" w14:textId="77777777" w:rsidR="00D03352" w:rsidRPr="00E224E9" w:rsidRDefault="00D03352" w:rsidP="00D03352">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354BFDF2"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第160列為第154列~第159列小計</w:t>
            </w:r>
          </w:p>
        </w:tc>
      </w:tr>
      <w:tr w:rsidR="00E224E9" w:rsidRPr="00E224E9" w14:paraId="39161476" w14:textId="77777777">
        <w:tc>
          <w:tcPr>
            <w:tcW w:w="2326" w:type="dxa"/>
            <w:vAlign w:val="center"/>
          </w:tcPr>
          <w:p w14:paraId="79D661E6"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第161列~第167列</w:t>
            </w:r>
          </w:p>
        </w:tc>
        <w:tc>
          <w:tcPr>
            <w:tcW w:w="1800" w:type="dxa"/>
            <w:vAlign w:val="center"/>
          </w:tcPr>
          <w:p w14:paraId="30769C1B"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514F92D9"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74C15CE8"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第167列為第161列~第166列小計</w:t>
            </w:r>
          </w:p>
        </w:tc>
      </w:tr>
      <w:tr w:rsidR="00E224E9" w:rsidRPr="00E224E9" w14:paraId="3405002A" w14:textId="77777777">
        <w:tc>
          <w:tcPr>
            <w:tcW w:w="2326" w:type="dxa"/>
            <w:vAlign w:val="center"/>
          </w:tcPr>
          <w:p w14:paraId="1F1BC72A"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第168列~第174列</w:t>
            </w:r>
          </w:p>
        </w:tc>
        <w:tc>
          <w:tcPr>
            <w:tcW w:w="1800" w:type="dxa"/>
            <w:vAlign w:val="center"/>
          </w:tcPr>
          <w:p w14:paraId="07B45700"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2C7A4C14" w14:textId="77777777" w:rsidR="00D03352" w:rsidRPr="00E224E9" w:rsidRDefault="00D03352" w:rsidP="00D03352">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6AC57421"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第174列為第168列~第173列小計</w:t>
            </w:r>
          </w:p>
        </w:tc>
      </w:tr>
      <w:tr w:rsidR="00E224E9" w:rsidRPr="00E224E9" w14:paraId="29DB7D3F" w14:textId="77777777">
        <w:tc>
          <w:tcPr>
            <w:tcW w:w="2326" w:type="dxa"/>
            <w:vAlign w:val="center"/>
          </w:tcPr>
          <w:p w14:paraId="3EE40D92"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第175列~第181列</w:t>
            </w:r>
          </w:p>
        </w:tc>
        <w:tc>
          <w:tcPr>
            <w:tcW w:w="1800" w:type="dxa"/>
            <w:vAlign w:val="center"/>
          </w:tcPr>
          <w:p w14:paraId="4DE96A5D"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0EA240D6" w14:textId="77777777" w:rsidR="00D03352" w:rsidRPr="00E224E9" w:rsidRDefault="00D03352" w:rsidP="00D03352">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019E1D6D"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第181列為第175列~第180列小計</w:t>
            </w:r>
          </w:p>
        </w:tc>
      </w:tr>
      <w:tr w:rsidR="00D03352" w:rsidRPr="00E224E9" w14:paraId="24CC42C8" w14:textId="77777777">
        <w:tc>
          <w:tcPr>
            <w:tcW w:w="2326" w:type="dxa"/>
            <w:vAlign w:val="center"/>
          </w:tcPr>
          <w:p w14:paraId="64609887"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第182列</w:t>
            </w:r>
          </w:p>
        </w:tc>
        <w:tc>
          <w:tcPr>
            <w:tcW w:w="4320" w:type="dxa"/>
            <w:gridSpan w:val="2"/>
            <w:vAlign w:val="center"/>
          </w:tcPr>
          <w:p w14:paraId="68C852B0"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以增加收益為目的</w:t>
            </w:r>
            <w:r w:rsidRPr="00E224E9">
              <w:rPr>
                <w:rFonts w:ascii="標楷體" w:hAnsi="標楷體"/>
                <w:color w:val="000000" w:themeColor="text1"/>
                <w:sz w:val="24"/>
              </w:rPr>
              <w:t>—</w:t>
            </w:r>
            <w:r w:rsidRPr="00E224E9">
              <w:rPr>
                <w:rFonts w:ascii="標楷體" w:hAnsi="標楷體" w:hint="eastAsia"/>
                <w:color w:val="000000" w:themeColor="text1"/>
                <w:sz w:val="24"/>
              </w:rPr>
              <w:t>買入選擇權合計</w:t>
            </w:r>
          </w:p>
        </w:tc>
        <w:tc>
          <w:tcPr>
            <w:tcW w:w="2880" w:type="dxa"/>
            <w:vAlign w:val="center"/>
          </w:tcPr>
          <w:p w14:paraId="681911C9" w14:textId="77777777" w:rsidR="00D03352" w:rsidRPr="00E224E9" w:rsidRDefault="00D03352" w:rsidP="00D03352">
            <w:pPr>
              <w:keepNext/>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本列為第132、139、146、153、160、167、174、181列之合計</w:t>
            </w:r>
          </w:p>
        </w:tc>
      </w:tr>
    </w:tbl>
    <w:p w14:paraId="4B2AC8AC" w14:textId="77777777" w:rsidR="00065C53" w:rsidRPr="00E224E9" w:rsidRDefault="00065C53">
      <w:pPr>
        <w:spacing w:line="440" w:lineRule="exact"/>
        <w:rPr>
          <w:rFonts w:ascii="標楷體" w:hAnsi="標楷體"/>
          <w:color w:val="000000" w:themeColor="text1"/>
          <w:sz w:val="24"/>
        </w:rPr>
      </w:pPr>
    </w:p>
    <w:p w14:paraId="43615C6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D03352" w:rsidRPr="00E224E9">
        <w:rPr>
          <w:rFonts w:ascii="標楷體" w:hAnsi="標楷體" w:hint="eastAsia"/>
          <w:color w:val="000000" w:themeColor="text1"/>
          <w:sz w:val="24"/>
        </w:rPr>
        <w:t>183</w:t>
      </w:r>
      <w:r w:rsidRPr="00E224E9">
        <w:rPr>
          <w:rFonts w:ascii="標楷體" w:hAnsi="標楷體" w:hint="eastAsia"/>
          <w:color w:val="000000" w:themeColor="text1"/>
          <w:sz w:val="24"/>
        </w:rPr>
        <w:t>列－合計</w:t>
      </w:r>
    </w:p>
    <w:p w14:paraId="0922C72B" w14:textId="77777777" w:rsidR="00065C53" w:rsidRPr="00E224E9" w:rsidRDefault="00065C53">
      <w:pPr>
        <w:spacing w:line="440" w:lineRule="exact"/>
        <w:ind w:leftChars="300" w:left="780"/>
        <w:rPr>
          <w:rFonts w:ascii="標楷體" w:hAnsi="標楷體"/>
          <w:color w:val="000000" w:themeColor="text1"/>
        </w:rPr>
      </w:pPr>
      <w:r w:rsidRPr="00E224E9">
        <w:rPr>
          <w:rFonts w:ascii="標楷體" w:hAnsi="標楷體" w:hint="eastAsia"/>
          <w:color w:val="000000" w:themeColor="text1"/>
        </w:rPr>
        <w:t>本列之金額為所有買入選擇權之合計，為第</w:t>
      </w:r>
      <w:r w:rsidR="00D03352" w:rsidRPr="00E224E9">
        <w:rPr>
          <w:rFonts w:ascii="標楷體" w:hAnsi="標楷體" w:hint="eastAsia"/>
          <w:color w:val="000000" w:themeColor="text1"/>
        </w:rPr>
        <w:t>125</w:t>
      </w:r>
      <w:r w:rsidRPr="00E224E9">
        <w:rPr>
          <w:rFonts w:ascii="標楷體" w:hAnsi="標楷體" w:hint="eastAsia"/>
          <w:color w:val="000000" w:themeColor="text1"/>
        </w:rPr>
        <w:t>列以避險為目的小計，與第</w:t>
      </w:r>
      <w:r w:rsidR="00D03352" w:rsidRPr="00E224E9">
        <w:rPr>
          <w:rFonts w:ascii="標楷體" w:hAnsi="標楷體" w:hint="eastAsia"/>
          <w:color w:val="000000" w:themeColor="text1"/>
        </w:rPr>
        <w:t>182</w:t>
      </w:r>
      <w:r w:rsidRPr="00E224E9">
        <w:rPr>
          <w:rFonts w:ascii="標楷體" w:hAnsi="標楷體" w:hint="eastAsia"/>
          <w:color w:val="000000" w:themeColor="text1"/>
        </w:rPr>
        <w:t>列以增加收益為目的小計等二列之加總。</w:t>
      </w:r>
    </w:p>
    <w:p w14:paraId="163F77BE" w14:textId="77777777" w:rsidR="00AE7D51" w:rsidRPr="00E224E9" w:rsidRDefault="00065C53" w:rsidP="00AE7D51">
      <w:pPr>
        <w:pStyle w:val="1"/>
        <w:spacing w:afterLines="0" w:line="440" w:lineRule="exact"/>
        <w:jc w:val="both"/>
        <w:rPr>
          <w:rFonts w:ascii="Book Antiqua" w:hAnsi="Book Antiqua"/>
          <w:color w:val="000000" w:themeColor="text1"/>
        </w:rPr>
      </w:pPr>
      <w:r w:rsidRPr="00E224E9">
        <w:rPr>
          <w:color w:val="000000" w:themeColor="text1"/>
        </w:rPr>
        <w:br w:type="page"/>
      </w:r>
      <w:bookmarkStart w:id="76" w:name="_Toc219109749"/>
      <w:bookmarkStart w:id="77" w:name="_Toc413137775"/>
      <w:bookmarkStart w:id="78" w:name="_Toc200468532"/>
      <w:bookmarkStart w:id="79" w:name="_Toc219262238"/>
      <w:r w:rsidR="00AE7D51" w:rsidRPr="00E224E9">
        <w:rPr>
          <w:color w:val="000000" w:themeColor="text1"/>
        </w:rPr>
        <w:lastRenderedPageBreak/>
        <w:t>表16-2-1：衍生性商品餘額明細表(總計)－以避險為目的</w:t>
      </w:r>
      <w:bookmarkEnd w:id="76"/>
      <w:bookmarkEnd w:id="77"/>
      <w:bookmarkEnd w:id="78"/>
      <w:r w:rsidR="00AE7D51" w:rsidRPr="00E224E9">
        <w:rPr>
          <w:color w:val="000000" w:themeColor="text1"/>
        </w:rPr>
        <w:t xml:space="preserve"> </w:t>
      </w:r>
    </w:p>
    <w:p w14:paraId="1BE17391" w14:textId="77777777" w:rsidR="00AE7D51" w:rsidRPr="00E224E9" w:rsidRDefault="00AE7D51" w:rsidP="00AE7D51">
      <w:pPr>
        <w:spacing w:line="440" w:lineRule="exact"/>
        <w:ind w:firstLineChars="207" w:firstLine="538"/>
        <w:jc w:val="both"/>
        <w:rPr>
          <w:rFonts w:ascii="Book Antiqua" w:hAnsi="Book Antiqua"/>
          <w:color w:val="000000" w:themeColor="text1"/>
        </w:rPr>
      </w:pPr>
      <w:r w:rsidRPr="00E224E9">
        <w:rPr>
          <w:rFonts w:ascii="Book Antiqua" w:hAnsi="標楷體"/>
          <w:color w:val="000000" w:themeColor="text1"/>
        </w:rPr>
        <w:t>「衍生性商品餘額明細表</w:t>
      </w:r>
      <w:r w:rsidRPr="00E224E9">
        <w:rPr>
          <w:rFonts w:ascii="Book Antiqua" w:hAnsi="Book Antiqua"/>
          <w:color w:val="000000" w:themeColor="text1"/>
        </w:rPr>
        <w:t>(</w:t>
      </w:r>
      <w:r w:rsidRPr="00E224E9">
        <w:rPr>
          <w:rFonts w:ascii="Book Antiqua" w:hAnsi="標楷體"/>
          <w:color w:val="000000" w:themeColor="text1"/>
        </w:rPr>
        <w:t>總計</w:t>
      </w:r>
      <w:r w:rsidRPr="00E224E9">
        <w:rPr>
          <w:rFonts w:ascii="Book Antiqua" w:hAnsi="Book Antiqua"/>
          <w:color w:val="000000" w:themeColor="text1"/>
        </w:rPr>
        <w:t>)</w:t>
      </w:r>
      <w:r w:rsidRPr="00E224E9">
        <w:rPr>
          <w:rFonts w:ascii="Book Antiqua" w:hAnsi="標楷體"/>
          <w:color w:val="000000" w:themeColor="text1"/>
        </w:rPr>
        <w:t>－以避險為目的」係表達填報公司表</w:t>
      </w:r>
      <w:r w:rsidRPr="00E224E9">
        <w:rPr>
          <w:rFonts w:ascii="Book Antiqua" w:hAnsi="Book Antiqua"/>
          <w:color w:val="000000" w:themeColor="text1"/>
        </w:rPr>
        <w:t>16-1-1~</w:t>
      </w:r>
      <w:r w:rsidRPr="00E224E9">
        <w:rPr>
          <w:rFonts w:ascii="Book Antiqua" w:hAnsi="標楷體"/>
          <w:color w:val="000000" w:themeColor="text1"/>
        </w:rPr>
        <w:t>表</w:t>
      </w:r>
      <w:r w:rsidRPr="00E224E9">
        <w:rPr>
          <w:rFonts w:ascii="Book Antiqua" w:hAnsi="Book Antiqua"/>
          <w:color w:val="000000" w:themeColor="text1"/>
        </w:rPr>
        <w:t>16-1-5</w:t>
      </w:r>
      <w:r w:rsidRPr="00E224E9">
        <w:rPr>
          <w:rFonts w:ascii="Book Antiqua" w:hAnsi="標楷體"/>
          <w:color w:val="000000" w:themeColor="text1"/>
        </w:rPr>
        <w:t>所填列資料之彙總資訊，以供主管機關評估可能之風險。本表之契約名目部位金額、最近收盤日公允價值總金額，以及未實現損益等數額之合計數，可自動勾稽至表</w:t>
      </w:r>
      <w:r w:rsidRPr="00E224E9">
        <w:rPr>
          <w:rFonts w:ascii="Book Antiqua" w:hAnsi="Book Antiqua"/>
          <w:color w:val="000000" w:themeColor="text1"/>
        </w:rPr>
        <w:t>16-1</w:t>
      </w:r>
      <w:r w:rsidRPr="00E224E9">
        <w:rPr>
          <w:rFonts w:ascii="Book Antiqua" w:hAnsi="標楷體"/>
          <w:color w:val="000000" w:themeColor="text1"/>
        </w:rPr>
        <w:t>之各明細表中，並已設公式連結。其中，匯率避險中屬於標準避險者，其契約名目部位金額合計數，將用以做為表</w:t>
      </w:r>
      <w:r w:rsidRPr="00E224E9">
        <w:rPr>
          <w:rFonts w:ascii="Book Antiqua" w:hAnsi="Book Antiqua"/>
          <w:color w:val="000000" w:themeColor="text1"/>
        </w:rPr>
        <w:t>30-3</w:t>
      </w:r>
      <w:r w:rsidRPr="00E224E9">
        <w:rPr>
          <w:rFonts w:ascii="Book Antiqua" w:hAnsi="標楷體"/>
          <w:color w:val="000000" w:themeColor="text1"/>
        </w:rPr>
        <w:t>外匯風險金額之扣抵項目之一</w:t>
      </w:r>
      <w:r w:rsidRPr="00E224E9">
        <w:rPr>
          <w:rFonts w:ascii="標楷體" w:hAnsi="標楷體" w:hint="eastAsia"/>
          <w:color w:val="000000" w:themeColor="text1"/>
        </w:rPr>
        <w:t>；權益證券相關避險中屬於可扣抵風險資本者，其名目部位金額合計數乘上對應之抵減比率，將用以做為表</w:t>
      </w:r>
      <w:r w:rsidRPr="00E224E9">
        <w:rPr>
          <w:rFonts w:ascii="Book Antiqua" w:hAnsi="Book Antiqua"/>
          <w:color w:val="000000" w:themeColor="text1"/>
        </w:rPr>
        <w:t>30-3</w:t>
      </w:r>
      <w:r w:rsidRPr="00E224E9">
        <w:rPr>
          <w:rFonts w:ascii="標楷體" w:hAnsi="標楷體" w:hint="eastAsia"/>
          <w:color w:val="000000" w:themeColor="text1"/>
        </w:rPr>
        <w:t>上市普通股風險金額之扣抵項目之一；</w:t>
      </w:r>
      <w:r w:rsidRPr="00E224E9">
        <w:rPr>
          <w:rFonts w:ascii="Book Antiqua" w:hAnsi="標楷體" w:hint="eastAsia"/>
          <w:color w:val="000000" w:themeColor="text1"/>
        </w:rPr>
        <w:t>前述扣抵項目若以選擇權作為避險工具者，該選擇權之</w:t>
      </w:r>
      <w:r w:rsidRPr="00E224E9">
        <w:rPr>
          <w:rFonts w:ascii="Book Antiqua" w:hAnsi="標楷體" w:hint="eastAsia"/>
          <w:b/>
          <w:color w:val="000000" w:themeColor="text1"/>
        </w:rPr>
        <w:t>執行價格不得低於財報日</w:t>
      </w:r>
      <w:r w:rsidRPr="00E224E9">
        <w:rPr>
          <w:rFonts w:ascii="Book Antiqua" w:hAnsi="標楷體" w:hint="eastAsia"/>
          <w:color w:val="000000" w:themeColor="text1"/>
        </w:rPr>
        <w:t>(6</w:t>
      </w:r>
      <w:r w:rsidRPr="00E224E9">
        <w:rPr>
          <w:rFonts w:ascii="Book Antiqua" w:hAnsi="標楷體" w:hint="eastAsia"/>
          <w:color w:val="000000" w:themeColor="text1"/>
        </w:rPr>
        <w:t>月</w:t>
      </w:r>
      <w:r w:rsidRPr="00E224E9">
        <w:rPr>
          <w:rFonts w:ascii="Book Antiqua" w:hAnsi="標楷體" w:hint="eastAsia"/>
          <w:color w:val="000000" w:themeColor="text1"/>
        </w:rPr>
        <w:t>30</w:t>
      </w:r>
      <w:r w:rsidRPr="00E224E9">
        <w:rPr>
          <w:rFonts w:ascii="Book Antiqua" w:hAnsi="標楷體" w:hint="eastAsia"/>
          <w:color w:val="000000" w:themeColor="text1"/>
        </w:rPr>
        <w:t>日或</w:t>
      </w:r>
      <w:r w:rsidRPr="00E224E9">
        <w:rPr>
          <w:rFonts w:ascii="Book Antiqua" w:hAnsi="標楷體" w:hint="eastAsia"/>
          <w:color w:val="000000" w:themeColor="text1"/>
        </w:rPr>
        <w:t>12</w:t>
      </w:r>
      <w:r w:rsidRPr="00E224E9">
        <w:rPr>
          <w:rFonts w:ascii="Book Antiqua" w:hAnsi="標楷體" w:hint="eastAsia"/>
          <w:color w:val="000000" w:themeColor="text1"/>
        </w:rPr>
        <w:t>月</w:t>
      </w:r>
      <w:r w:rsidRPr="00E224E9">
        <w:rPr>
          <w:rFonts w:ascii="Book Antiqua" w:hAnsi="標楷體" w:hint="eastAsia"/>
          <w:color w:val="000000" w:themeColor="text1"/>
        </w:rPr>
        <w:t>31</w:t>
      </w:r>
      <w:r w:rsidRPr="00E224E9">
        <w:rPr>
          <w:rFonts w:ascii="Book Antiqua" w:hAnsi="標楷體" w:hint="eastAsia"/>
          <w:color w:val="000000" w:themeColor="text1"/>
        </w:rPr>
        <w:t>日</w:t>
      </w:r>
      <w:r w:rsidRPr="00E224E9">
        <w:rPr>
          <w:rFonts w:ascii="Book Antiqua" w:hAnsi="標楷體" w:hint="eastAsia"/>
          <w:color w:val="000000" w:themeColor="text1"/>
        </w:rPr>
        <w:t>)</w:t>
      </w:r>
      <w:r w:rsidRPr="00E224E9">
        <w:rPr>
          <w:rFonts w:ascii="Book Antiqua" w:hAnsi="標楷體" w:hint="eastAsia"/>
          <w:b/>
          <w:color w:val="000000" w:themeColor="text1"/>
        </w:rPr>
        <w:t>收盤匯率</w:t>
      </w:r>
      <w:r w:rsidR="008F0473" w:rsidRPr="00E224E9">
        <w:rPr>
          <w:rFonts w:ascii="Book Antiqua" w:hAnsi="標楷體" w:hint="eastAsia"/>
          <w:b/>
          <w:color w:val="000000" w:themeColor="text1"/>
        </w:rPr>
        <w:t>/</w:t>
      </w:r>
      <w:r w:rsidR="008F0473" w:rsidRPr="00E224E9">
        <w:rPr>
          <w:rFonts w:ascii="Book Antiqua" w:hAnsi="標楷體" w:hint="eastAsia"/>
          <w:b/>
          <w:color w:val="000000" w:themeColor="text1"/>
        </w:rPr>
        <w:t>價</w:t>
      </w:r>
      <w:r w:rsidRPr="00E224E9">
        <w:rPr>
          <w:rFonts w:ascii="Book Antiqua" w:hAnsi="標楷體" w:hint="eastAsia"/>
          <w:b/>
          <w:color w:val="000000" w:themeColor="text1"/>
        </w:rPr>
        <w:t>之</w:t>
      </w:r>
      <w:r w:rsidRPr="00E224E9">
        <w:rPr>
          <w:rFonts w:ascii="Book Antiqua" w:hAnsi="標楷體" w:hint="eastAsia"/>
          <w:b/>
          <w:color w:val="000000" w:themeColor="text1"/>
        </w:rPr>
        <w:t>95%</w:t>
      </w:r>
      <w:r w:rsidRPr="00E224E9">
        <w:rPr>
          <w:rFonts w:ascii="Book Antiqua" w:hAnsi="標楷體"/>
          <w:color w:val="000000" w:themeColor="text1"/>
        </w:rPr>
        <w:t>。</w:t>
      </w:r>
    </w:p>
    <w:p w14:paraId="331B365A" w14:textId="77777777" w:rsidR="00AE7D51" w:rsidRPr="00E224E9" w:rsidRDefault="00AE7D51" w:rsidP="00AE7D51">
      <w:pPr>
        <w:spacing w:line="440" w:lineRule="exact"/>
        <w:ind w:firstLineChars="207" w:firstLine="538"/>
        <w:rPr>
          <w:rFonts w:ascii="Book Antiqua" w:hAnsi="Book Antiqua"/>
          <w:color w:val="000000" w:themeColor="text1"/>
        </w:rPr>
      </w:pPr>
      <w:r w:rsidRPr="00E224E9">
        <w:rPr>
          <w:rFonts w:ascii="Book Antiqua" w:hAnsi="標楷體"/>
          <w:color w:val="000000" w:themeColor="text1"/>
        </w:rPr>
        <w:t>本表所需填列之各欄明細資訊說明如下：</w:t>
      </w:r>
    </w:p>
    <w:p w14:paraId="3600E8C6" w14:textId="77777777" w:rsidR="00AE7D51" w:rsidRPr="00E224E9" w:rsidRDefault="00AE7D51" w:rsidP="00AE7D51">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Pr="00E224E9">
        <w:rPr>
          <w:rFonts w:ascii="Book Antiqua" w:hAnsi="標楷體"/>
          <w:color w:val="000000" w:themeColor="text1"/>
        </w:rPr>
        <w:t>欄－標的物類別及衍生性商品類別</w:t>
      </w:r>
    </w:p>
    <w:p w14:paraId="5BEEB1BF" w14:textId="77777777" w:rsidR="00AE7D51" w:rsidRPr="00E224E9" w:rsidRDefault="00AE7D51" w:rsidP="00AE7D51">
      <w:pPr>
        <w:spacing w:line="440" w:lineRule="exact"/>
        <w:ind w:left="520"/>
        <w:rPr>
          <w:rFonts w:ascii="Book Antiqua" w:hAnsi="Book Antiqua"/>
          <w:color w:val="000000" w:themeColor="text1"/>
        </w:rPr>
      </w:pPr>
      <w:r w:rsidRPr="00E224E9">
        <w:rPr>
          <w:rFonts w:ascii="Book Antiqua" w:hAnsi="標楷體"/>
          <w:color w:val="000000" w:themeColor="text1"/>
        </w:rPr>
        <w:t>本欄不需填列。</w:t>
      </w:r>
    </w:p>
    <w:p w14:paraId="6F25C09B" w14:textId="77777777" w:rsidR="00AE7D51" w:rsidRPr="00E224E9" w:rsidRDefault="00AE7D51" w:rsidP="00AE7D51">
      <w:pPr>
        <w:spacing w:line="440" w:lineRule="exact"/>
        <w:ind w:left="1266" w:hangingChars="487" w:hanging="1266"/>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2~4</w:t>
      </w:r>
      <w:r w:rsidRPr="00E224E9">
        <w:rPr>
          <w:rFonts w:ascii="Book Antiqua" w:hAnsi="標楷體"/>
          <w:color w:val="000000" w:themeColor="text1"/>
        </w:rPr>
        <w:t>欄－被避險資產屬國內投資者之名目部位金額、最近收盤日公允價值總金額及未實現損益</w:t>
      </w:r>
    </w:p>
    <w:p w14:paraId="165ADA72" w14:textId="77777777" w:rsidR="00AE7D51" w:rsidRPr="00E224E9" w:rsidRDefault="00AE7D51" w:rsidP="00AE7D51">
      <w:pPr>
        <w:spacing w:line="440" w:lineRule="exact"/>
        <w:ind w:leftChars="225" w:left="585"/>
        <w:rPr>
          <w:rFonts w:ascii="Book Antiqua" w:hAnsi="Book Antiqua"/>
          <w:color w:val="000000" w:themeColor="text1"/>
        </w:rPr>
      </w:pPr>
      <w:r w:rsidRPr="00E224E9">
        <w:rPr>
          <w:rFonts w:ascii="Book Antiqua" w:hAnsi="標楷體"/>
          <w:color w:val="000000" w:themeColor="text1"/>
        </w:rPr>
        <w:t>本欄不需填列，係以公式自動連結表</w:t>
      </w:r>
      <w:r w:rsidRPr="00E224E9">
        <w:rPr>
          <w:rFonts w:ascii="Book Antiqua" w:hAnsi="Book Antiqua"/>
          <w:color w:val="000000" w:themeColor="text1"/>
        </w:rPr>
        <w:t>16-1-1~</w:t>
      </w:r>
      <w:r w:rsidRPr="00E224E9">
        <w:rPr>
          <w:rFonts w:ascii="Book Antiqua" w:hAnsi="標楷體"/>
          <w:color w:val="000000" w:themeColor="text1"/>
        </w:rPr>
        <w:t>表</w:t>
      </w:r>
      <w:r w:rsidRPr="00E224E9">
        <w:rPr>
          <w:rFonts w:ascii="Book Antiqua" w:hAnsi="Book Antiqua"/>
          <w:color w:val="000000" w:themeColor="text1"/>
        </w:rPr>
        <w:t>16-1-5</w:t>
      </w:r>
      <w:r w:rsidRPr="00E224E9">
        <w:rPr>
          <w:rFonts w:ascii="Book Antiqua" w:hAnsi="標楷體"/>
          <w:color w:val="000000" w:themeColor="text1"/>
        </w:rPr>
        <w:t>。</w:t>
      </w:r>
    </w:p>
    <w:p w14:paraId="367AFCB0" w14:textId="77777777" w:rsidR="00AE7D51" w:rsidRPr="00E224E9" w:rsidRDefault="00AE7D51" w:rsidP="00AE7D51">
      <w:pPr>
        <w:spacing w:line="440" w:lineRule="exact"/>
        <w:ind w:left="1266" w:hangingChars="487" w:hanging="1266"/>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5~7</w:t>
      </w:r>
      <w:r w:rsidRPr="00E224E9">
        <w:rPr>
          <w:rFonts w:ascii="Book Antiqua" w:hAnsi="標楷體"/>
          <w:color w:val="000000" w:themeColor="text1"/>
        </w:rPr>
        <w:t>欄－被避險資產屬國外投資</w:t>
      </w:r>
      <w:r w:rsidRPr="00E224E9">
        <w:rPr>
          <w:rFonts w:ascii="Book Antiqua" w:hAnsi="Book Antiqua"/>
          <w:color w:val="000000" w:themeColor="text1"/>
        </w:rPr>
        <w:t>(</w:t>
      </w:r>
      <w:r w:rsidRPr="00E224E9">
        <w:rPr>
          <w:rFonts w:ascii="Book Antiqua" w:hAnsi="標楷體" w:hint="eastAsia"/>
          <w:color w:val="000000" w:themeColor="text1"/>
        </w:rPr>
        <w:t>已開發國家</w:t>
      </w:r>
      <w:r w:rsidRPr="00E224E9">
        <w:rPr>
          <w:rFonts w:ascii="Book Antiqua" w:hAnsi="Book Antiqua"/>
          <w:color w:val="000000" w:themeColor="text1"/>
        </w:rPr>
        <w:t>)</w:t>
      </w:r>
      <w:r w:rsidRPr="00E224E9">
        <w:rPr>
          <w:rFonts w:ascii="Book Antiqua" w:hAnsi="標楷體"/>
          <w:color w:val="000000" w:themeColor="text1"/>
        </w:rPr>
        <w:t>者之名目部位金額、最近收盤日公允價值總金額及未實現損益</w:t>
      </w:r>
    </w:p>
    <w:p w14:paraId="273CCB66" w14:textId="77777777" w:rsidR="00AE7D51" w:rsidRPr="00E224E9" w:rsidRDefault="00AE7D51" w:rsidP="00AE7D51">
      <w:pPr>
        <w:spacing w:line="440" w:lineRule="exact"/>
        <w:ind w:leftChars="225" w:left="585"/>
        <w:rPr>
          <w:rFonts w:ascii="Book Antiqua" w:hAnsi="Book Antiqua"/>
          <w:color w:val="000000" w:themeColor="text1"/>
        </w:rPr>
      </w:pPr>
      <w:r w:rsidRPr="00E224E9">
        <w:rPr>
          <w:rFonts w:ascii="Book Antiqua" w:hAnsi="標楷體"/>
          <w:color w:val="000000" w:themeColor="text1"/>
        </w:rPr>
        <w:t>本欄不需填列，係以公式自動連結表</w:t>
      </w:r>
      <w:r w:rsidRPr="00E224E9">
        <w:rPr>
          <w:rFonts w:ascii="Book Antiqua" w:hAnsi="Book Antiqua"/>
          <w:color w:val="000000" w:themeColor="text1"/>
        </w:rPr>
        <w:t>16-1-1~</w:t>
      </w:r>
      <w:r w:rsidRPr="00E224E9">
        <w:rPr>
          <w:rFonts w:ascii="Book Antiqua" w:hAnsi="標楷體"/>
          <w:color w:val="000000" w:themeColor="text1"/>
        </w:rPr>
        <w:t>表</w:t>
      </w:r>
      <w:r w:rsidRPr="00E224E9">
        <w:rPr>
          <w:rFonts w:ascii="Book Antiqua" w:hAnsi="Book Antiqua"/>
          <w:color w:val="000000" w:themeColor="text1"/>
        </w:rPr>
        <w:t>16-1-5</w:t>
      </w:r>
      <w:r w:rsidRPr="00E224E9">
        <w:rPr>
          <w:rFonts w:ascii="Book Antiqua" w:hAnsi="標楷體"/>
          <w:color w:val="000000" w:themeColor="text1"/>
        </w:rPr>
        <w:t>。</w:t>
      </w:r>
    </w:p>
    <w:p w14:paraId="6253CB43" w14:textId="77777777" w:rsidR="00AE7D51" w:rsidRPr="00E224E9" w:rsidRDefault="00AE7D51" w:rsidP="00AE7D51">
      <w:pPr>
        <w:spacing w:line="440" w:lineRule="exact"/>
        <w:ind w:left="1407" w:hangingChars="541" w:hanging="1407"/>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8~10</w:t>
      </w:r>
      <w:r w:rsidRPr="00E224E9">
        <w:rPr>
          <w:rFonts w:ascii="Book Antiqua" w:hAnsi="標楷體"/>
          <w:color w:val="000000" w:themeColor="text1"/>
        </w:rPr>
        <w:t>欄－被避險資產屬國外投資</w:t>
      </w:r>
      <w:r w:rsidRPr="00E224E9">
        <w:rPr>
          <w:rFonts w:ascii="Book Antiqua" w:hAnsi="Book Antiqua"/>
          <w:color w:val="000000" w:themeColor="text1"/>
        </w:rPr>
        <w:t>(</w:t>
      </w:r>
      <w:r w:rsidRPr="00E224E9">
        <w:rPr>
          <w:rFonts w:ascii="Book Antiqua" w:hAnsi="標楷體" w:hint="eastAsia"/>
          <w:color w:val="000000" w:themeColor="text1"/>
        </w:rPr>
        <w:t>新興市場</w:t>
      </w:r>
      <w:r w:rsidRPr="00E224E9">
        <w:rPr>
          <w:rFonts w:ascii="Book Antiqua" w:hAnsi="Book Antiqua"/>
          <w:color w:val="000000" w:themeColor="text1"/>
        </w:rPr>
        <w:t>)</w:t>
      </w:r>
      <w:r w:rsidRPr="00E224E9">
        <w:rPr>
          <w:rFonts w:ascii="Book Antiqua" w:hAnsi="標楷體"/>
          <w:color w:val="000000" w:themeColor="text1"/>
        </w:rPr>
        <w:t>者之名目部位金額、最近收盤日公允價值總金額及未實現損益</w:t>
      </w:r>
    </w:p>
    <w:p w14:paraId="43A9C6EB" w14:textId="77777777" w:rsidR="00AE7D51" w:rsidRPr="00E224E9" w:rsidRDefault="00AE7D51" w:rsidP="00AE7D51">
      <w:pPr>
        <w:spacing w:line="440" w:lineRule="exact"/>
        <w:ind w:leftChars="225" w:left="585"/>
        <w:rPr>
          <w:rFonts w:ascii="Book Antiqua" w:hAnsi="標楷體"/>
          <w:color w:val="000000" w:themeColor="text1"/>
        </w:rPr>
      </w:pPr>
      <w:r w:rsidRPr="00E224E9">
        <w:rPr>
          <w:rFonts w:ascii="Book Antiqua" w:hAnsi="標楷體"/>
          <w:color w:val="000000" w:themeColor="text1"/>
        </w:rPr>
        <w:t>本欄不需填列，係以公式自動連結表</w:t>
      </w:r>
      <w:r w:rsidRPr="00E224E9">
        <w:rPr>
          <w:rFonts w:ascii="Book Antiqua" w:hAnsi="Book Antiqua"/>
          <w:color w:val="000000" w:themeColor="text1"/>
        </w:rPr>
        <w:t>16-1-1~</w:t>
      </w:r>
      <w:r w:rsidRPr="00E224E9">
        <w:rPr>
          <w:rFonts w:ascii="Book Antiqua" w:hAnsi="標楷體"/>
          <w:color w:val="000000" w:themeColor="text1"/>
        </w:rPr>
        <w:t>表</w:t>
      </w:r>
      <w:r w:rsidRPr="00E224E9">
        <w:rPr>
          <w:rFonts w:ascii="Book Antiqua" w:hAnsi="Book Antiqua"/>
          <w:color w:val="000000" w:themeColor="text1"/>
        </w:rPr>
        <w:t>16-1-5</w:t>
      </w:r>
      <w:r w:rsidRPr="00E224E9">
        <w:rPr>
          <w:rFonts w:ascii="Book Antiqua" w:hAnsi="標楷體"/>
          <w:color w:val="000000" w:themeColor="text1"/>
        </w:rPr>
        <w:t>。</w:t>
      </w:r>
    </w:p>
    <w:p w14:paraId="63410FB1" w14:textId="77777777" w:rsidR="00AE7D51" w:rsidRPr="00E224E9" w:rsidRDefault="00AE7D51" w:rsidP="00AE7D51">
      <w:pPr>
        <w:spacing w:line="440" w:lineRule="exact"/>
        <w:ind w:leftChars="225" w:left="585"/>
        <w:rPr>
          <w:rFonts w:ascii="Book Antiqua" w:hAnsi="Book Antiqua"/>
          <w:color w:val="000000" w:themeColor="text1"/>
        </w:rPr>
      </w:pPr>
    </w:p>
    <w:p w14:paraId="5203EFD6" w14:textId="77777777" w:rsidR="00AE7D51" w:rsidRPr="00E224E9" w:rsidRDefault="00AE7D51" w:rsidP="00AE7D51">
      <w:pPr>
        <w:spacing w:line="440" w:lineRule="exact"/>
        <w:ind w:left="1407" w:hangingChars="541" w:hanging="1407"/>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11~16</w:t>
      </w:r>
      <w:r w:rsidRPr="00E224E9">
        <w:rPr>
          <w:rFonts w:ascii="Book Antiqua" w:hAnsi="標楷體"/>
          <w:color w:val="000000" w:themeColor="text1"/>
        </w:rPr>
        <w:t>欄－</w:t>
      </w:r>
      <w:r w:rsidRPr="00E224E9">
        <w:rPr>
          <w:rFonts w:ascii="Book Antiqua" w:hAnsi="標楷體" w:hint="eastAsia"/>
          <w:color w:val="000000" w:themeColor="text1"/>
        </w:rPr>
        <w:t>國內上市普通股股票風險資本扣抵計算表</w:t>
      </w:r>
    </w:p>
    <w:p w14:paraId="7C14CC37" w14:textId="77777777" w:rsidR="00AE7D51" w:rsidRPr="00E224E9" w:rsidRDefault="00AE7D51" w:rsidP="00AE7D51">
      <w:pPr>
        <w:spacing w:line="440" w:lineRule="exact"/>
        <w:ind w:leftChars="225" w:left="585"/>
        <w:rPr>
          <w:rFonts w:ascii="Book Antiqua" w:hAnsi="Book Antiqua"/>
          <w:color w:val="000000" w:themeColor="text1"/>
        </w:rPr>
      </w:pPr>
      <w:r w:rsidRPr="00E224E9">
        <w:rPr>
          <w:rFonts w:ascii="Book Antiqua" w:hAnsi="標楷體" w:hint="eastAsia"/>
          <w:color w:val="000000" w:themeColor="text1"/>
        </w:rPr>
        <w:t>符合「保險業以衍生性金融商品進行國內股票避險可扣抵風險資本額之認列方式及條件」之國內股票資產避險，其避險比率超過</w:t>
      </w:r>
      <w:r w:rsidRPr="00E224E9">
        <w:rPr>
          <w:rFonts w:ascii="Book Antiqua" w:hAnsi="標楷體" w:hint="eastAsia"/>
          <w:color w:val="000000" w:themeColor="text1"/>
        </w:rPr>
        <w:t>15</w:t>
      </w:r>
      <w:r w:rsidRPr="00E224E9">
        <w:rPr>
          <w:rFonts w:ascii="Book Antiqua" w:hAnsi="標楷體" w:hint="eastAsia"/>
          <w:color w:val="000000" w:themeColor="text1"/>
        </w:rPr>
        <w:t>％者，應提供當期</w:t>
      </w:r>
      <w:r w:rsidRPr="00E224E9">
        <w:rPr>
          <w:rFonts w:ascii="Book Antiqua" w:hAnsi="標楷體" w:hint="eastAsia"/>
          <w:color w:val="000000" w:themeColor="text1"/>
        </w:rPr>
        <w:t>RBC</w:t>
      </w:r>
      <w:r w:rsidRPr="00E224E9">
        <w:rPr>
          <w:rFonts w:ascii="Book Antiqua" w:hAnsi="標楷體" w:hint="eastAsia"/>
          <w:color w:val="000000" w:themeColor="text1"/>
        </w:rPr>
        <w:t>計算期間</w:t>
      </w:r>
      <w:r w:rsidRPr="00E224E9">
        <w:rPr>
          <w:rFonts w:ascii="Book Antiqua" w:hAnsi="標楷體" w:hint="eastAsia"/>
          <w:color w:val="000000" w:themeColor="text1"/>
        </w:rPr>
        <w:t>(</w:t>
      </w:r>
      <w:r w:rsidRPr="00E224E9">
        <w:rPr>
          <w:rFonts w:ascii="Book Antiqua" w:hAnsi="標楷體" w:hint="eastAsia"/>
          <w:color w:val="000000" w:themeColor="text1"/>
        </w:rPr>
        <w:t>過去</w:t>
      </w:r>
      <w:r w:rsidRPr="00E224E9">
        <w:rPr>
          <w:rFonts w:ascii="Book Antiqua" w:hAnsi="標楷體" w:hint="eastAsia"/>
          <w:color w:val="000000" w:themeColor="text1"/>
        </w:rPr>
        <w:t>12</w:t>
      </w:r>
      <w:r w:rsidRPr="00E224E9">
        <w:rPr>
          <w:rFonts w:ascii="Book Antiqua" w:hAnsi="標楷體" w:hint="eastAsia"/>
          <w:color w:val="000000" w:themeColor="text1"/>
        </w:rPr>
        <w:t>個月</w:t>
      </w:r>
      <w:r w:rsidRPr="00E224E9">
        <w:rPr>
          <w:rFonts w:ascii="Book Antiqua" w:hAnsi="標楷體" w:hint="eastAsia"/>
          <w:color w:val="000000" w:themeColor="text1"/>
        </w:rPr>
        <w:t>)</w:t>
      </w:r>
      <w:r w:rsidRPr="00E224E9">
        <w:rPr>
          <w:rFonts w:ascii="Book Antiqua" w:hAnsi="標楷體" w:hint="eastAsia"/>
          <w:color w:val="000000" w:themeColor="text1"/>
        </w:rPr>
        <w:t>內每日平均避險比率均超過</w:t>
      </w:r>
      <w:r w:rsidRPr="00E224E9">
        <w:rPr>
          <w:rFonts w:ascii="Book Antiqua" w:hAnsi="標楷體" w:hint="eastAsia"/>
          <w:color w:val="000000" w:themeColor="text1"/>
        </w:rPr>
        <w:t>15</w:t>
      </w:r>
      <w:r w:rsidRPr="00E224E9">
        <w:rPr>
          <w:rFonts w:ascii="Book Antiqua" w:hAnsi="標楷體" w:hint="eastAsia"/>
          <w:color w:val="000000" w:themeColor="text1"/>
        </w:rPr>
        <w:t>％之證明文件。</w:t>
      </w:r>
      <w:r w:rsidRPr="00E224E9">
        <w:rPr>
          <w:rFonts w:ascii="Book Antiqua" w:hAnsi="Book Antiqua" w:hint="eastAsia"/>
          <w:color w:val="000000" w:themeColor="text1"/>
        </w:rPr>
        <w:t>未提供證明文件者，其可扣抵風險資本</w:t>
      </w:r>
      <w:r w:rsidR="005522AC" w:rsidRPr="00E224E9">
        <w:rPr>
          <w:rFonts w:ascii="Book Antiqua" w:hAnsi="Book Antiqua" w:hint="eastAsia"/>
          <w:color w:val="000000" w:themeColor="text1"/>
        </w:rPr>
        <w:t>避險名目部位</w:t>
      </w:r>
      <w:r w:rsidRPr="00E224E9">
        <w:rPr>
          <w:rFonts w:ascii="Book Antiqua" w:hAnsi="Book Antiqua" w:hint="eastAsia"/>
          <w:color w:val="000000" w:themeColor="text1"/>
        </w:rPr>
        <w:t>金額以國內上市普通股股票半年收盤平均價之</w:t>
      </w:r>
      <w:r w:rsidRPr="00E224E9">
        <w:rPr>
          <w:rFonts w:ascii="Book Antiqua" w:hAnsi="Book Antiqua" w:hint="eastAsia"/>
          <w:color w:val="000000" w:themeColor="text1"/>
        </w:rPr>
        <w:t>15%</w:t>
      </w:r>
      <w:r w:rsidRPr="00E224E9">
        <w:rPr>
          <w:rFonts w:ascii="Book Antiqua" w:hAnsi="Book Antiqua" w:hint="eastAsia"/>
          <w:color w:val="000000" w:themeColor="text1"/>
        </w:rPr>
        <w:t>為上限。</w:t>
      </w:r>
    </w:p>
    <w:p w14:paraId="44EB5443" w14:textId="77777777" w:rsidR="00065C53" w:rsidRPr="00E224E9" w:rsidRDefault="00065C53" w:rsidP="00F3152E">
      <w:pPr>
        <w:pStyle w:val="1"/>
        <w:pageBreakBefore/>
        <w:spacing w:after="120" w:line="440" w:lineRule="exact"/>
        <w:jc w:val="both"/>
        <w:rPr>
          <w:color w:val="000000" w:themeColor="text1"/>
        </w:rPr>
      </w:pPr>
      <w:bookmarkStart w:id="80" w:name="_Toc200468533"/>
      <w:bookmarkStart w:id="81" w:name="_Toc219262242"/>
      <w:bookmarkStart w:id="82" w:name="_Toc219262243"/>
      <w:bookmarkEnd w:id="79"/>
      <w:r w:rsidRPr="00E224E9">
        <w:rPr>
          <w:rFonts w:hint="eastAsia"/>
          <w:color w:val="000000" w:themeColor="text1"/>
        </w:rPr>
        <w:lastRenderedPageBreak/>
        <w:t>表19-5：再保險資產－再保人別</w:t>
      </w:r>
      <w:bookmarkEnd w:id="80"/>
    </w:p>
    <w:p w14:paraId="130C78F7" w14:textId="77777777" w:rsidR="00065C53" w:rsidRPr="00E224E9" w:rsidRDefault="00065C53" w:rsidP="00F3152E">
      <w:pPr>
        <w:spacing w:line="440" w:lineRule="exact"/>
        <w:ind w:firstLineChars="218" w:firstLine="523"/>
        <w:rPr>
          <w:color w:val="000000" w:themeColor="text1"/>
          <w:sz w:val="24"/>
        </w:rPr>
      </w:pPr>
      <w:r w:rsidRPr="00E224E9">
        <w:rPr>
          <w:rFonts w:hint="eastAsia"/>
          <w:color w:val="000000" w:themeColor="text1"/>
          <w:sz w:val="24"/>
        </w:rPr>
        <w:t>因應</w:t>
      </w:r>
      <w:r w:rsidRPr="00E224E9">
        <w:rPr>
          <w:rFonts w:hint="eastAsia"/>
          <w:color w:val="000000" w:themeColor="text1"/>
          <w:sz w:val="24"/>
        </w:rPr>
        <w:t>IFRS</w:t>
      </w:r>
      <w:r w:rsidRPr="00E224E9">
        <w:rPr>
          <w:rFonts w:hint="eastAsia"/>
          <w:color w:val="000000" w:themeColor="text1"/>
          <w:sz w:val="24"/>
        </w:rPr>
        <w:t>之需求，評估再保險資產信用風險，蒐集再保險資產相關資料，且依據再保險人及帳齡區分為</w:t>
      </w:r>
      <w:r w:rsidRPr="00E224E9">
        <w:rPr>
          <w:rFonts w:hint="eastAsia"/>
          <w:color w:val="000000" w:themeColor="text1"/>
          <w:sz w:val="24"/>
        </w:rPr>
        <w:t>3</w:t>
      </w:r>
      <w:r w:rsidRPr="00E224E9">
        <w:rPr>
          <w:rFonts w:hint="eastAsia"/>
          <w:color w:val="000000" w:themeColor="text1"/>
          <w:sz w:val="24"/>
        </w:rPr>
        <w:t>個表。</w:t>
      </w:r>
    </w:p>
    <w:p w14:paraId="6089616A" w14:textId="77777777" w:rsidR="00065C53" w:rsidRPr="00E224E9" w:rsidRDefault="006606CB" w:rsidP="00F3152E">
      <w:pPr>
        <w:spacing w:line="440" w:lineRule="exact"/>
        <w:ind w:firstLineChars="218" w:firstLine="523"/>
        <w:rPr>
          <w:color w:val="000000" w:themeColor="text1"/>
          <w:sz w:val="24"/>
        </w:rPr>
      </w:pPr>
      <w:r w:rsidRPr="00E224E9">
        <w:rPr>
          <w:rFonts w:hint="eastAsia"/>
          <w:color w:val="000000" w:themeColor="text1"/>
          <w:sz w:val="24"/>
        </w:rPr>
        <w:t>「</w:t>
      </w:r>
      <w:r w:rsidR="00065C53" w:rsidRPr="00E224E9">
        <w:rPr>
          <w:rFonts w:hint="eastAsia"/>
          <w:color w:val="000000" w:themeColor="text1"/>
          <w:sz w:val="24"/>
        </w:rPr>
        <w:t>再保險資產表－再保人別</w:t>
      </w:r>
      <w:r w:rsidRPr="00E224E9">
        <w:rPr>
          <w:rFonts w:hint="eastAsia"/>
          <w:color w:val="000000" w:themeColor="text1"/>
          <w:sz w:val="24"/>
        </w:rPr>
        <w:t>」</w:t>
      </w:r>
      <w:r w:rsidR="00065C53" w:rsidRPr="00E224E9">
        <w:rPr>
          <w:rFonts w:hint="eastAsia"/>
          <w:color w:val="000000" w:themeColor="text1"/>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116AF681" w14:textId="77777777" w:rsidR="00065C53" w:rsidRPr="00E224E9" w:rsidRDefault="00065C53">
      <w:pPr>
        <w:rPr>
          <w:color w:val="000000" w:themeColor="text1"/>
          <w:sz w:val="24"/>
        </w:rPr>
      </w:pPr>
    </w:p>
    <w:p w14:paraId="4F7F61EB" w14:textId="77777777" w:rsidR="00065C53" w:rsidRPr="00E224E9" w:rsidRDefault="00065C53">
      <w:pPr>
        <w:rPr>
          <w:rFonts w:ascii="標楷體" w:hAnsi="標楷體"/>
          <w:color w:val="000000" w:themeColor="text1"/>
          <w:sz w:val="24"/>
        </w:rPr>
      </w:pPr>
      <w:r w:rsidRPr="00E224E9">
        <w:rPr>
          <w:rFonts w:hint="eastAsia"/>
          <w:color w:val="000000" w:themeColor="text1"/>
          <w:sz w:val="24"/>
        </w:rPr>
        <w:t>各欄位說明如下：</w:t>
      </w:r>
    </w:p>
    <w:p w14:paraId="64DC50E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Pr="00E224E9">
        <w:rPr>
          <w:rFonts w:ascii="Book Antiqua" w:hAnsi="Book Antiqua"/>
          <w:color w:val="000000" w:themeColor="text1"/>
          <w:sz w:val="24"/>
        </w:rPr>
        <w:t>1</w:t>
      </w:r>
      <w:r w:rsidRPr="00E224E9">
        <w:rPr>
          <w:rFonts w:ascii="標楷體" w:hAnsi="標楷體" w:hint="eastAsia"/>
          <w:color w:val="000000" w:themeColor="text1"/>
          <w:sz w:val="24"/>
        </w:rPr>
        <w:t>欄－</w:t>
      </w:r>
      <w:r w:rsidRPr="00E224E9">
        <w:rPr>
          <w:rFonts w:hint="eastAsia"/>
          <w:color w:val="000000" w:themeColor="text1"/>
          <w:sz w:val="24"/>
        </w:rPr>
        <w:t>再保險人</w:t>
      </w:r>
      <w:r w:rsidRPr="00E224E9">
        <w:rPr>
          <w:rFonts w:hint="eastAsia"/>
          <w:color w:val="000000" w:themeColor="text1"/>
          <w:sz w:val="24"/>
        </w:rPr>
        <w:t>_</w:t>
      </w:r>
      <w:r w:rsidRPr="00E224E9">
        <w:rPr>
          <w:rFonts w:hint="eastAsia"/>
          <w:color w:val="000000" w:themeColor="text1"/>
          <w:sz w:val="24"/>
        </w:rPr>
        <w:t>代號</w:t>
      </w:r>
    </w:p>
    <w:p w14:paraId="7318BAA1"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請填列所有有再保險資產的再保險人，代號由財團法人保險事業發展中心編列。</w:t>
      </w:r>
    </w:p>
    <w:p w14:paraId="16BCB75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2</w:t>
      </w:r>
      <w:r w:rsidRPr="00E224E9">
        <w:rPr>
          <w:rFonts w:ascii="Book Antiqua" w:hAnsi="Book Antiqua"/>
          <w:color w:val="000000" w:themeColor="text1"/>
          <w:sz w:val="24"/>
        </w:rPr>
        <w:t>欄－再保險人</w:t>
      </w:r>
      <w:r w:rsidRPr="00E224E9">
        <w:rPr>
          <w:rFonts w:ascii="Book Antiqua" w:hAnsi="Book Antiqua"/>
          <w:color w:val="000000" w:themeColor="text1"/>
          <w:sz w:val="24"/>
        </w:rPr>
        <w:t>_</w:t>
      </w:r>
      <w:r w:rsidRPr="00E224E9">
        <w:rPr>
          <w:rFonts w:ascii="Book Antiqua" w:hAnsi="Book Antiqua"/>
          <w:color w:val="000000" w:themeColor="text1"/>
          <w:sz w:val="24"/>
        </w:rPr>
        <w:t>名稱</w:t>
      </w:r>
    </w:p>
    <w:p w14:paraId="60D23A07"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請填列所有有再保險資產的再保險人，名稱由財團法人保險事業發展中心編列。</w:t>
      </w:r>
    </w:p>
    <w:p w14:paraId="7C090BE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3</w:t>
      </w:r>
      <w:r w:rsidRPr="00E224E9">
        <w:rPr>
          <w:rFonts w:ascii="Book Antiqua" w:hAnsi="Book Antiqua"/>
          <w:color w:val="000000" w:themeColor="text1"/>
          <w:sz w:val="24"/>
        </w:rPr>
        <w:t>欄－再保險人</w:t>
      </w:r>
      <w:r w:rsidRPr="00E224E9">
        <w:rPr>
          <w:rFonts w:ascii="Book Antiqua" w:hAnsi="Book Antiqua"/>
          <w:color w:val="000000" w:themeColor="text1"/>
          <w:sz w:val="24"/>
        </w:rPr>
        <w:t>_</w:t>
      </w:r>
      <w:r w:rsidRPr="00E224E9">
        <w:rPr>
          <w:rFonts w:ascii="Book Antiqua" w:hAnsi="Book Antiqua"/>
          <w:color w:val="000000" w:themeColor="text1"/>
          <w:sz w:val="24"/>
        </w:rPr>
        <w:t>信用評等機構</w:t>
      </w:r>
    </w:p>
    <w:p w14:paraId="021BD786" w14:textId="44FC707D"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請填列如</w:t>
      </w:r>
      <w:r w:rsidRPr="00E224E9">
        <w:rPr>
          <w:rFonts w:ascii="Book Antiqua" w:hAnsi="Book Antiqua"/>
          <w:color w:val="000000" w:themeColor="text1"/>
          <w:sz w:val="24"/>
        </w:rPr>
        <w:t>(A).S&amp;P</w:t>
      </w:r>
      <w:r w:rsidRPr="00E224E9">
        <w:rPr>
          <w:rFonts w:ascii="Book Antiqua" w:hAnsi="Book Antiqua"/>
          <w:color w:val="000000" w:themeColor="text1"/>
          <w:sz w:val="24"/>
        </w:rPr>
        <w:t>，</w:t>
      </w:r>
      <w:r w:rsidRPr="00E224E9">
        <w:rPr>
          <w:rFonts w:ascii="Book Antiqua" w:hAnsi="Book Antiqua"/>
          <w:color w:val="000000" w:themeColor="text1"/>
          <w:sz w:val="24"/>
        </w:rPr>
        <w:t>(B).AM Best</w:t>
      </w:r>
      <w:r w:rsidRPr="00E224E9">
        <w:rPr>
          <w:rFonts w:ascii="Book Antiqua" w:hAnsi="Book Antiqua"/>
          <w:color w:val="000000" w:themeColor="text1"/>
          <w:sz w:val="24"/>
        </w:rPr>
        <w:t>，</w:t>
      </w:r>
      <w:r w:rsidRPr="00E224E9">
        <w:rPr>
          <w:rFonts w:ascii="Book Antiqua" w:hAnsi="Book Antiqua"/>
          <w:color w:val="000000" w:themeColor="text1"/>
          <w:sz w:val="24"/>
        </w:rPr>
        <w:t>(C).Moody’s</w:t>
      </w:r>
      <w:r w:rsidRPr="00E224E9">
        <w:rPr>
          <w:rFonts w:ascii="Book Antiqua" w:hAnsi="Book Antiqua"/>
          <w:color w:val="000000" w:themeColor="text1"/>
          <w:sz w:val="24"/>
        </w:rPr>
        <w:t>，</w:t>
      </w:r>
      <w:r w:rsidRPr="00E224E9">
        <w:rPr>
          <w:rFonts w:ascii="Book Antiqua" w:hAnsi="Book Antiqua"/>
          <w:color w:val="000000" w:themeColor="text1"/>
          <w:sz w:val="24"/>
        </w:rPr>
        <w:t>(D).Fitch</w:t>
      </w:r>
      <w:r w:rsidRPr="00E224E9">
        <w:rPr>
          <w:rFonts w:ascii="Book Antiqua" w:hAnsi="Book Antiqua"/>
          <w:color w:val="000000" w:themeColor="text1"/>
          <w:sz w:val="24"/>
        </w:rPr>
        <w:t>，</w:t>
      </w:r>
      <w:r w:rsidRPr="00E224E9">
        <w:rPr>
          <w:rFonts w:ascii="Book Antiqua" w:hAnsi="Book Antiqua"/>
          <w:color w:val="000000" w:themeColor="text1"/>
          <w:sz w:val="24"/>
        </w:rPr>
        <w:t>(E).TW</w:t>
      </w:r>
      <w:r w:rsidRPr="00E224E9">
        <w:rPr>
          <w:rFonts w:ascii="Book Antiqua" w:hAnsi="Book Antiqua"/>
          <w:color w:val="000000" w:themeColor="text1"/>
          <w:sz w:val="24"/>
        </w:rPr>
        <w:t>，</w:t>
      </w:r>
      <w:r w:rsidRPr="00E224E9">
        <w:rPr>
          <w:rFonts w:ascii="Book Antiqua" w:hAnsi="Book Antiqua"/>
          <w:color w:val="000000" w:themeColor="text1"/>
          <w:sz w:val="24"/>
        </w:rPr>
        <w:t>(F).</w:t>
      </w:r>
      <w:r w:rsidR="00B556C3" w:rsidRPr="00E224E9">
        <w:rPr>
          <w:rFonts w:ascii="Book Antiqua" w:hAnsi="Book Antiqua"/>
          <w:color w:val="000000" w:themeColor="text1"/>
          <w:sz w:val="24"/>
        </w:rPr>
        <w:t xml:space="preserve"> KBRA</w:t>
      </w:r>
      <w:r w:rsidR="00B556C3" w:rsidRPr="00E224E9">
        <w:rPr>
          <w:rFonts w:ascii="Book Antiqua" w:hAnsi="Book Antiqua" w:hint="eastAsia"/>
          <w:color w:val="000000" w:themeColor="text1"/>
          <w:sz w:val="24"/>
        </w:rPr>
        <w:t>，</w:t>
      </w:r>
      <w:r w:rsidR="00B556C3" w:rsidRPr="00E224E9">
        <w:rPr>
          <w:rFonts w:ascii="Book Antiqua" w:hAnsi="Book Antiqua" w:hint="eastAsia"/>
          <w:color w:val="000000" w:themeColor="text1"/>
          <w:sz w:val="24"/>
        </w:rPr>
        <w:t>(G).</w:t>
      </w:r>
      <w:r w:rsidRPr="00E224E9">
        <w:rPr>
          <w:rFonts w:ascii="Book Antiqua" w:hAnsi="Book Antiqua"/>
          <w:color w:val="000000" w:themeColor="text1"/>
          <w:sz w:val="24"/>
        </w:rPr>
        <w:t>其他；若無，請填列「無」。</w:t>
      </w:r>
    </w:p>
    <w:p w14:paraId="0127E15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4</w:t>
      </w:r>
      <w:r w:rsidRPr="00E224E9">
        <w:rPr>
          <w:rFonts w:ascii="Book Antiqua" w:hAnsi="Book Antiqua"/>
          <w:color w:val="000000" w:themeColor="text1"/>
          <w:sz w:val="24"/>
        </w:rPr>
        <w:t>欄－再保險人</w:t>
      </w:r>
      <w:r w:rsidRPr="00E224E9">
        <w:rPr>
          <w:rFonts w:ascii="Book Antiqua" w:hAnsi="Book Antiqua"/>
          <w:color w:val="000000" w:themeColor="text1"/>
          <w:sz w:val="24"/>
        </w:rPr>
        <w:t>_</w:t>
      </w:r>
      <w:r w:rsidRPr="00E224E9">
        <w:rPr>
          <w:rFonts w:ascii="Book Antiqua" w:hAnsi="Book Antiqua"/>
          <w:color w:val="000000" w:themeColor="text1"/>
          <w:sz w:val="24"/>
        </w:rPr>
        <w:t>評等等級</w:t>
      </w:r>
    </w:p>
    <w:p w14:paraId="71FD4A4E"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本欄填列評等等級請依資產負債日時之最新信用評等機構評定填寫，若無信用評等者請填無。</w:t>
      </w:r>
    </w:p>
    <w:p w14:paraId="1D1898E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5</w:t>
      </w:r>
      <w:r w:rsidRPr="00E224E9">
        <w:rPr>
          <w:rFonts w:ascii="Book Antiqua" w:hAnsi="Book Antiqua"/>
          <w:color w:val="000000" w:themeColor="text1"/>
          <w:sz w:val="24"/>
        </w:rPr>
        <w:t>欄－應收再保往來款項</w:t>
      </w:r>
    </w:p>
    <w:p w14:paraId="53AEA56A"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(5a)</w:t>
      </w:r>
      <w:r w:rsidRPr="00E224E9">
        <w:rPr>
          <w:rFonts w:ascii="Book Antiqua" w:hAnsi="Book Antiqua"/>
          <w:color w:val="000000" w:themeColor="text1"/>
          <w:sz w:val="24"/>
        </w:rPr>
        <w:t>未催收：欄</w:t>
      </w:r>
      <w:r w:rsidRPr="00E224E9">
        <w:rPr>
          <w:rFonts w:ascii="Book Antiqua" w:hAnsi="Book Antiqua"/>
          <w:color w:val="000000" w:themeColor="text1"/>
          <w:sz w:val="24"/>
        </w:rPr>
        <w:t>(5a)</w:t>
      </w:r>
      <w:r w:rsidRPr="00E224E9">
        <w:rPr>
          <w:rFonts w:ascii="Book Antiqua" w:hAnsi="Book Antiqua"/>
          <w:color w:val="000000" w:themeColor="text1"/>
          <w:sz w:val="24"/>
        </w:rPr>
        <w:t>應與資產負債表之「應收再保往來款項」總數相符。</w:t>
      </w:r>
    </w:p>
    <w:p w14:paraId="6E0CC8FE"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(5b)</w:t>
      </w:r>
      <w:r w:rsidRPr="00E224E9">
        <w:rPr>
          <w:rFonts w:ascii="Book Antiqua" w:hAnsi="Book Antiqua"/>
          <w:color w:val="000000" w:themeColor="text1"/>
          <w:sz w:val="24"/>
        </w:rPr>
        <w:t>催收款項：帳齡超過</w:t>
      </w:r>
      <w:r w:rsidRPr="00E224E9">
        <w:rPr>
          <w:rFonts w:ascii="Book Antiqua" w:hAnsi="Book Antiqua"/>
          <w:color w:val="000000" w:themeColor="text1"/>
          <w:sz w:val="24"/>
        </w:rPr>
        <w:t>9</w:t>
      </w:r>
      <w:r w:rsidRPr="00E224E9">
        <w:rPr>
          <w:rFonts w:ascii="Book Antiqua" w:hAnsi="Book Antiqua"/>
          <w:color w:val="000000" w:themeColor="text1"/>
          <w:sz w:val="24"/>
        </w:rPr>
        <w:t>個月之部分，欄</w:t>
      </w:r>
      <w:r w:rsidRPr="00E224E9">
        <w:rPr>
          <w:rFonts w:ascii="Book Antiqua" w:hAnsi="Book Antiqua"/>
          <w:color w:val="000000" w:themeColor="text1"/>
          <w:sz w:val="24"/>
        </w:rPr>
        <w:t>(5b)</w:t>
      </w:r>
      <w:r w:rsidRPr="00E224E9">
        <w:rPr>
          <w:rFonts w:ascii="Book Antiqua" w:hAnsi="Book Antiqua"/>
          <w:color w:val="000000" w:themeColor="text1"/>
          <w:sz w:val="24"/>
        </w:rPr>
        <w:t>應與資產負債表之「應收再保往來款項</w:t>
      </w:r>
      <w:r w:rsidRPr="00E224E9">
        <w:rPr>
          <w:rFonts w:ascii="Book Antiqua" w:hAnsi="Book Antiqua"/>
          <w:color w:val="000000" w:themeColor="text1"/>
          <w:sz w:val="24"/>
        </w:rPr>
        <w:t>_</w:t>
      </w:r>
      <w:r w:rsidRPr="00E224E9">
        <w:rPr>
          <w:rFonts w:ascii="Book Antiqua" w:hAnsi="Book Antiqua"/>
          <w:color w:val="000000" w:themeColor="text1"/>
          <w:sz w:val="24"/>
        </w:rPr>
        <w:t>催收款」總數相符。</w:t>
      </w:r>
    </w:p>
    <w:p w14:paraId="7B87B148"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(5c)</w:t>
      </w:r>
      <w:r w:rsidRPr="00E224E9">
        <w:rPr>
          <w:rFonts w:ascii="Book Antiqua" w:hAnsi="Book Antiqua"/>
          <w:color w:val="000000" w:themeColor="text1"/>
          <w:sz w:val="24"/>
        </w:rPr>
        <w:t>備抵</w:t>
      </w:r>
      <w:r w:rsidR="006606CB" w:rsidRPr="00E224E9">
        <w:rPr>
          <w:rFonts w:ascii="Book Antiqua" w:hAnsi="Book Antiqua" w:hint="eastAsia"/>
          <w:color w:val="000000" w:themeColor="text1"/>
          <w:sz w:val="24"/>
        </w:rPr>
        <w:t>損失</w:t>
      </w:r>
      <w:r w:rsidRPr="00E224E9">
        <w:rPr>
          <w:rFonts w:ascii="Book Antiqua" w:hAnsi="Book Antiqua"/>
          <w:color w:val="000000" w:themeColor="text1"/>
          <w:sz w:val="24"/>
        </w:rPr>
        <w:t>_</w:t>
      </w:r>
      <w:r w:rsidRPr="00E224E9">
        <w:rPr>
          <w:rFonts w:ascii="Book Antiqua" w:hAnsi="Book Antiqua"/>
          <w:color w:val="000000" w:themeColor="text1"/>
          <w:sz w:val="24"/>
        </w:rPr>
        <w:t>未催收：欄</w:t>
      </w:r>
      <w:r w:rsidRPr="00E224E9">
        <w:rPr>
          <w:rFonts w:ascii="Book Antiqua" w:hAnsi="Book Antiqua"/>
          <w:color w:val="000000" w:themeColor="text1"/>
          <w:sz w:val="24"/>
        </w:rPr>
        <w:t>(5c)</w:t>
      </w:r>
      <w:r w:rsidRPr="00E224E9">
        <w:rPr>
          <w:rFonts w:ascii="Book Antiqua" w:hAnsi="Book Antiqua"/>
          <w:color w:val="000000" w:themeColor="text1"/>
          <w:sz w:val="24"/>
        </w:rPr>
        <w:t>應與資產負債表之「備抵</w:t>
      </w:r>
      <w:r w:rsidR="006606CB" w:rsidRPr="00E224E9">
        <w:rPr>
          <w:rFonts w:ascii="Book Antiqua" w:hAnsi="Book Antiqua" w:hint="eastAsia"/>
          <w:color w:val="000000" w:themeColor="text1"/>
          <w:sz w:val="24"/>
        </w:rPr>
        <w:t>損失</w:t>
      </w:r>
      <w:r w:rsidRPr="00E224E9">
        <w:rPr>
          <w:rFonts w:ascii="Book Antiqua" w:hAnsi="Book Antiqua"/>
          <w:color w:val="000000" w:themeColor="text1"/>
          <w:sz w:val="24"/>
        </w:rPr>
        <w:t>_</w:t>
      </w:r>
      <w:r w:rsidRPr="00E224E9">
        <w:rPr>
          <w:rFonts w:ascii="Book Antiqua" w:hAnsi="Book Antiqua"/>
          <w:color w:val="000000" w:themeColor="text1"/>
          <w:sz w:val="24"/>
        </w:rPr>
        <w:t>應收再保往來款項」總數相符。</w:t>
      </w:r>
    </w:p>
    <w:p w14:paraId="1FA8FE7C"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(5d)</w:t>
      </w:r>
      <w:r w:rsidRPr="00E224E9">
        <w:rPr>
          <w:rFonts w:ascii="Book Antiqua" w:hAnsi="Book Antiqua"/>
          <w:color w:val="000000" w:themeColor="text1"/>
          <w:sz w:val="24"/>
        </w:rPr>
        <w:t>備抵</w:t>
      </w:r>
      <w:r w:rsidR="006606CB" w:rsidRPr="00E224E9">
        <w:rPr>
          <w:rFonts w:ascii="Book Antiqua" w:hAnsi="Book Antiqua" w:hint="eastAsia"/>
          <w:color w:val="000000" w:themeColor="text1"/>
          <w:sz w:val="24"/>
        </w:rPr>
        <w:t>損失</w:t>
      </w:r>
      <w:r w:rsidRPr="00E224E9">
        <w:rPr>
          <w:rFonts w:ascii="Book Antiqua" w:hAnsi="Book Antiqua"/>
          <w:color w:val="000000" w:themeColor="text1"/>
          <w:sz w:val="24"/>
        </w:rPr>
        <w:t>_</w:t>
      </w:r>
      <w:r w:rsidRPr="00E224E9">
        <w:rPr>
          <w:rFonts w:ascii="Book Antiqua" w:hAnsi="Book Antiqua"/>
          <w:color w:val="000000" w:themeColor="text1"/>
          <w:sz w:val="24"/>
        </w:rPr>
        <w:t>催收款項：欄</w:t>
      </w:r>
      <w:r w:rsidRPr="00E224E9">
        <w:rPr>
          <w:rFonts w:ascii="Book Antiqua" w:hAnsi="Book Antiqua"/>
          <w:color w:val="000000" w:themeColor="text1"/>
          <w:sz w:val="24"/>
        </w:rPr>
        <w:t>(5d)</w:t>
      </w:r>
      <w:r w:rsidRPr="00E224E9">
        <w:rPr>
          <w:rFonts w:ascii="Book Antiqua" w:hAnsi="Book Antiqua"/>
          <w:color w:val="000000" w:themeColor="text1"/>
          <w:sz w:val="24"/>
        </w:rPr>
        <w:t>應與資產負債表之「備抵</w:t>
      </w:r>
      <w:r w:rsidR="006606CB" w:rsidRPr="00E224E9">
        <w:rPr>
          <w:rFonts w:ascii="Book Antiqua" w:hAnsi="Book Antiqua" w:hint="eastAsia"/>
          <w:color w:val="000000" w:themeColor="text1"/>
          <w:sz w:val="24"/>
        </w:rPr>
        <w:t>損失</w:t>
      </w:r>
      <w:r w:rsidRPr="00E224E9">
        <w:rPr>
          <w:rFonts w:ascii="Book Antiqua" w:hAnsi="Book Antiqua"/>
          <w:color w:val="000000" w:themeColor="text1"/>
          <w:sz w:val="24"/>
        </w:rPr>
        <w:t>-</w:t>
      </w:r>
      <w:r w:rsidRPr="00E224E9">
        <w:rPr>
          <w:rFonts w:ascii="Book Antiqua" w:hAnsi="Book Antiqua"/>
          <w:color w:val="000000" w:themeColor="text1"/>
          <w:sz w:val="24"/>
        </w:rPr>
        <w:t>應收再保往來款項</w:t>
      </w:r>
      <w:r w:rsidRPr="00E224E9">
        <w:rPr>
          <w:rFonts w:ascii="Book Antiqua" w:hAnsi="Book Antiqua"/>
          <w:color w:val="000000" w:themeColor="text1"/>
          <w:sz w:val="24"/>
        </w:rPr>
        <w:t>-</w:t>
      </w:r>
      <w:r w:rsidRPr="00E224E9">
        <w:rPr>
          <w:rFonts w:ascii="Book Antiqua" w:hAnsi="Book Antiqua"/>
          <w:color w:val="000000" w:themeColor="text1"/>
          <w:sz w:val="24"/>
        </w:rPr>
        <w:t>催收款」總數相符。</w:t>
      </w:r>
    </w:p>
    <w:p w14:paraId="3137A11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6</w:t>
      </w:r>
      <w:r w:rsidRPr="00E224E9">
        <w:rPr>
          <w:rFonts w:ascii="Book Antiqua" w:hAnsi="Book Antiqua"/>
          <w:color w:val="000000" w:themeColor="text1"/>
          <w:sz w:val="24"/>
        </w:rPr>
        <w:t>欄－應攤回再保賠款與給付</w:t>
      </w:r>
      <w:r w:rsidRPr="00E224E9">
        <w:rPr>
          <w:rFonts w:ascii="Book Antiqua" w:hAnsi="Book Antiqua"/>
          <w:color w:val="000000" w:themeColor="text1"/>
          <w:sz w:val="24"/>
        </w:rPr>
        <w:t>_</w:t>
      </w:r>
      <w:r w:rsidRPr="00E224E9">
        <w:rPr>
          <w:rFonts w:ascii="Book Antiqua" w:hAnsi="Book Antiqua"/>
          <w:color w:val="000000" w:themeColor="text1"/>
          <w:sz w:val="24"/>
        </w:rPr>
        <w:t>小計</w:t>
      </w:r>
    </w:p>
    <w:p w14:paraId="3E2C5C47" w14:textId="77777777" w:rsidR="00065C53" w:rsidRPr="00E224E9" w:rsidRDefault="00065C53">
      <w:pPr>
        <w:spacing w:line="440" w:lineRule="exact"/>
        <w:ind w:leftChars="301" w:left="783"/>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 xml:space="preserve">(6a) </w:t>
      </w:r>
      <w:r w:rsidRPr="00E224E9">
        <w:rPr>
          <w:rFonts w:ascii="Book Antiqua" w:hAnsi="Book Antiqua"/>
          <w:color w:val="000000" w:themeColor="text1"/>
          <w:sz w:val="24"/>
        </w:rPr>
        <w:t>未催收：欄</w:t>
      </w:r>
      <w:r w:rsidRPr="00E224E9">
        <w:rPr>
          <w:rFonts w:ascii="Book Antiqua" w:hAnsi="Book Antiqua"/>
          <w:color w:val="000000" w:themeColor="text1"/>
          <w:sz w:val="24"/>
        </w:rPr>
        <w:t>(6a)</w:t>
      </w:r>
      <w:r w:rsidRPr="00E224E9">
        <w:rPr>
          <w:rFonts w:ascii="Book Antiqua" w:hAnsi="Book Antiqua"/>
          <w:color w:val="000000" w:themeColor="text1"/>
          <w:sz w:val="24"/>
        </w:rPr>
        <w:t>應與資產負債表之「應攤回再保賠款與給付」總數相符。</w:t>
      </w:r>
    </w:p>
    <w:p w14:paraId="46DCF6F8" w14:textId="77777777" w:rsidR="00065C53" w:rsidRPr="00E224E9" w:rsidRDefault="00065C53">
      <w:pPr>
        <w:spacing w:line="440" w:lineRule="exact"/>
        <w:ind w:leftChars="301" w:left="783"/>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 xml:space="preserve">(6b) </w:t>
      </w:r>
      <w:r w:rsidRPr="00E224E9">
        <w:rPr>
          <w:rFonts w:ascii="Book Antiqua" w:hAnsi="Book Antiqua"/>
          <w:color w:val="000000" w:themeColor="text1"/>
          <w:sz w:val="24"/>
        </w:rPr>
        <w:t>催收款項：欄</w:t>
      </w:r>
      <w:r w:rsidRPr="00E224E9">
        <w:rPr>
          <w:rFonts w:ascii="Book Antiqua" w:hAnsi="Book Antiqua"/>
          <w:color w:val="000000" w:themeColor="text1"/>
          <w:sz w:val="24"/>
        </w:rPr>
        <w:t>(6b)</w:t>
      </w:r>
      <w:r w:rsidRPr="00E224E9">
        <w:rPr>
          <w:rFonts w:ascii="Book Antiqua" w:hAnsi="Book Antiqua"/>
          <w:color w:val="000000" w:themeColor="text1"/>
          <w:sz w:val="24"/>
        </w:rPr>
        <w:t>應與資產負債表之「</w:t>
      </w:r>
      <w:r w:rsidR="00A41705" w:rsidRPr="00E224E9">
        <w:rPr>
          <w:rFonts w:ascii="Book Antiqua" w:hAnsi="Book Antiqua" w:hint="eastAsia"/>
          <w:color w:val="000000" w:themeColor="text1"/>
          <w:sz w:val="24"/>
        </w:rPr>
        <w:t>應</w:t>
      </w:r>
      <w:r w:rsidRPr="00E224E9">
        <w:rPr>
          <w:rFonts w:ascii="Book Antiqua" w:hAnsi="Book Antiqua"/>
          <w:color w:val="000000" w:themeColor="text1"/>
          <w:sz w:val="24"/>
        </w:rPr>
        <w:t>攤回再保賠款與給付</w:t>
      </w:r>
      <w:r w:rsidRPr="00E224E9">
        <w:rPr>
          <w:rFonts w:ascii="Book Antiqua" w:hAnsi="Book Antiqua"/>
          <w:color w:val="000000" w:themeColor="text1"/>
          <w:sz w:val="24"/>
        </w:rPr>
        <w:t>_</w:t>
      </w:r>
      <w:r w:rsidRPr="00E224E9">
        <w:rPr>
          <w:rFonts w:ascii="Book Antiqua" w:hAnsi="Book Antiqua"/>
          <w:color w:val="000000" w:themeColor="text1"/>
          <w:sz w:val="24"/>
        </w:rPr>
        <w:t>催收款」總數相符。</w:t>
      </w:r>
    </w:p>
    <w:p w14:paraId="25FB6681" w14:textId="77777777" w:rsidR="00065C53" w:rsidRPr="00E224E9" w:rsidRDefault="00065C53">
      <w:pPr>
        <w:spacing w:line="440" w:lineRule="exact"/>
        <w:ind w:leftChars="301" w:left="783"/>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(6c)</w:t>
      </w:r>
      <w:r w:rsidRPr="00E224E9">
        <w:rPr>
          <w:rFonts w:ascii="Book Antiqua" w:hAnsi="Book Antiqua"/>
          <w:color w:val="000000" w:themeColor="text1"/>
          <w:sz w:val="24"/>
        </w:rPr>
        <w:t>備抵</w:t>
      </w:r>
      <w:r w:rsidR="006606CB" w:rsidRPr="00E224E9">
        <w:rPr>
          <w:rFonts w:ascii="Book Antiqua" w:hAnsi="Book Antiqua" w:hint="eastAsia"/>
          <w:color w:val="000000" w:themeColor="text1"/>
          <w:sz w:val="24"/>
        </w:rPr>
        <w:t>損失</w:t>
      </w:r>
      <w:r w:rsidRPr="00E224E9">
        <w:rPr>
          <w:rFonts w:ascii="Book Antiqua" w:hAnsi="Book Antiqua"/>
          <w:color w:val="000000" w:themeColor="text1"/>
          <w:sz w:val="24"/>
        </w:rPr>
        <w:t>_</w:t>
      </w:r>
      <w:r w:rsidRPr="00E224E9">
        <w:rPr>
          <w:rFonts w:ascii="Book Antiqua" w:hAnsi="Book Antiqua"/>
          <w:color w:val="000000" w:themeColor="text1"/>
          <w:sz w:val="24"/>
        </w:rPr>
        <w:t>未催收：欄</w:t>
      </w:r>
      <w:r w:rsidRPr="00E224E9">
        <w:rPr>
          <w:rFonts w:ascii="Book Antiqua" w:hAnsi="Book Antiqua"/>
          <w:color w:val="000000" w:themeColor="text1"/>
          <w:sz w:val="24"/>
        </w:rPr>
        <w:t>(6c)</w:t>
      </w:r>
      <w:r w:rsidRPr="00E224E9">
        <w:rPr>
          <w:rFonts w:ascii="Book Antiqua" w:hAnsi="Book Antiqua"/>
          <w:color w:val="000000" w:themeColor="text1"/>
          <w:sz w:val="24"/>
        </w:rPr>
        <w:t>應與資產負債表之「備抵</w:t>
      </w:r>
      <w:r w:rsidR="00CA4544" w:rsidRPr="00E224E9">
        <w:rPr>
          <w:rFonts w:ascii="Book Antiqua" w:hAnsi="Book Antiqua" w:hint="eastAsia"/>
          <w:color w:val="000000" w:themeColor="text1"/>
          <w:sz w:val="24"/>
        </w:rPr>
        <w:t>損失</w:t>
      </w:r>
      <w:r w:rsidRPr="00E224E9">
        <w:rPr>
          <w:rFonts w:ascii="Book Antiqua" w:hAnsi="Book Antiqua"/>
          <w:color w:val="000000" w:themeColor="text1"/>
          <w:sz w:val="24"/>
        </w:rPr>
        <w:t>_</w:t>
      </w:r>
      <w:r w:rsidRPr="00E224E9">
        <w:rPr>
          <w:rFonts w:ascii="Book Antiqua" w:hAnsi="Book Antiqua"/>
          <w:color w:val="000000" w:themeColor="text1"/>
          <w:sz w:val="24"/>
        </w:rPr>
        <w:t>應攤回再保賠款與給付」總數相符。</w:t>
      </w:r>
    </w:p>
    <w:p w14:paraId="3898379C" w14:textId="77777777" w:rsidR="00065C53" w:rsidRPr="00E224E9" w:rsidRDefault="00065C53">
      <w:pPr>
        <w:spacing w:line="440" w:lineRule="exact"/>
        <w:ind w:leftChars="301" w:left="783"/>
        <w:jc w:val="both"/>
        <w:rPr>
          <w:rFonts w:ascii="Book Antiqua" w:hAnsi="Book Antiqua"/>
          <w:color w:val="000000" w:themeColor="text1"/>
          <w:sz w:val="24"/>
        </w:rPr>
      </w:pPr>
      <w:r w:rsidRPr="00E224E9">
        <w:rPr>
          <w:rFonts w:ascii="Book Antiqua" w:hAnsi="Book Antiqua"/>
          <w:color w:val="000000" w:themeColor="text1"/>
          <w:sz w:val="24"/>
        </w:rPr>
        <w:lastRenderedPageBreak/>
        <w:t>欄</w:t>
      </w:r>
      <w:r w:rsidRPr="00E224E9">
        <w:rPr>
          <w:rFonts w:ascii="Book Antiqua" w:hAnsi="Book Antiqua"/>
          <w:color w:val="000000" w:themeColor="text1"/>
          <w:sz w:val="24"/>
        </w:rPr>
        <w:t>(6d)</w:t>
      </w:r>
      <w:r w:rsidRPr="00E224E9">
        <w:rPr>
          <w:rFonts w:ascii="Book Antiqua" w:hAnsi="Book Antiqua"/>
          <w:color w:val="000000" w:themeColor="text1"/>
          <w:sz w:val="24"/>
        </w:rPr>
        <w:t>備抵</w:t>
      </w:r>
      <w:r w:rsidR="00CA4544" w:rsidRPr="00E224E9">
        <w:rPr>
          <w:rFonts w:ascii="Book Antiqua" w:hAnsi="Book Antiqua" w:hint="eastAsia"/>
          <w:color w:val="000000" w:themeColor="text1"/>
          <w:sz w:val="24"/>
        </w:rPr>
        <w:t>損失</w:t>
      </w:r>
      <w:r w:rsidRPr="00E224E9">
        <w:rPr>
          <w:rFonts w:ascii="Book Antiqua" w:hAnsi="Book Antiqua"/>
          <w:color w:val="000000" w:themeColor="text1"/>
          <w:sz w:val="24"/>
        </w:rPr>
        <w:t>_</w:t>
      </w:r>
      <w:r w:rsidRPr="00E224E9">
        <w:rPr>
          <w:rFonts w:ascii="Book Antiqua" w:hAnsi="Book Antiqua"/>
          <w:color w:val="000000" w:themeColor="text1"/>
          <w:sz w:val="24"/>
        </w:rPr>
        <w:t>催收款項：欄</w:t>
      </w:r>
      <w:r w:rsidRPr="00E224E9">
        <w:rPr>
          <w:rFonts w:ascii="Book Antiqua" w:hAnsi="Book Antiqua"/>
          <w:color w:val="000000" w:themeColor="text1"/>
          <w:sz w:val="24"/>
        </w:rPr>
        <w:t>(6d)</w:t>
      </w:r>
      <w:r w:rsidRPr="00E224E9">
        <w:rPr>
          <w:rFonts w:ascii="Book Antiqua" w:hAnsi="Book Antiqua"/>
          <w:color w:val="000000" w:themeColor="text1"/>
          <w:sz w:val="24"/>
        </w:rPr>
        <w:t>應與資產負債表之「備抵</w:t>
      </w:r>
      <w:r w:rsidR="00CA4544" w:rsidRPr="00E224E9">
        <w:rPr>
          <w:rFonts w:ascii="Book Antiqua" w:hAnsi="Book Antiqua" w:hint="eastAsia"/>
          <w:color w:val="000000" w:themeColor="text1"/>
          <w:sz w:val="24"/>
        </w:rPr>
        <w:t>損失</w:t>
      </w:r>
      <w:r w:rsidRPr="00E224E9">
        <w:rPr>
          <w:rFonts w:ascii="Book Antiqua" w:hAnsi="Book Antiqua"/>
          <w:color w:val="000000" w:themeColor="text1"/>
          <w:sz w:val="24"/>
        </w:rPr>
        <w:t>-</w:t>
      </w:r>
      <w:r w:rsidRPr="00E224E9">
        <w:rPr>
          <w:rFonts w:ascii="Book Antiqua" w:hAnsi="Book Antiqua"/>
          <w:color w:val="000000" w:themeColor="text1"/>
          <w:sz w:val="24"/>
        </w:rPr>
        <w:t>應攤回再保賠款與給付</w:t>
      </w:r>
      <w:r w:rsidRPr="00E224E9">
        <w:rPr>
          <w:rFonts w:ascii="Book Antiqua" w:hAnsi="Book Antiqua"/>
          <w:color w:val="000000" w:themeColor="text1"/>
          <w:sz w:val="24"/>
        </w:rPr>
        <w:t>-</w:t>
      </w:r>
      <w:r w:rsidRPr="00E224E9">
        <w:rPr>
          <w:rFonts w:ascii="Book Antiqua" w:hAnsi="Book Antiqua"/>
          <w:color w:val="000000" w:themeColor="text1"/>
          <w:sz w:val="24"/>
        </w:rPr>
        <w:t>催收款」總數相符。</w:t>
      </w:r>
    </w:p>
    <w:p w14:paraId="429A1FD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7</w:t>
      </w:r>
      <w:r w:rsidRPr="00E224E9">
        <w:rPr>
          <w:rFonts w:ascii="Book Antiqua" w:hAnsi="Book Antiqua"/>
          <w:color w:val="000000" w:themeColor="text1"/>
          <w:sz w:val="24"/>
        </w:rPr>
        <w:t>欄－分出未滿期保費準備</w:t>
      </w:r>
    </w:p>
    <w:p w14:paraId="2DC4F9A3"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(7a)</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分出未滿期保費準備</w:t>
      </w:r>
      <w:r w:rsidRPr="00E224E9">
        <w:rPr>
          <w:rFonts w:ascii="Book Antiqua" w:hAnsi="Book Antiqua"/>
          <w:color w:val="000000" w:themeColor="text1"/>
          <w:sz w:val="24"/>
        </w:rPr>
        <w:t>_</w:t>
      </w:r>
      <w:r w:rsidRPr="00E224E9">
        <w:rPr>
          <w:rFonts w:ascii="Book Antiqua" w:hAnsi="Book Antiqua"/>
          <w:color w:val="000000" w:themeColor="text1"/>
          <w:sz w:val="24"/>
        </w:rPr>
        <w:t>總額：建議以再保險人別之再保費支出權重分配之，然公司可視實際情況選擇其他合適之分配方式，選擇本欄位合計數應與資產負債表之「分出未滿期保費準備」相符。</w:t>
      </w:r>
    </w:p>
    <w:p w14:paraId="78A9BD53"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(7b)</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分出未滿期保費準備</w:t>
      </w:r>
      <w:r w:rsidRPr="00E224E9">
        <w:rPr>
          <w:rFonts w:ascii="Book Antiqua" w:hAnsi="Book Antiqua"/>
          <w:color w:val="000000" w:themeColor="text1"/>
          <w:sz w:val="24"/>
        </w:rPr>
        <w:t>_</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：本欄位合計數應與資產負債表之「</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_</w:t>
      </w:r>
      <w:r w:rsidRPr="00E224E9">
        <w:rPr>
          <w:rFonts w:ascii="Book Antiqua" w:hAnsi="Book Antiqua"/>
          <w:color w:val="000000" w:themeColor="text1"/>
          <w:sz w:val="24"/>
        </w:rPr>
        <w:t>分出未滿期保費準備」相符。</w:t>
      </w:r>
    </w:p>
    <w:p w14:paraId="22D1149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8</w:t>
      </w:r>
      <w:r w:rsidRPr="00E224E9">
        <w:rPr>
          <w:rFonts w:ascii="Book Antiqua" w:hAnsi="Book Antiqua"/>
          <w:color w:val="000000" w:themeColor="text1"/>
          <w:sz w:val="24"/>
        </w:rPr>
        <w:t>欄－分出賠款準備</w:t>
      </w:r>
    </w:p>
    <w:p w14:paraId="4A0E9215"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(8a)</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分出賠款準備</w:t>
      </w:r>
      <w:r w:rsidRPr="00E224E9">
        <w:rPr>
          <w:rFonts w:ascii="Book Antiqua" w:hAnsi="Book Antiqua"/>
          <w:color w:val="000000" w:themeColor="text1"/>
          <w:sz w:val="24"/>
        </w:rPr>
        <w:t>_</w:t>
      </w:r>
      <w:r w:rsidRPr="00E224E9">
        <w:rPr>
          <w:rFonts w:ascii="Book Antiqua" w:hAnsi="Book Antiqua"/>
          <w:color w:val="000000" w:themeColor="text1"/>
          <w:sz w:val="24"/>
        </w:rPr>
        <w:t>已報未付：直接及再保分進業務未付之應攤回再保賠款，本欄位合計數應與資產負債表之「分出賠款準備</w:t>
      </w:r>
      <w:r w:rsidRPr="00E224E9">
        <w:rPr>
          <w:rFonts w:ascii="Book Antiqua" w:hAnsi="Book Antiqua"/>
          <w:color w:val="000000" w:themeColor="text1"/>
          <w:sz w:val="24"/>
        </w:rPr>
        <w:t>_</w:t>
      </w:r>
      <w:r w:rsidRPr="00E224E9">
        <w:rPr>
          <w:rFonts w:ascii="Book Antiqua" w:hAnsi="Book Antiqua"/>
          <w:color w:val="000000" w:themeColor="text1"/>
          <w:sz w:val="24"/>
        </w:rPr>
        <w:t>已報未付」合計相符。</w:t>
      </w:r>
    </w:p>
    <w:p w14:paraId="2C070B31"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(8b)</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分出賠款準備</w:t>
      </w:r>
      <w:r w:rsidRPr="00E224E9">
        <w:rPr>
          <w:rFonts w:ascii="Book Antiqua" w:hAnsi="Book Antiqua"/>
          <w:color w:val="000000" w:themeColor="text1"/>
          <w:sz w:val="24"/>
        </w:rPr>
        <w:t>_</w:t>
      </w:r>
      <w:r w:rsidRPr="00E224E9">
        <w:rPr>
          <w:rFonts w:ascii="Book Antiqua" w:hAnsi="Book Antiqua"/>
          <w:color w:val="000000" w:themeColor="text1"/>
          <w:sz w:val="24"/>
        </w:rPr>
        <w:t>未報：建議以分出賠款準備</w:t>
      </w:r>
      <w:r w:rsidRPr="00E224E9">
        <w:rPr>
          <w:rFonts w:ascii="Book Antiqua" w:hAnsi="Book Antiqua"/>
          <w:color w:val="000000" w:themeColor="text1"/>
          <w:sz w:val="24"/>
        </w:rPr>
        <w:t>_</w:t>
      </w:r>
      <w:r w:rsidRPr="00E224E9">
        <w:rPr>
          <w:rFonts w:ascii="Book Antiqua" w:hAnsi="Book Antiqua"/>
          <w:color w:val="000000" w:themeColor="text1"/>
          <w:sz w:val="24"/>
        </w:rPr>
        <w:t>已報未付之權重分配之，本欄位合計數應與資產負債表之「分出賠款準備</w:t>
      </w:r>
      <w:r w:rsidRPr="00E224E9">
        <w:rPr>
          <w:rFonts w:ascii="Book Antiqua" w:hAnsi="Book Antiqua"/>
          <w:color w:val="000000" w:themeColor="text1"/>
          <w:sz w:val="24"/>
        </w:rPr>
        <w:t>_</w:t>
      </w:r>
      <w:r w:rsidRPr="00E224E9">
        <w:rPr>
          <w:rFonts w:ascii="Book Antiqua" w:hAnsi="Book Antiqua"/>
          <w:color w:val="000000" w:themeColor="text1"/>
          <w:sz w:val="24"/>
        </w:rPr>
        <w:t>未報」相符。</w:t>
      </w:r>
    </w:p>
    <w:p w14:paraId="25452F4B"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(8c)</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分出賠款準備</w:t>
      </w:r>
      <w:r w:rsidRPr="00E224E9">
        <w:rPr>
          <w:rFonts w:ascii="Book Antiqua" w:hAnsi="Book Antiqua"/>
          <w:color w:val="000000" w:themeColor="text1"/>
          <w:sz w:val="24"/>
        </w:rPr>
        <w:t>_</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：本欄位合計數應與資產負債表之「</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_</w:t>
      </w:r>
      <w:r w:rsidRPr="00E224E9">
        <w:rPr>
          <w:rFonts w:ascii="Book Antiqua" w:hAnsi="Book Antiqua"/>
          <w:color w:val="000000" w:themeColor="text1"/>
          <w:sz w:val="24"/>
        </w:rPr>
        <w:t>分出賠款準備」相符。</w:t>
      </w:r>
    </w:p>
    <w:p w14:paraId="6A341793" w14:textId="77777777" w:rsidR="00065C53" w:rsidRPr="00E224E9" w:rsidRDefault="00065C53" w:rsidP="00A41705">
      <w:pPr>
        <w:spacing w:line="40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9</w:t>
      </w:r>
      <w:r w:rsidRPr="00E224E9">
        <w:rPr>
          <w:rFonts w:ascii="Book Antiqua" w:hAnsi="Book Antiqua"/>
          <w:color w:val="000000" w:themeColor="text1"/>
          <w:sz w:val="24"/>
        </w:rPr>
        <w:t>欄－分出責任準備</w:t>
      </w:r>
    </w:p>
    <w:p w14:paraId="6B795F9B"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(9a)</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分出責任準備</w:t>
      </w:r>
      <w:r w:rsidRPr="00E224E9">
        <w:rPr>
          <w:rFonts w:ascii="Book Antiqua" w:hAnsi="Book Antiqua"/>
          <w:color w:val="000000" w:themeColor="text1"/>
          <w:sz w:val="24"/>
        </w:rPr>
        <w:t>_</w:t>
      </w:r>
      <w:r w:rsidRPr="00E224E9">
        <w:rPr>
          <w:rFonts w:ascii="Book Antiqua" w:hAnsi="Book Antiqua"/>
          <w:color w:val="000000" w:themeColor="text1"/>
          <w:sz w:val="24"/>
        </w:rPr>
        <w:t>總額：建議以再保險人別之再保費支出權重分配之，然公司可視實際情況選擇其他合適之分配方式，本欄位合計數應與資產負債表之「分出責任準備」相符。</w:t>
      </w:r>
    </w:p>
    <w:p w14:paraId="2A55AB28"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(9b)</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分出責任準備</w:t>
      </w:r>
      <w:r w:rsidRPr="00E224E9">
        <w:rPr>
          <w:rFonts w:ascii="Book Antiqua" w:hAnsi="Book Antiqua"/>
          <w:color w:val="000000" w:themeColor="text1"/>
          <w:sz w:val="24"/>
        </w:rPr>
        <w:t>_</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：本欄位合計數應與資產負債表之「</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_</w:t>
      </w:r>
      <w:r w:rsidRPr="00E224E9">
        <w:rPr>
          <w:rFonts w:ascii="Book Antiqua" w:hAnsi="Book Antiqua"/>
          <w:color w:val="000000" w:themeColor="text1"/>
          <w:sz w:val="24"/>
        </w:rPr>
        <w:t>分出責任準備」相符。</w:t>
      </w:r>
    </w:p>
    <w:p w14:paraId="3393DC19" w14:textId="77777777" w:rsidR="00065C53" w:rsidRPr="00E224E9" w:rsidRDefault="00065C53" w:rsidP="00A41705">
      <w:pPr>
        <w:spacing w:line="40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10</w:t>
      </w:r>
      <w:r w:rsidRPr="00E224E9">
        <w:rPr>
          <w:rFonts w:ascii="Book Antiqua" w:hAnsi="Book Antiqua"/>
          <w:color w:val="000000" w:themeColor="text1"/>
          <w:sz w:val="24"/>
        </w:rPr>
        <w:t>欄－分出保費不足準備</w:t>
      </w:r>
    </w:p>
    <w:p w14:paraId="4A6F7842" w14:textId="77777777" w:rsidR="00065C53" w:rsidRPr="00E224E9" w:rsidRDefault="00065C53" w:rsidP="00A41705">
      <w:pPr>
        <w:spacing w:line="40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(10a)</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分出保費不足準備</w:t>
      </w:r>
      <w:r w:rsidRPr="00E224E9">
        <w:rPr>
          <w:rFonts w:ascii="Book Antiqua" w:hAnsi="Book Antiqua"/>
          <w:color w:val="000000" w:themeColor="text1"/>
          <w:sz w:val="24"/>
        </w:rPr>
        <w:t>_</w:t>
      </w:r>
      <w:r w:rsidRPr="00E224E9">
        <w:rPr>
          <w:rFonts w:ascii="Book Antiqua" w:hAnsi="Book Antiqua"/>
          <w:color w:val="000000" w:themeColor="text1"/>
          <w:sz w:val="24"/>
        </w:rPr>
        <w:t>總額：僅填列合計數，本欄位合計數應與資產負債表之「分出保費不足準備」相符。</w:t>
      </w:r>
    </w:p>
    <w:p w14:paraId="31655943" w14:textId="77777777" w:rsidR="00065C53" w:rsidRPr="00E224E9" w:rsidRDefault="00065C53" w:rsidP="00A41705">
      <w:pPr>
        <w:spacing w:line="40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(10b)</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分出保費不足準備</w:t>
      </w:r>
      <w:r w:rsidRPr="00E224E9">
        <w:rPr>
          <w:rFonts w:ascii="Book Antiqua" w:hAnsi="Book Antiqua"/>
          <w:color w:val="000000" w:themeColor="text1"/>
          <w:sz w:val="24"/>
        </w:rPr>
        <w:t>_</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：僅填列合計數，本欄位合計數應與資產負債表之「</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_</w:t>
      </w:r>
      <w:r w:rsidRPr="00E224E9">
        <w:rPr>
          <w:rFonts w:ascii="Book Antiqua" w:hAnsi="Book Antiqua"/>
          <w:color w:val="000000" w:themeColor="text1"/>
          <w:sz w:val="24"/>
        </w:rPr>
        <w:t>分出保費不足準備」相符。</w:t>
      </w:r>
    </w:p>
    <w:p w14:paraId="181E3EA7" w14:textId="77777777" w:rsidR="00065C53" w:rsidRPr="00E224E9" w:rsidRDefault="00065C53" w:rsidP="00A41705">
      <w:pPr>
        <w:spacing w:line="40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11</w:t>
      </w:r>
      <w:r w:rsidRPr="00E224E9">
        <w:rPr>
          <w:rFonts w:ascii="Book Antiqua" w:hAnsi="Book Antiqua"/>
          <w:color w:val="000000" w:themeColor="text1"/>
          <w:sz w:val="24"/>
        </w:rPr>
        <w:t>欄－分出負債適足準備</w:t>
      </w:r>
    </w:p>
    <w:p w14:paraId="5B5641F1"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(11a)</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分出負債適足準備</w:t>
      </w:r>
      <w:r w:rsidRPr="00E224E9">
        <w:rPr>
          <w:rFonts w:ascii="Book Antiqua" w:hAnsi="Book Antiqua"/>
          <w:color w:val="000000" w:themeColor="text1"/>
          <w:sz w:val="24"/>
        </w:rPr>
        <w:t>_</w:t>
      </w:r>
      <w:r w:rsidRPr="00E224E9">
        <w:rPr>
          <w:rFonts w:ascii="Book Antiqua" w:hAnsi="Book Antiqua"/>
          <w:color w:val="000000" w:themeColor="text1"/>
          <w:sz w:val="24"/>
        </w:rPr>
        <w:t>總額：僅填列合計數，本欄位合計數應與資產負債表之「分出負債適足準備」相符。</w:t>
      </w:r>
    </w:p>
    <w:p w14:paraId="172C9A03"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(11b)</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分出負債適足準備</w:t>
      </w:r>
      <w:r w:rsidRPr="00E224E9">
        <w:rPr>
          <w:rFonts w:ascii="Book Antiqua" w:hAnsi="Book Antiqua"/>
          <w:color w:val="000000" w:themeColor="text1"/>
          <w:sz w:val="24"/>
        </w:rPr>
        <w:t>_</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：僅填列合計數，本欄位合計數應與資產負債表之「</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_</w:t>
      </w:r>
      <w:r w:rsidRPr="00E224E9">
        <w:rPr>
          <w:rFonts w:ascii="Book Antiqua" w:hAnsi="Book Antiqua"/>
          <w:color w:val="000000" w:themeColor="text1"/>
          <w:sz w:val="24"/>
        </w:rPr>
        <w:t>分出負債適足準備」相符。</w:t>
      </w:r>
    </w:p>
    <w:p w14:paraId="251D284D" w14:textId="77777777" w:rsidR="00065C53" w:rsidRPr="00E224E9" w:rsidRDefault="00065C53" w:rsidP="00F3152E">
      <w:pPr>
        <w:pStyle w:val="1"/>
        <w:pageBreakBefore/>
        <w:spacing w:after="120" w:line="440" w:lineRule="exact"/>
        <w:jc w:val="both"/>
        <w:rPr>
          <w:color w:val="000000" w:themeColor="text1"/>
        </w:rPr>
      </w:pPr>
      <w:bookmarkStart w:id="83" w:name="_Toc200468534"/>
      <w:r w:rsidRPr="00E224E9">
        <w:rPr>
          <w:rFonts w:hint="eastAsia"/>
          <w:color w:val="000000" w:themeColor="text1"/>
        </w:rPr>
        <w:lastRenderedPageBreak/>
        <w:t>表19-6：再保險資產－帳齡分析(應攤回再保賠款與給付)</w:t>
      </w:r>
      <w:bookmarkEnd w:id="83"/>
      <w:r w:rsidRPr="00E224E9">
        <w:rPr>
          <w:rFonts w:hint="eastAsia"/>
          <w:color w:val="000000" w:themeColor="text1"/>
        </w:rPr>
        <w:t xml:space="preserve"> </w:t>
      </w:r>
    </w:p>
    <w:p w14:paraId="6A9FE930" w14:textId="77777777" w:rsidR="00065C53" w:rsidRPr="00E224E9" w:rsidRDefault="00065C53" w:rsidP="00F3152E">
      <w:pPr>
        <w:spacing w:line="440" w:lineRule="exact"/>
        <w:ind w:firstLineChars="218" w:firstLine="523"/>
        <w:rPr>
          <w:color w:val="000000" w:themeColor="text1"/>
          <w:sz w:val="24"/>
        </w:rPr>
      </w:pPr>
      <w:r w:rsidRPr="00E224E9">
        <w:rPr>
          <w:rFonts w:hint="eastAsia"/>
          <w:color w:val="000000" w:themeColor="text1"/>
          <w:sz w:val="24"/>
        </w:rPr>
        <w:t>因應</w:t>
      </w:r>
      <w:r w:rsidRPr="00E224E9">
        <w:rPr>
          <w:rFonts w:hint="eastAsia"/>
          <w:color w:val="000000" w:themeColor="text1"/>
          <w:sz w:val="24"/>
        </w:rPr>
        <w:t>IFRS</w:t>
      </w:r>
      <w:r w:rsidRPr="00E224E9">
        <w:rPr>
          <w:rFonts w:hint="eastAsia"/>
          <w:color w:val="000000" w:themeColor="text1"/>
          <w:sz w:val="24"/>
        </w:rPr>
        <w:t>之需求，評估再保險資產信用風險，蒐集再保險資產相關資料，且依據再保險人及帳齡區分為</w:t>
      </w:r>
      <w:r w:rsidRPr="00E224E9">
        <w:rPr>
          <w:rFonts w:hint="eastAsia"/>
          <w:color w:val="000000" w:themeColor="text1"/>
          <w:sz w:val="24"/>
        </w:rPr>
        <w:t>3</w:t>
      </w:r>
      <w:r w:rsidRPr="00E224E9">
        <w:rPr>
          <w:rFonts w:hint="eastAsia"/>
          <w:color w:val="000000" w:themeColor="text1"/>
          <w:sz w:val="24"/>
        </w:rPr>
        <w:t>個表。</w:t>
      </w:r>
    </w:p>
    <w:p w14:paraId="13C1C0C4" w14:textId="77777777" w:rsidR="00065C53" w:rsidRPr="00E224E9" w:rsidRDefault="00CA4544" w:rsidP="00F3152E">
      <w:pPr>
        <w:spacing w:line="440" w:lineRule="exact"/>
        <w:ind w:firstLineChars="218" w:firstLine="523"/>
        <w:rPr>
          <w:color w:val="000000" w:themeColor="text1"/>
          <w:sz w:val="24"/>
        </w:rPr>
      </w:pPr>
      <w:r w:rsidRPr="00E224E9" w:rsidDel="00CA4544">
        <w:rPr>
          <w:rFonts w:hint="eastAsia"/>
          <w:color w:val="000000" w:themeColor="text1"/>
          <w:sz w:val="24"/>
        </w:rPr>
        <w:t xml:space="preserve"> </w:t>
      </w:r>
      <w:r w:rsidRPr="00E224E9">
        <w:rPr>
          <w:rFonts w:hint="eastAsia"/>
          <w:color w:val="000000" w:themeColor="text1"/>
          <w:sz w:val="24"/>
        </w:rPr>
        <w:t>「</w:t>
      </w:r>
      <w:r w:rsidR="00065C53" w:rsidRPr="00E224E9">
        <w:rPr>
          <w:rFonts w:hint="eastAsia"/>
          <w:color w:val="000000" w:themeColor="text1"/>
          <w:sz w:val="24"/>
        </w:rPr>
        <w:t>再保險資產表－帳齡分析</w:t>
      </w:r>
      <w:r w:rsidRPr="00E224E9">
        <w:rPr>
          <w:rFonts w:hint="eastAsia"/>
          <w:color w:val="000000" w:themeColor="text1"/>
          <w:sz w:val="24"/>
        </w:rPr>
        <w:t>」</w:t>
      </w:r>
      <w:r w:rsidR="00065C53" w:rsidRPr="00E224E9">
        <w:rPr>
          <w:rFonts w:hint="eastAsia"/>
          <w:color w:val="000000" w:themeColor="text1"/>
          <w:sz w:val="24"/>
        </w:rPr>
        <w:t>將再保險資產之應收再保往來款項及已付之應攤回再保賠款與給付區分</w:t>
      </w:r>
      <w:r w:rsidR="00065C53" w:rsidRPr="00E224E9">
        <w:rPr>
          <w:rFonts w:hint="eastAsia"/>
          <w:color w:val="000000" w:themeColor="text1"/>
          <w:sz w:val="24"/>
        </w:rPr>
        <w:t>2</w:t>
      </w:r>
      <w:r w:rsidR="00065C53" w:rsidRPr="00E224E9">
        <w:rPr>
          <w:rFonts w:hint="eastAsia"/>
          <w:color w:val="000000" w:themeColor="text1"/>
          <w:sz w:val="24"/>
        </w:rPr>
        <w:t>個表並依據帳齡拆分。</w:t>
      </w:r>
    </w:p>
    <w:p w14:paraId="0B0CC904" w14:textId="77777777" w:rsidR="00065C53" w:rsidRPr="00E224E9" w:rsidRDefault="00065C53">
      <w:pPr>
        <w:rPr>
          <w:color w:val="000000" w:themeColor="text1"/>
          <w:sz w:val="24"/>
        </w:rPr>
      </w:pPr>
    </w:p>
    <w:p w14:paraId="04885F92" w14:textId="77777777" w:rsidR="00065C53" w:rsidRPr="00E224E9" w:rsidRDefault="00065C53">
      <w:pPr>
        <w:rPr>
          <w:rFonts w:ascii="標楷體" w:hAnsi="標楷體"/>
          <w:color w:val="000000" w:themeColor="text1"/>
          <w:sz w:val="24"/>
        </w:rPr>
      </w:pPr>
      <w:r w:rsidRPr="00E224E9">
        <w:rPr>
          <w:rFonts w:hint="eastAsia"/>
          <w:color w:val="000000" w:themeColor="text1"/>
          <w:sz w:val="24"/>
        </w:rPr>
        <w:t>各欄位說明如下：</w:t>
      </w:r>
    </w:p>
    <w:p w14:paraId="7EC7119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第1欄－</w:t>
      </w:r>
      <w:r w:rsidRPr="00E224E9">
        <w:rPr>
          <w:rFonts w:hint="eastAsia"/>
          <w:color w:val="000000" w:themeColor="text1"/>
          <w:sz w:val="24"/>
        </w:rPr>
        <w:t>再保險人</w:t>
      </w:r>
      <w:r w:rsidRPr="00E224E9">
        <w:rPr>
          <w:rFonts w:hint="eastAsia"/>
          <w:color w:val="000000" w:themeColor="text1"/>
          <w:sz w:val="24"/>
        </w:rPr>
        <w:t>_</w:t>
      </w:r>
      <w:r w:rsidRPr="00E224E9">
        <w:rPr>
          <w:rFonts w:hint="eastAsia"/>
          <w:color w:val="000000" w:themeColor="text1"/>
          <w:sz w:val="24"/>
        </w:rPr>
        <w:t>代號</w:t>
      </w:r>
    </w:p>
    <w:p w14:paraId="35FADED8"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hint="eastAsia"/>
          <w:color w:val="000000" w:themeColor="text1"/>
          <w:sz w:val="24"/>
        </w:rPr>
        <w:t>請填列所有有再保險資產的再保險人，代號由財團法人保險事業發展中心編列。</w:t>
      </w:r>
    </w:p>
    <w:p w14:paraId="7443CA3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w:t>
      </w:r>
      <w:r w:rsidRPr="00E224E9">
        <w:rPr>
          <w:rFonts w:hint="eastAsia"/>
          <w:color w:val="000000" w:themeColor="text1"/>
          <w:sz w:val="24"/>
        </w:rPr>
        <w:t>再保險人</w:t>
      </w:r>
      <w:r w:rsidRPr="00E224E9">
        <w:rPr>
          <w:rFonts w:hint="eastAsia"/>
          <w:color w:val="000000" w:themeColor="text1"/>
          <w:sz w:val="24"/>
        </w:rPr>
        <w:t>_</w:t>
      </w:r>
      <w:r w:rsidRPr="00E224E9">
        <w:rPr>
          <w:rFonts w:hint="eastAsia"/>
          <w:color w:val="000000" w:themeColor="text1"/>
          <w:sz w:val="24"/>
        </w:rPr>
        <w:t>名稱</w:t>
      </w:r>
    </w:p>
    <w:p w14:paraId="67B1F107" w14:textId="77777777" w:rsidR="00065C53" w:rsidRPr="00E224E9" w:rsidRDefault="00065C53">
      <w:pPr>
        <w:spacing w:line="440" w:lineRule="exact"/>
        <w:ind w:leftChars="276" w:left="718"/>
        <w:jc w:val="both"/>
        <w:rPr>
          <w:color w:val="000000" w:themeColor="text1"/>
          <w:sz w:val="24"/>
        </w:rPr>
      </w:pPr>
      <w:r w:rsidRPr="00E224E9">
        <w:rPr>
          <w:rFonts w:hint="eastAsia"/>
          <w:color w:val="000000" w:themeColor="text1"/>
          <w:sz w:val="24"/>
        </w:rPr>
        <w:t>請填列所有有再保險資產的再保險人，名稱由財團法人保險事業發展中心編列。</w:t>
      </w:r>
    </w:p>
    <w:p w14:paraId="3078915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第3欄至第10欄－</w:t>
      </w:r>
      <w:r w:rsidRPr="00E224E9">
        <w:rPr>
          <w:rFonts w:hint="eastAsia"/>
          <w:color w:val="000000" w:themeColor="text1"/>
        </w:rPr>
        <w:t>清償期間</w:t>
      </w:r>
    </w:p>
    <w:p w14:paraId="1C6D148C" w14:textId="77777777" w:rsidR="00065C53" w:rsidRPr="00E224E9" w:rsidRDefault="00065C53">
      <w:pPr>
        <w:spacing w:line="440" w:lineRule="exact"/>
        <w:ind w:leftChars="276" w:left="718"/>
        <w:jc w:val="both"/>
        <w:rPr>
          <w:color w:val="000000" w:themeColor="text1"/>
          <w:sz w:val="24"/>
        </w:rPr>
      </w:pPr>
      <w:r w:rsidRPr="00E224E9">
        <w:rPr>
          <w:rFonts w:ascii="標楷體" w:hAnsi="標楷體" w:hint="eastAsia"/>
          <w:color w:val="000000" w:themeColor="text1"/>
          <w:sz w:val="24"/>
        </w:rPr>
        <w:t>現行民國100年建議依據</w:t>
      </w:r>
      <w:r w:rsidRPr="00E224E9">
        <w:rPr>
          <w:rFonts w:ascii="標楷體" w:hAnsi="標楷體"/>
          <w:color w:val="000000" w:themeColor="text1"/>
          <w:sz w:val="24"/>
        </w:rPr>
        <w:t>保險業資產評估及逾期放款催收款呆帳處理辦法</w:t>
      </w:r>
      <w:r w:rsidRPr="00E224E9">
        <w:rPr>
          <w:rFonts w:ascii="標楷體" w:hAnsi="標楷體" w:hint="eastAsia"/>
          <w:color w:val="000000" w:themeColor="text1"/>
          <w:sz w:val="24"/>
        </w:rPr>
        <w:t>第十九及二十條處理。</w:t>
      </w:r>
      <w:r w:rsidRPr="00E224E9">
        <w:rPr>
          <w:rFonts w:ascii="標楷體" w:hAnsi="標楷體" w:hint="eastAsia"/>
          <w:color w:val="000000" w:themeColor="text1"/>
          <w:sz w:val="24"/>
          <w:u w:val="single"/>
        </w:rPr>
        <w:t>未來</w:t>
      </w:r>
      <w:r w:rsidRPr="00E224E9">
        <w:rPr>
          <w:rFonts w:ascii="標楷體" w:hAnsi="標楷體" w:hint="eastAsia"/>
          <w:color w:val="000000" w:themeColor="text1"/>
          <w:sz w:val="24"/>
        </w:rPr>
        <w:t>建議</w:t>
      </w:r>
      <w:r w:rsidRPr="00E224E9">
        <w:rPr>
          <w:rFonts w:hint="eastAsia"/>
          <w:color w:val="000000" w:themeColor="text1"/>
          <w:sz w:val="24"/>
        </w:rPr>
        <w:t>應攤回再保賠款與給付除再保險契約另有訂定外，採用保險賠款給付日為清償日期。應收再保往來款項除再保險契約另有訂定外，採用入帳日為清償日期。</w:t>
      </w:r>
    </w:p>
    <w:p w14:paraId="1FB9F31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第11欄至第12欄－爭議款項</w:t>
      </w:r>
    </w:p>
    <w:p w14:paraId="3BAF5D9F" w14:textId="77777777" w:rsidR="00065C53" w:rsidRPr="00E224E9" w:rsidRDefault="00065C53">
      <w:pPr>
        <w:spacing w:line="440" w:lineRule="exact"/>
        <w:ind w:leftChars="276" w:left="718"/>
        <w:jc w:val="both"/>
        <w:rPr>
          <w:color w:val="000000" w:themeColor="text1"/>
          <w:sz w:val="24"/>
        </w:rPr>
      </w:pPr>
      <w:r w:rsidRPr="00E224E9">
        <w:rPr>
          <w:rFonts w:ascii="標楷體" w:hAnsi="標楷體" w:hint="eastAsia"/>
          <w:color w:val="000000" w:themeColor="text1"/>
          <w:sz w:val="24"/>
        </w:rPr>
        <w:t>因逾清償日期期間以清償日期為起算點，故區分為6個月以下及6個月以上。</w:t>
      </w:r>
    </w:p>
    <w:p w14:paraId="51A7734E" w14:textId="77777777" w:rsidR="00065C53" w:rsidRPr="00E224E9" w:rsidRDefault="00065C53">
      <w:pPr>
        <w:spacing w:line="440" w:lineRule="exact"/>
        <w:ind w:leftChars="276" w:left="718"/>
        <w:jc w:val="both"/>
        <w:rPr>
          <w:color w:val="000000" w:themeColor="text1"/>
          <w:sz w:val="24"/>
        </w:rPr>
      </w:pPr>
    </w:p>
    <w:p w14:paraId="1FFF494F" w14:textId="77777777" w:rsidR="00065C53" w:rsidRPr="00E224E9" w:rsidRDefault="00065C53">
      <w:pPr>
        <w:spacing w:line="440" w:lineRule="exact"/>
        <w:ind w:leftChars="276" w:left="718"/>
        <w:jc w:val="both"/>
        <w:rPr>
          <w:color w:val="000000" w:themeColor="text1"/>
          <w:sz w:val="24"/>
        </w:rPr>
      </w:pPr>
    </w:p>
    <w:p w14:paraId="1FAC2A9A" w14:textId="77777777" w:rsidR="00065C53" w:rsidRPr="00E224E9" w:rsidRDefault="00065C53">
      <w:pPr>
        <w:spacing w:line="440" w:lineRule="exact"/>
        <w:ind w:leftChars="276" w:left="718"/>
        <w:jc w:val="both"/>
        <w:rPr>
          <w:rFonts w:ascii="標楷體" w:hAnsi="標楷體"/>
          <w:color w:val="000000" w:themeColor="text1"/>
          <w:sz w:val="24"/>
        </w:rPr>
      </w:pPr>
    </w:p>
    <w:p w14:paraId="2AEB13B0" w14:textId="77777777" w:rsidR="00065C53" w:rsidRPr="00E224E9" w:rsidRDefault="00065C53" w:rsidP="00F3152E">
      <w:pPr>
        <w:pStyle w:val="1"/>
        <w:pageBreakBefore/>
        <w:spacing w:after="120" w:line="440" w:lineRule="exact"/>
        <w:jc w:val="both"/>
        <w:rPr>
          <w:color w:val="000000" w:themeColor="text1"/>
        </w:rPr>
      </w:pPr>
      <w:bookmarkStart w:id="84" w:name="_Toc200468535"/>
      <w:r w:rsidRPr="00E224E9">
        <w:rPr>
          <w:rFonts w:hint="eastAsia"/>
          <w:color w:val="000000" w:themeColor="text1"/>
        </w:rPr>
        <w:lastRenderedPageBreak/>
        <w:t>表19-7：再保險資產－帳齡分析(應收再保往來款項)</w:t>
      </w:r>
      <w:bookmarkEnd w:id="84"/>
      <w:r w:rsidRPr="00E224E9">
        <w:rPr>
          <w:rFonts w:hint="eastAsia"/>
          <w:color w:val="000000" w:themeColor="text1"/>
        </w:rPr>
        <w:t xml:space="preserve"> </w:t>
      </w:r>
    </w:p>
    <w:p w14:paraId="175F1431" w14:textId="77777777" w:rsidR="00CA4544" w:rsidRPr="00E224E9" w:rsidRDefault="00CA4544" w:rsidP="00CA4544">
      <w:pPr>
        <w:spacing w:line="440" w:lineRule="exact"/>
        <w:ind w:firstLineChars="218" w:firstLine="523"/>
        <w:rPr>
          <w:color w:val="000000" w:themeColor="text1"/>
          <w:sz w:val="24"/>
        </w:rPr>
      </w:pPr>
      <w:r w:rsidRPr="00E224E9">
        <w:rPr>
          <w:rFonts w:hint="eastAsia"/>
          <w:color w:val="000000" w:themeColor="text1"/>
          <w:sz w:val="24"/>
        </w:rPr>
        <w:t>因應</w:t>
      </w:r>
      <w:r w:rsidRPr="00E224E9">
        <w:rPr>
          <w:rFonts w:hint="eastAsia"/>
          <w:color w:val="000000" w:themeColor="text1"/>
          <w:sz w:val="24"/>
        </w:rPr>
        <w:t>IFRS</w:t>
      </w:r>
      <w:r w:rsidRPr="00E224E9">
        <w:rPr>
          <w:rFonts w:hint="eastAsia"/>
          <w:color w:val="000000" w:themeColor="text1"/>
          <w:sz w:val="24"/>
        </w:rPr>
        <w:t>之需求，評估再保險資產信用風險，蒐集再保險資產相關資料，且依據再保險人及帳齡區分為</w:t>
      </w:r>
      <w:r w:rsidRPr="00E224E9">
        <w:rPr>
          <w:rFonts w:hint="eastAsia"/>
          <w:color w:val="000000" w:themeColor="text1"/>
          <w:sz w:val="24"/>
        </w:rPr>
        <w:t>3</w:t>
      </w:r>
      <w:r w:rsidRPr="00E224E9">
        <w:rPr>
          <w:rFonts w:hint="eastAsia"/>
          <w:color w:val="000000" w:themeColor="text1"/>
          <w:sz w:val="24"/>
        </w:rPr>
        <w:t>個表。</w:t>
      </w:r>
    </w:p>
    <w:p w14:paraId="359659B1" w14:textId="77777777" w:rsidR="00CA4544" w:rsidRPr="00E224E9" w:rsidRDefault="00CA4544" w:rsidP="00CA4544">
      <w:pPr>
        <w:spacing w:line="440" w:lineRule="exact"/>
        <w:ind w:firstLineChars="218" w:firstLine="523"/>
        <w:rPr>
          <w:color w:val="000000" w:themeColor="text1"/>
          <w:sz w:val="24"/>
        </w:rPr>
      </w:pPr>
      <w:r w:rsidRPr="00E224E9" w:rsidDel="00CA4544">
        <w:rPr>
          <w:rFonts w:hint="eastAsia"/>
          <w:color w:val="000000" w:themeColor="text1"/>
          <w:sz w:val="24"/>
        </w:rPr>
        <w:t xml:space="preserve"> </w:t>
      </w:r>
      <w:r w:rsidRPr="00E224E9">
        <w:rPr>
          <w:rFonts w:hint="eastAsia"/>
          <w:color w:val="000000" w:themeColor="text1"/>
          <w:sz w:val="24"/>
        </w:rPr>
        <w:t>「再保險資產表－帳齡分析」將再保險資產之應收再保往來款項及已付之應攤回再保賠款與給付區分</w:t>
      </w:r>
      <w:r w:rsidRPr="00E224E9">
        <w:rPr>
          <w:rFonts w:hint="eastAsia"/>
          <w:color w:val="000000" w:themeColor="text1"/>
          <w:sz w:val="24"/>
        </w:rPr>
        <w:t>2</w:t>
      </w:r>
      <w:r w:rsidRPr="00E224E9">
        <w:rPr>
          <w:rFonts w:hint="eastAsia"/>
          <w:color w:val="000000" w:themeColor="text1"/>
          <w:sz w:val="24"/>
        </w:rPr>
        <w:t>個表並依據帳齡拆分。</w:t>
      </w:r>
    </w:p>
    <w:p w14:paraId="63FBB67D" w14:textId="77777777" w:rsidR="00065C53" w:rsidRPr="00E224E9" w:rsidRDefault="00065C53">
      <w:pPr>
        <w:rPr>
          <w:color w:val="000000" w:themeColor="text1"/>
          <w:sz w:val="24"/>
        </w:rPr>
      </w:pPr>
    </w:p>
    <w:p w14:paraId="4A94B56C" w14:textId="77777777" w:rsidR="00065C53" w:rsidRPr="00E224E9" w:rsidRDefault="00065C53">
      <w:pPr>
        <w:rPr>
          <w:rFonts w:ascii="標楷體" w:hAnsi="標楷體"/>
          <w:color w:val="000000" w:themeColor="text1"/>
          <w:sz w:val="24"/>
        </w:rPr>
      </w:pPr>
      <w:r w:rsidRPr="00E224E9">
        <w:rPr>
          <w:rFonts w:hint="eastAsia"/>
          <w:color w:val="000000" w:themeColor="text1"/>
          <w:sz w:val="24"/>
        </w:rPr>
        <w:t>各欄位說明如下：</w:t>
      </w:r>
    </w:p>
    <w:p w14:paraId="4600CC2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第1欄－</w:t>
      </w:r>
      <w:r w:rsidRPr="00E224E9">
        <w:rPr>
          <w:rFonts w:hint="eastAsia"/>
          <w:color w:val="000000" w:themeColor="text1"/>
          <w:sz w:val="24"/>
        </w:rPr>
        <w:t>再保險人</w:t>
      </w:r>
      <w:r w:rsidRPr="00E224E9">
        <w:rPr>
          <w:rFonts w:hint="eastAsia"/>
          <w:color w:val="000000" w:themeColor="text1"/>
          <w:sz w:val="24"/>
        </w:rPr>
        <w:t>_</w:t>
      </w:r>
      <w:r w:rsidRPr="00E224E9">
        <w:rPr>
          <w:rFonts w:hint="eastAsia"/>
          <w:color w:val="000000" w:themeColor="text1"/>
          <w:sz w:val="24"/>
        </w:rPr>
        <w:t>代號</w:t>
      </w:r>
    </w:p>
    <w:p w14:paraId="27A588F4"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hint="eastAsia"/>
          <w:color w:val="000000" w:themeColor="text1"/>
          <w:sz w:val="24"/>
        </w:rPr>
        <w:t>請填列所有有再保險資產的再保險人，代號由財團法人保險事業發展中心編列。</w:t>
      </w:r>
    </w:p>
    <w:p w14:paraId="1483D1B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w:t>
      </w:r>
      <w:r w:rsidRPr="00E224E9">
        <w:rPr>
          <w:rFonts w:hint="eastAsia"/>
          <w:color w:val="000000" w:themeColor="text1"/>
          <w:sz w:val="24"/>
        </w:rPr>
        <w:t>再保險人</w:t>
      </w:r>
      <w:r w:rsidRPr="00E224E9">
        <w:rPr>
          <w:rFonts w:hint="eastAsia"/>
          <w:color w:val="000000" w:themeColor="text1"/>
          <w:sz w:val="24"/>
        </w:rPr>
        <w:t>_</w:t>
      </w:r>
      <w:r w:rsidRPr="00E224E9">
        <w:rPr>
          <w:rFonts w:hint="eastAsia"/>
          <w:color w:val="000000" w:themeColor="text1"/>
          <w:sz w:val="24"/>
        </w:rPr>
        <w:t>名稱</w:t>
      </w:r>
    </w:p>
    <w:p w14:paraId="2011CBA7" w14:textId="77777777" w:rsidR="00065C53" w:rsidRPr="00E224E9" w:rsidRDefault="00065C53">
      <w:pPr>
        <w:spacing w:line="440" w:lineRule="exact"/>
        <w:ind w:leftChars="276" w:left="718"/>
        <w:jc w:val="both"/>
        <w:rPr>
          <w:color w:val="000000" w:themeColor="text1"/>
          <w:sz w:val="24"/>
        </w:rPr>
      </w:pPr>
      <w:r w:rsidRPr="00E224E9">
        <w:rPr>
          <w:rFonts w:hint="eastAsia"/>
          <w:color w:val="000000" w:themeColor="text1"/>
          <w:sz w:val="24"/>
        </w:rPr>
        <w:t>請填列所有有再保險資產的再保險人，名稱由財團法人保險事業發展中心編列。</w:t>
      </w:r>
    </w:p>
    <w:p w14:paraId="65BE7B8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第3欄至第10欄－</w:t>
      </w:r>
      <w:r w:rsidRPr="00E224E9">
        <w:rPr>
          <w:rFonts w:hint="eastAsia"/>
          <w:color w:val="000000" w:themeColor="text1"/>
        </w:rPr>
        <w:t>清償期間</w:t>
      </w:r>
    </w:p>
    <w:p w14:paraId="57964DF9" w14:textId="77777777" w:rsidR="00065C53" w:rsidRPr="00E224E9" w:rsidRDefault="00065C53">
      <w:pPr>
        <w:spacing w:line="440" w:lineRule="exact"/>
        <w:ind w:leftChars="276" w:left="718"/>
        <w:jc w:val="both"/>
        <w:rPr>
          <w:color w:val="000000" w:themeColor="text1"/>
          <w:sz w:val="24"/>
        </w:rPr>
      </w:pPr>
      <w:r w:rsidRPr="00E224E9">
        <w:rPr>
          <w:rFonts w:ascii="標楷體" w:hAnsi="標楷體" w:hint="eastAsia"/>
          <w:color w:val="000000" w:themeColor="text1"/>
          <w:sz w:val="24"/>
        </w:rPr>
        <w:t>現行民國100年建議依據</w:t>
      </w:r>
      <w:r w:rsidRPr="00E224E9">
        <w:rPr>
          <w:rFonts w:ascii="標楷體" w:hAnsi="標楷體"/>
          <w:color w:val="000000" w:themeColor="text1"/>
          <w:sz w:val="24"/>
        </w:rPr>
        <w:t>保險業資產評估及逾期放款催收款呆帳處理辦法</w:t>
      </w:r>
      <w:r w:rsidRPr="00E224E9">
        <w:rPr>
          <w:rFonts w:ascii="標楷體" w:hAnsi="標楷體" w:hint="eastAsia"/>
          <w:color w:val="000000" w:themeColor="text1"/>
          <w:sz w:val="24"/>
        </w:rPr>
        <w:t>第十九及二十條處理。</w:t>
      </w:r>
      <w:r w:rsidRPr="00E224E9">
        <w:rPr>
          <w:rFonts w:ascii="標楷體" w:hAnsi="標楷體" w:hint="eastAsia"/>
          <w:color w:val="000000" w:themeColor="text1"/>
          <w:sz w:val="24"/>
          <w:u w:val="single"/>
        </w:rPr>
        <w:t>未來</w:t>
      </w:r>
      <w:r w:rsidRPr="00E224E9">
        <w:rPr>
          <w:rFonts w:ascii="標楷體" w:hAnsi="標楷體" w:hint="eastAsia"/>
          <w:color w:val="000000" w:themeColor="text1"/>
          <w:sz w:val="24"/>
        </w:rPr>
        <w:t>建議</w:t>
      </w:r>
      <w:r w:rsidRPr="00E224E9">
        <w:rPr>
          <w:rFonts w:hint="eastAsia"/>
          <w:color w:val="000000" w:themeColor="text1"/>
          <w:sz w:val="24"/>
        </w:rPr>
        <w:t>應攤回再保賠款與給付除再保險契約另有訂定外，採用保險賠款給付日為清償日期。應收再保往來款項除再保險契約另有訂定外，採用入帳日為清償日期。</w:t>
      </w:r>
    </w:p>
    <w:p w14:paraId="3C3A386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第11欄至第12欄－爭議款項</w:t>
      </w:r>
    </w:p>
    <w:p w14:paraId="209387D0" w14:textId="77777777" w:rsidR="00065C53" w:rsidRPr="00E224E9" w:rsidRDefault="00065C53">
      <w:pPr>
        <w:spacing w:line="440" w:lineRule="exact"/>
        <w:ind w:leftChars="276" w:left="718"/>
        <w:jc w:val="both"/>
        <w:rPr>
          <w:color w:val="000000" w:themeColor="text1"/>
          <w:sz w:val="24"/>
        </w:rPr>
      </w:pPr>
      <w:r w:rsidRPr="00E224E9">
        <w:rPr>
          <w:rFonts w:ascii="標楷體" w:hAnsi="標楷體" w:hint="eastAsia"/>
          <w:color w:val="000000" w:themeColor="text1"/>
          <w:sz w:val="24"/>
        </w:rPr>
        <w:t>因逾清償日期期間以清償日期為起算點，故區分為6個月以下及6個月以上。</w:t>
      </w:r>
    </w:p>
    <w:p w14:paraId="56CE04B6" w14:textId="77777777" w:rsidR="00065C53" w:rsidRPr="00E224E9" w:rsidRDefault="00065C53">
      <w:pPr>
        <w:rPr>
          <w:rFonts w:ascii="標楷體" w:hAnsi="標楷體"/>
          <w:color w:val="000000" w:themeColor="text1"/>
          <w:sz w:val="24"/>
        </w:rPr>
      </w:pPr>
    </w:p>
    <w:p w14:paraId="3897A544" w14:textId="77777777" w:rsidR="00065C53" w:rsidRPr="00E224E9" w:rsidRDefault="00065C53" w:rsidP="00664571">
      <w:pPr>
        <w:pStyle w:val="1"/>
        <w:spacing w:after="120"/>
        <w:rPr>
          <w:color w:val="000000" w:themeColor="text1"/>
        </w:rPr>
      </w:pPr>
      <w:r w:rsidRPr="00E224E9">
        <w:rPr>
          <w:color w:val="000000" w:themeColor="text1"/>
        </w:rPr>
        <w:br w:type="page"/>
      </w:r>
      <w:bookmarkStart w:id="85" w:name="_Toc219262244"/>
      <w:bookmarkStart w:id="86" w:name="_Toc200468536"/>
      <w:bookmarkEnd w:id="81"/>
      <w:bookmarkEnd w:id="82"/>
      <w:r w:rsidRPr="00E224E9">
        <w:rPr>
          <w:rFonts w:hint="eastAsia"/>
          <w:color w:val="000000" w:themeColor="text1"/>
        </w:rPr>
        <w:lastRenderedPageBreak/>
        <w:t>表21-1：直接保險業務明細表</w:t>
      </w:r>
      <w:bookmarkEnd w:id="85"/>
      <w:bookmarkEnd w:id="86"/>
    </w:p>
    <w:p w14:paraId="2CABF1CE"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本報表的目的在於揭露人身保險業本期與本年度之新契約及有效契約件（人）數、各項保額、保費收入（含躉繳）之情形，藉以了解保險公司新契約及有效契約之業務狀況。各欄之說明如下：</w:t>
      </w:r>
    </w:p>
    <w:p w14:paraId="5B6825F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一、本期保費收入</w:t>
      </w:r>
    </w:p>
    <w:p w14:paraId="4585E63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係指本期新契約之件（人）數、各項保額及保費收入和續年度之保費收入之金額。</w:t>
      </w:r>
    </w:p>
    <w:p w14:paraId="3CDE02F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一、1  第一年度</w:t>
      </w:r>
    </w:p>
    <w:p w14:paraId="2C243A3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第1欄－新契約件（人）數</w:t>
      </w:r>
    </w:p>
    <w:p w14:paraId="04D9EEDB" w14:textId="77777777" w:rsidR="00065C53" w:rsidRPr="00E224E9" w:rsidRDefault="00065C53">
      <w:pPr>
        <w:spacing w:line="440" w:lineRule="exact"/>
        <w:ind w:firstLineChars="276" w:firstLine="662"/>
        <w:jc w:val="both"/>
        <w:rPr>
          <w:rFonts w:ascii="標楷體" w:hAnsi="標楷體"/>
          <w:color w:val="000000" w:themeColor="text1"/>
          <w:sz w:val="24"/>
        </w:rPr>
      </w:pPr>
      <w:r w:rsidRPr="00E224E9">
        <w:rPr>
          <w:rFonts w:ascii="標楷體" w:hAnsi="標楷體" w:hint="eastAsia"/>
          <w:color w:val="000000" w:themeColor="text1"/>
          <w:sz w:val="24"/>
        </w:rPr>
        <w:t>個人險以件數，團體險以人數填報。</w:t>
      </w:r>
    </w:p>
    <w:p w14:paraId="37ACF4B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投資型保險之契約件(人)數若已於保障部分計算，則投資部分不再重覆計算，可免予填列。</w:t>
      </w:r>
    </w:p>
    <w:p w14:paraId="0135E4C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第2欄－滿期生存保額</w:t>
      </w:r>
    </w:p>
    <w:p w14:paraId="0B978D2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以契約期滿時的生存保險金額及其他在保險期間內保戶所可領取之生存給付金累計總額計算。</w:t>
      </w:r>
    </w:p>
    <w:p w14:paraId="500DD9B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年金險保額係指每(半)年給付「生存年金金額」之總和，若年金金額未能確定，則以帳戶價值或保單價值準備金金額填列。</w:t>
      </w:r>
    </w:p>
    <w:p w14:paraId="3E67408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第3欄－一般身故保額</w:t>
      </w:r>
    </w:p>
    <w:p w14:paraId="1A244062"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以在保險期間內被保險人因普通死亡（不考慮配偶、子女之死亡）所能獲得之一般身故給付金額計算。</w:t>
      </w:r>
    </w:p>
    <w:p w14:paraId="7BC6BD4D"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投資型保險之一般身故保額，於投資部分係指帳戶價值，保障部分則為身故給付金額扣除帳戶價值後之餘額。</w:t>
      </w:r>
    </w:p>
    <w:p w14:paraId="12591AAD" w14:textId="77777777" w:rsidR="00065C53" w:rsidRPr="00E224E9" w:rsidRDefault="00065C53">
      <w:pPr>
        <w:pStyle w:val="30"/>
        <w:spacing w:line="440" w:lineRule="exact"/>
        <w:ind w:leftChars="276" w:left="788" w:hangingChars="29" w:hanging="70"/>
        <w:rPr>
          <w:color w:val="000000" w:themeColor="text1"/>
          <w:sz w:val="24"/>
        </w:rPr>
      </w:pPr>
      <w:r w:rsidRPr="00E224E9">
        <w:rPr>
          <w:rFonts w:hint="eastAsia"/>
          <w:color w:val="000000" w:themeColor="text1"/>
          <w:sz w:val="24"/>
        </w:rPr>
        <w:t>註：增值型商品依實際保障調整。</w:t>
      </w:r>
    </w:p>
    <w:p w14:paraId="7F61214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第4欄－意外身故保額</w:t>
      </w:r>
    </w:p>
    <w:p w14:paraId="4C47B1F5"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以被保險人在保險期間內因意外死亡（不考慮配偶、子女之死亡）所能獲得之意外身故給付金額計算。</w:t>
      </w:r>
    </w:p>
    <w:p w14:paraId="7582F152" w14:textId="77777777" w:rsidR="00065C53" w:rsidRPr="00E224E9" w:rsidRDefault="00065C53">
      <w:pPr>
        <w:pStyle w:val="30"/>
        <w:spacing w:line="440" w:lineRule="exact"/>
        <w:ind w:leftChars="139" w:left="361" w:firstLineChars="138" w:firstLine="331"/>
        <w:rPr>
          <w:color w:val="000000" w:themeColor="text1"/>
          <w:sz w:val="24"/>
        </w:rPr>
      </w:pPr>
      <w:r w:rsidRPr="00E224E9">
        <w:rPr>
          <w:rFonts w:hint="eastAsia"/>
          <w:color w:val="000000" w:themeColor="text1"/>
          <w:sz w:val="24"/>
        </w:rPr>
        <w:t>註：增值型商品依實際保障調整。</w:t>
      </w:r>
    </w:p>
    <w:p w14:paraId="3B70D78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第5欄－保費收入</w:t>
      </w:r>
    </w:p>
    <w:p w14:paraId="7308BF30" w14:textId="77777777" w:rsidR="00065C53" w:rsidRPr="00E224E9" w:rsidRDefault="00065C53">
      <w:pPr>
        <w:pStyle w:val="30"/>
        <w:spacing w:line="440" w:lineRule="exact"/>
        <w:ind w:leftChars="0" w:left="0" w:firstLineChars="300" w:firstLine="720"/>
        <w:rPr>
          <w:color w:val="000000" w:themeColor="text1"/>
          <w:sz w:val="24"/>
        </w:rPr>
      </w:pPr>
      <w:r w:rsidRPr="00E224E9">
        <w:rPr>
          <w:rFonts w:hint="eastAsia"/>
          <w:color w:val="000000" w:themeColor="text1"/>
          <w:sz w:val="24"/>
        </w:rPr>
        <w:t>包含純保險費與附加費用。</w:t>
      </w:r>
    </w:p>
    <w:p w14:paraId="319B8548" w14:textId="77777777" w:rsidR="00065C53" w:rsidRPr="00E224E9" w:rsidRDefault="00065C53">
      <w:pPr>
        <w:pStyle w:val="30"/>
        <w:spacing w:line="440" w:lineRule="exact"/>
        <w:ind w:leftChars="306" w:left="796" w:firstLineChars="0" w:firstLine="0"/>
        <w:rPr>
          <w:color w:val="000000" w:themeColor="text1"/>
          <w:sz w:val="24"/>
        </w:rPr>
      </w:pPr>
      <w:r w:rsidRPr="00E224E9">
        <w:rPr>
          <w:rFonts w:hint="eastAsia"/>
          <w:color w:val="000000" w:themeColor="text1"/>
          <w:sz w:val="24"/>
        </w:rPr>
        <w:t>投資型保險（保障部分）之保費收入包括保險保障費用及附加費用，投資型保險（投資部分）包括投資型保險總保費扣除投資型保險（保障部分）之餘額</w:t>
      </w:r>
    </w:p>
    <w:p w14:paraId="3654E3EA" w14:textId="77777777" w:rsidR="00065C53" w:rsidRPr="00E224E9" w:rsidRDefault="00065C53">
      <w:pPr>
        <w:spacing w:line="440" w:lineRule="exact"/>
        <w:jc w:val="both"/>
        <w:rPr>
          <w:rFonts w:ascii="標楷體" w:hAnsi="標楷體"/>
          <w:color w:val="000000" w:themeColor="text1"/>
          <w:sz w:val="24"/>
        </w:rPr>
      </w:pPr>
    </w:p>
    <w:p w14:paraId="71B849C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lastRenderedPageBreak/>
        <w:t>第6欄－保費收入中屬躉繳保費收入</w:t>
      </w:r>
    </w:p>
    <w:p w14:paraId="45F3DD04" w14:textId="77777777" w:rsidR="00065C53" w:rsidRPr="00E224E9" w:rsidRDefault="00065C53">
      <w:pPr>
        <w:pStyle w:val="30"/>
        <w:spacing w:line="440" w:lineRule="exact"/>
        <w:ind w:left="16" w:firstLineChars="300" w:firstLine="720"/>
        <w:rPr>
          <w:color w:val="000000" w:themeColor="text1"/>
          <w:sz w:val="24"/>
        </w:rPr>
      </w:pPr>
      <w:r w:rsidRPr="00E224E9">
        <w:rPr>
          <w:rFonts w:hint="eastAsia"/>
          <w:color w:val="000000" w:themeColor="text1"/>
          <w:sz w:val="24"/>
        </w:rPr>
        <w:t>保費收入中屬躉繳件之保費收入統計。</w:t>
      </w:r>
    </w:p>
    <w:p w14:paraId="3772CE6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一、2  續年度</w:t>
      </w:r>
    </w:p>
    <w:p w14:paraId="4A65FB9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第7欄－保費收入</w:t>
      </w:r>
    </w:p>
    <w:p w14:paraId="4572DC4D" w14:textId="77777777" w:rsidR="00065C53" w:rsidRPr="00E224E9" w:rsidRDefault="00065C53">
      <w:pPr>
        <w:pStyle w:val="30"/>
        <w:spacing w:line="440" w:lineRule="exact"/>
        <w:ind w:left="16" w:firstLineChars="300" w:firstLine="720"/>
        <w:rPr>
          <w:color w:val="000000" w:themeColor="text1"/>
          <w:sz w:val="24"/>
        </w:rPr>
      </w:pPr>
      <w:r w:rsidRPr="00E224E9">
        <w:rPr>
          <w:rFonts w:hint="eastAsia"/>
          <w:color w:val="000000" w:themeColor="text1"/>
          <w:sz w:val="24"/>
        </w:rPr>
        <w:t>為第二（含）保單年度起所收取的保費。</w:t>
      </w:r>
    </w:p>
    <w:p w14:paraId="627A522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一、3  合計</w:t>
      </w:r>
    </w:p>
    <w:p w14:paraId="09ADCC3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第8欄－合計</w:t>
      </w:r>
    </w:p>
    <w:p w14:paraId="6B8099CB" w14:textId="77777777" w:rsidR="00065C53" w:rsidRPr="00E224E9" w:rsidRDefault="00065C53">
      <w:pPr>
        <w:pStyle w:val="30"/>
        <w:spacing w:line="440" w:lineRule="exact"/>
        <w:ind w:leftChars="0" w:left="0" w:firstLineChars="300" w:firstLine="720"/>
        <w:rPr>
          <w:color w:val="000000" w:themeColor="text1"/>
          <w:sz w:val="24"/>
        </w:rPr>
      </w:pPr>
      <w:r w:rsidRPr="00E224E9">
        <w:rPr>
          <w:rFonts w:hint="eastAsia"/>
          <w:color w:val="000000" w:themeColor="text1"/>
          <w:sz w:val="24"/>
        </w:rPr>
        <w:t>為第5欄和7欄之金額的加總。</w:t>
      </w:r>
    </w:p>
    <w:p w14:paraId="3F9900F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二、</w:t>
      </w:r>
      <w:r w:rsidRPr="00E224E9">
        <w:rPr>
          <w:rFonts w:ascii="標楷體" w:hAnsi="標楷體" w:hint="eastAsia"/>
          <w:bCs/>
          <w:color w:val="000000" w:themeColor="text1"/>
          <w:sz w:val="24"/>
        </w:rPr>
        <w:t>本年度累計</w:t>
      </w:r>
      <w:r w:rsidRPr="00E224E9">
        <w:rPr>
          <w:rFonts w:ascii="標楷體" w:hAnsi="標楷體" w:hint="eastAsia"/>
          <w:color w:val="000000" w:themeColor="text1"/>
          <w:sz w:val="24"/>
        </w:rPr>
        <w:t>保費收入</w:t>
      </w:r>
    </w:p>
    <w:p w14:paraId="6BC63C0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係指本年度</w:t>
      </w:r>
      <w:r w:rsidRPr="00E224E9">
        <w:rPr>
          <w:rFonts w:ascii="標楷體" w:hAnsi="標楷體" w:hint="eastAsia"/>
          <w:bCs/>
          <w:color w:val="000000" w:themeColor="text1"/>
          <w:sz w:val="24"/>
        </w:rPr>
        <w:t>累計</w:t>
      </w:r>
      <w:r w:rsidRPr="00E224E9">
        <w:rPr>
          <w:rFonts w:ascii="標楷體" w:hAnsi="標楷體" w:hint="eastAsia"/>
          <w:color w:val="000000" w:themeColor="text1"/>
          <w:sz w:val="24"/>
        </w:rPr>
        <w:t>所有新契約之件（人）數、各項保額及保費收入和續年度之保費收入之金額。</w:t>
      </w:r>
    </w:p>
    <w:p w14:paraId="2EF9928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第16欄－合計</w:t>
      </w:r>
    </w:p>
    <w:p w14:paraId="37778263" w14:textId="77777777" w:rsidR="00065C53" w:rsidRPr="00E224E9" w:rsidRDefault="00065C53">
      <w:pPr>
        <w:pStyle w:val="30"/>
        <w:spacing w:line="440" w:lineRule="exact"/>
        <w:ind w:leftChars="0" w:left="0" w:firstLineChars="300" w:firstLine="720"/>
        <w:rPr>
          <w:color w:val="000000" w:themeColor="text1"/>
          <w:sz w:val="24"/>
        </w:rPr>
      </w:pPr>
      <w:r w:rsidRPr="00E224E9">
        <w:rPr>
          <w:rFonts w:hint="eastAsia"/>
          <w:color w:val="000000" w:themeColor="text1"/>
          <w:sz w:val="24"/>
        </w:rPr>
        <w:t>為第13欄和15欄之金額的加總。</w:t>
      </w:r>
    </w:p>
    <w:p w14:paraId="7ED1EA0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三、本期底有效契約</w:t>
      </w:r>
    </w:p>
    <w:p w14:paraId="560BF51E" w14:textId="77777777" w:rsidR="00065C53" w:rsidRPr="00E224E9" w:rsidRDefault="00065C53">
      <w:pPr>
        <w:pStyle w:val="a9"/>
        <w:spacing w:line="440" w:lineRule="exact"/>
        <w:rPr>
          <w:color w:val="000000" w:themeColor="text1"/>
          <w:sz w:val="24"/>
        </w:rPr>
      </w:pPr>
      <w:r w:rsidRPr="00E224E9">
        <w:rPr>
          <w:rFonts w:hint="eastAsia"/>
          <w:color w:val="000000" w:themeColor="text1"/>
          <w:sz w:val="24"/>
        </w:rPr>
        <w:t>係指本期底有效契約之件（人）數、各項保額。</w:t>
      </w:r>
    </w:p>
    <w:p w14:paraId="23C7735D" w14:textId="77777777" w:rsidR="00065C53" w:rsidRPr="00E224E9" w:rsidRDefault="00065C53">
      <w:pPr>
        <w:pStyle w:val="a9"/>
        <w:spacing w:line="440" w:lineRule="exact"/>
        <w:rPr>
          <w:color w:val="000000" w:themeColor="text1"/>
          <w:sz w:val="24"/>
        </w:rPr>
      </w:pPr>
    </w:p>
    <w:p w14:paraId="35A18D1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各業務之分類及其帳載內涵，應依保險法之規定及其施行細則及其相關解釋函令之規定。</w:t>
      </w:r>
    </w:p>
    <w:p w14:paraId="11AF01E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第1列－個人壽險</w:t>
      </w:r>
    </w:p>
    <w:p w14:paraId="01E7C9A4" w14:textId="77777777" w:rsidR="00065C53" w:rsidRPr="00E224E9" w:rsidRDefault="00065C53">
      <w:pPr>
        <w:pStyle w:val="21"/>
        <w:spacing w:line="440" w:lineRule="exact"/>
        <w:ind w:leftChars="300" w:left="780" w:firstLine="7"/>
        <w:rPr>
          <w:rFonts w:ascii="標楷體" w:hAnsi="標楷體" w:cs="Times New Roman"/>
          <w:color w:val="000000" w:themeColor="text1"/>
          <w:sz w:val="24"/>
        </w:rPr>
      </w:pPr>
      <w:r w:rsidRPr="00E224E9">
        <w:rPr>
          <w:rFonts w:ascii="標楷體" w:hAnsi="標楷體" w:cs="Times New Roman" w:hint="eastAsia"/>
          <w:color w:val="000000" w:themeColor="text1"/>
          <w:sz w:val="24"/>
        </w:rPr>
        <w:t>個人壽險區分為生存險、生死合險及死亡險三列，</w:t>
      </w:r>
      <w:r w:rsidRPr="00E224E9">
        <w:rPr>
          <w:rFonts w:ascii="標楷體" w:hAnsi="標楷體" w:hint="eastAsia"/>
          <w:color w:val="000000" w:themeColor="text1"/>
          <w:sz w:val="24"/>
        </w:rPr>
        <w:t>為第2至4列之加總。</w:t>
      </w:r>
    </w:p>
    <w:p w14:paraId="342F553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第2列－生存險</w:t>
      </w:r>
    </w:p>
    <w:p w14:paraId="16E436FC"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係指以被保險人在一定期間內繼續生存者為條件，由保險人給付保險金為責任。</w:t>
      </w:r>
    </w:p>
    <w:p w14:paraId="4C1E278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第3列－生死合險</w:t>
      </w:r>
    </w:p>
    <w:p w14:paraId="3BDF58E9" w14:textId="77777777" w:rsidR="00065C53" w:rsidRPr="00E224E9" w:rsidRDefault="00065C53">
      <w:pPr>
        <w:pStyle w:val="a7"/>
        <w:spacing w:after="0"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係指符合保險法施行細則所規定生死合險，意指保險人與被保險人在契約規定年限內死亡或屆契約規定年限仍生存時，保險人依照契約均須給付保險金額責任之生存與死亡兩種混合組成之保險。</w:t>
      </w:r>
    </w:p>
    <w:p w14:paraId="0262A79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第4列－死亡險</w:t>
      </w:r>
    </w:p>
    <w:p w14:paraId="1DC3B6C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被保險人於保險期間內死亡，由保險人給付一定金額之保險。</w:t>
      </w:r>
    </w:p>
    <w:p w14:paraId="7848AEB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第5列－個人傷害險</w:t>
      </w:r>
    </w:p>
    <w:p w14:paraId="17647875"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被保險人於契約有效期間內，因遭受意外傷害及其所致殘廢或死亡時，由保險人給付保險金額之責，為第6至7列之加總。</w:t>
      </w:r>
    </w:p>
    <w:p w14:paraId="046DD449" w14:textId="77777777" w:rsidR="00065C53" w:rsidRPr="00E224E9" w:rsidRDefault="00065C53">
      <w:pPr>
        <w:spacing w:line="440" w:lineRule="exact"/>
        <w:ind w:left="720" w:hangingChars="300" w:hanging="720"/>
        <w:jc w:val="both"/>
        <w:rPr>
          <w:rFonts w:ascii="標楷體" w:hAnsi="標楷體"/>
          <w:color w:val="000000" w:themeColor="text1"/>
          <w:sz w:val="24"/>
        </w:rPr>
      </w:pPr>
      <w:r w:rsidRPr="00E224E9">
        <w:rPr>
          <w:rFonts w:ascii="標楷體" w:hAnsi="標楷體" w:hint="eastAsia"/>
          <w:color w:val="000000" w:themeColor="text1"/>
          <w:sz w:val="24"/>
        </w:rPr>
        <w:t>第6列－主約</w:t>
      </w:r>
    </w:p>
    <w:p w14:paraId="04759558"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lastRenderedPageBreak/>
        <w:t>可單獨出單販賣之保險契約歸入主契約。</w:t>
      </w:r>
    </w:p>
    <w:p w14:paraId="2DEEF383" w14:textId="77777777" w:rsidR="00065C53" w:rsidRPr="00E224E9" w:rsidRDefault="00065C53">
      <w:pPr>
        <w:spacing w:line="440" w:lineRule="exact"/>
        <w:ind w:left="720" w:hangingChars="300" w:hanging="720"/>
        <w:jc w:val="both"/>
        <w:rPr>
          <w:rFonts w:ascii="標楷體" w:hAnsi="標楷體"/>
          <w:color w:val="000000" w:themeColor="text1"/>
          <w:sz w:val="24"/>
        </w:rPr>
      </w:pPr>
      <w:r w:rsidRPr="00E224E9">
        <w:rPr>
          <w:rFonts w:ascii="標楷體" w:hAnsi="標楷體" w:hint="eastAsia"/>
          <w:color w:val="000000" w:themeColor="text1"/>
          <w:sz w:val="24"/>
        </w:rPr>
        <w:t>第7列－附約</w:t>
      </w:r>
    </w:p>
    <w:p w14:paraId="4300B850"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冠以「特約」、「附加特約」名稱或不能單獨出單販賣之保險契約皆歸入附約，包括附加於壽險主契約之附約。</w:t>
      </w:r>
    </w:p>
    <w:p w14:paraId="0DABB91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第8列－個人健康險</w:t>
      </w:r>
    </w:p>
    <w:p w14:paraId="0FE8940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被保險人因疾病、分娩及其所致殘廢或死亡時，由保險人依其契約約定之金額或被保險人之損失負責給付或補償之保險，為第9至10列之加總。</w:t>
      </w:r>
    </w:p>
    <w:p w14:paraId="6882AC5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第11列－個人年金險</w:t>
      </w:r>
    </w:p>
    <w:p w14:paraId="781BB9A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包括(1)依保險法規定之年金保險，係指被保險人生存期間或特定期間內，依照契約付一次或分期給付一定金額之責；以及(2)勞退個人年金保險。</w:t>
      </w:r>
    </w:p>
    <w:p w14:paraId="5AAF747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第12列－投資型保險（保障部份）</w:t>
      </w:r>
    </w:p>
    <w:p w14:paraId="1814103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投資型保險保障部份區分為壽險及年金險兩列，為第13至14列之加總。</w:t>
      </w:r>
    </w:p>
    <w:p w14:paraId="54BEC1A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第15列－團體險</w:t>
      </w:r>
    </w:p>
    <w:p w14:paraId="351916CA"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下分為壽險、傷害險、健康險、年金險，其與個人保險區別在於團體保險以多數被保險人訂立一張保險單，為第16列、第17列、第20列、第23列之加總。其中第23列團體年金險尚包含「勞退企業年金保險」。</w:t>
      </w:r>
    </w:p>
    <w:p w14:paraId="1E8C106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第24列－合計一（1+5+8+11+12+15）</w:t>
      </w:r>
    </w:p>
    <w:p w14:paraId="7E5E5B7D"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為第1列、第5列、第8列、第11列、第12列、第15列之加總。</w:t>
      </w:r>
    </w:p>
    <w:p w14:paraId="04E8D85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第25列－投資型保險（投資部份）</w:t>
      </w:r>
    </w:p>
    <w:p w14:paraId="73BFC330"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投資型保險投資部份區分為壽險及年金險兩列，為第26至27列之加總。</w:t>
      </w:r>
    </w:p>
    <w:p w14:paraId="1EAFFCE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第28列－合計二（24+25）</w:t>
      </w:r>
    </w:p>
    <w:p w14:paraId="608501B4"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為第24至25列之加總。</w:t>
      </w:r>
    </w:p>
    <w:p w14:paraId="699F388B" w14:textId="77777777" w:rsidR="00065C53" w:rsidRPr="00E224E9" w:rsidRDefault="00065C53">
      <w:pPr>
        <w:pStyle w:val="1"/>
        <w:spacing w:afterLines="0" w:line="440" w:lineRule="exact"/>
        <w:jc w:val="both"/>
        <w:rPr>
          <w:color w:val="000000" w:themeColor="text1"/>
        </w:rPr>
      </w:pPr>
      <w:r w:rsidRPr="00E224E9">
        <w:rPr>
          <w:color w:val="000000" w:themeColor="text1"/>
          <w:sz w:val="26"/>
        </w:rPr>
        <w:br w:type="page"/>
      </w:r>
      <w:bookmarkStart w:id="87" w:name="_Toc93835544"/>
      <w:bookmarkStart w:id="88" w:name="_Toc219262246"/>
      <w:bookmarkStart w:id="89" w:name="_Toc200468537"/>
      <w:r w:rsidRPr="00E224E9">
        <w:rPr>
          <w:rFonts w:hint="eastAsia"/>
          <w:color w:val="000000" w:themeColor="text1"/>
        </w:rPr>
        <w:lastRenderedPageBreak/>
        <w:t>表21-3：分入再保險業務明細表</w:t>
      </w:r>
      <w:bookmarkEnd w:id="87"/>
      <w:bookmarkEnd w:id="88"/>
      <w:bookmarkEnd w:id="89"/>
    </w:p>
    <w:p w14:paraId="1C492AC1"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本表之目的在於清楚表達人身保險業之國內及國外再保業務分入概況</w:t>
      </w:r>
      <w:r w:rsidRPr="00E224E9">
        <w:rPr>
          <w:rFonts w:ascii="標楷體" w:hAnsi="標楷體"/>
          <w:color w:val="000000" w:themeColor="text1"/>
          <w:sz w:val="24"/>
        </w:rPr>
        <w:t>，</w:t>
      </w:r>
      <w:r w:rsidRPr="00E224E9">
        <w:rPr>
          <w:rFonts w:ascii="標楷體" w:hAnsi="標楷體" w:hint="eastAsia"/>
          <w:color w:val="000000" w:themeColor="text1"/>
          <w:sz w:val="24"/>
        </w:rPr>
        <w:t>以利計算其他風險</w:t>
      </w:r>
      <w:r w:rsidRPr="00E224E9">
        <w:rPr>
          <w:rFonts w:ascii="標楷體" w:hAnsi="標楷體"/>
          <w:color w:val="000000" w:themeColor="text1"/>
          <w:sz w:val="24"/>
        </w:rPr>
        <w:t>—</w:t>
      </w:r>
      <w:r w:rsidRPr="00E224E9">
        <w:rPr>
          <w:rFonts w:ascii="標楷體" w:hAnsi="標楷體" w:hint="eastAsia"/>
          <w:color w:val="000000" w:themeColor="text1"/>
          <w:sz w:val="24"/>
        </w:rPr>
        <w:t>保費收入係數(C4)之風險項目(4.1保費收入)之風險資本額，惟本表之各欄數字含全部之再保險分入。</w:t>
      </w:r>
    </w:p>
    <w:p w14:paraId="3DF9E410"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本說明的目的為配合相關填報規定，簡介該表之填列規則，以利保險公司之填報。</w:t>
      </w:r>
    </w:p>
    <w:p w14:paraId="36AF0B4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主要欄位說明如下</w:t>
      </w:r>
      <w:r w:rsidRPr="00E224E9">
        <w:rPr>
          <w:rFonts w:ascii="標楷體" w:hAnsi="標楷體"/>
          <w:color w:val="000000" w:themeColor="text1"/>
          <w:sz w:val="24"/>
        </w:rPr>
        <w:t>：</w:t>
      </w:r>
    </w:p>
    <w:p w14:paraId="744FCDD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第1欄－再保費收入</w:t>
      </w:r>
    </w:p>
    <w:p w14:paraId="3497F23E"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本欄金額係指自本國再保公司分入再保險業務所產生之再保費收入之淨額(含短期巨災超額賠款業務、臨分業務)，於計算該欄之再保費收入應扣除扣除各項異動(如失效、解約、縮小保額)之再保退費。</w:t>
      </w:r>
    </w:p>
    <w:p w14:paraId="4434FF3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w:t>
      </w:r>
      <w:r w:rsidRPr="00E224E9">
        <w:rPr>
          <w:rFonts w:ascii="標楷體" w:hAnsi="標楷體"/>
          <w:color w:val="000000" w:themeColor="text1"/>
          <w:sz w:val="24"/>
        </w:rPr>
        <w:t>—</w:t>
      </w:r>
      <w:r w:rsidRPr="00E224E9">
        <w:rPr>
          <w:rFonts w:ascii="標楷體" w:hAnsi="標楷體" w:hint="eastAsia"/>
          <w:color w:val="000000" w:themeColor="text1"/>
          <w:sz w:val="24"/>
        </w:rPr>
        <w:t>再保佣金支出</w:t>
      </w:r>
    </w:p>
    <w:p w14:paraId="40303195"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本欄金額係指自本國再保公司分入再保險業務所產生之再保佣金支出之淨額(含一般再保佣金支出及盈餘佣金支出)，於計算該欄之再保佣金支出應扣除各項異動(如失效、解約、縮小保額)之再保佣金收回。</w:t>
      </w:r>
    </w:p>
    <w:p w14:paraId="13EAEEF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w:t>
      </w:r>
      <w:r w:rsidRPr="00E224E9">
        <w:rPr>
          <w:rFonts w:ascii="標楷體" w:hAnsi="標楷體"/>
          <w:color w:val="000000" w:themeColor="text1"/>
          <w:sz w:val="24"/>
        </w:rPr>
        <w:t>—</w:t>
      </w:r>
      <w:r w:rsidRPr="00E224E9">
        <w:rPr>
          <w:rFonts w:ascii="標楷體" w:hAnsi="標楷體" w:hint="eastAsia"/>
          <w:color w:val="000000" w:themeColor="text1"/>
          <w:sz w:val="24"/>
        </w:rPr>
        <w:t>再保賠款支出</w:t>
      </w:r>
    </w:p>
    <w:p w14:paraId="36DEE275"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本欄金額係指自本國再保公司分入再保險業務所產生之再保險賠款支出金額，該再保險賠款支出應包括已報已付再保賠款支出及已報未付賠款之應付未付再保賠款支出，但不含未報再保賠款支出。</w:t>
      </w:r>
    </w:p>
    <w:p w14:paraId="1FA2831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第4欄</w:t>
      </w:r>
      <w:r w:rsidRPr="00E224E9">
        <w:rPr>
          <w:rFonts w:ascii="標楷體" w:hAnsi="標楷體"/>
          <w:color w:val="000000" w:themeColor="text1"/>
          <w:sz w:val="24"/>
        </w:rPr>
        <w:t>—</w:t>
      </w:r>
      <w:r w:rsidRPr="00E224E9">
        <w:rPr>
          <w:rFonts w:ascii="標楷體" w:hAnsi="標楷體" w:hint="eastAsia"/>
          <w:color w:val="000000" w:themeColor="text1"/>
          <w:sz w:val="24"/>
        </w:rPr>
        <w:t>再保費收入</w:t>
      </w:r>
    </w:p>
    <w:p w14:paraId="388BC201"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本欄金額係指自外國再保公司分入再保險業務所產生之再保費收入之淨額(含短期巨災超額賠款業務、臨分業務)，於計算該欄之再保費收入應扣除扣除各項異動(如失效、解約、縮小保額)之再保退費。</w:t>
      </w:r>
    </w:p>
    <w:p w14:paraId="649E602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第5欄</w:t>
      </w:r>
      <w:r w:rsidRPr="00E224E9">
        <w:rPr>
          <w:rFonts w:ascii="標楷體" w:hAnsi="標楷體"/>
          <w:color w:val="000000" w:themeColor="text1"/>
          <w:sz w:val="24"/>
        </w:rPr>
        <w:t>—</w:t>
      </w:r>
      <w:r w:rsidRPr="00E224E9">
        <w:rPr>
          <w:rFonts w:ascii="標楷體" w:hAnsi="標楷體" w:hint="eastAsia"/>
          <w:color w:val="000000" w:themeColor="text1"/>
          <w:sz w:val="24"/>
        </w:rPr>
        <w:t>再保佣金支出</w:t>
      </w:r>
    </w:p>
    <w:p w14:paraId="2ADA9B92"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本欄金額係指自外國再保公司分入再保險業務所產生之再保佣金支出之淨額(含一般再保佣金支出及盈餘佣金支出)，於計算該欄之再保佣金支出應扣除各項異動(如失效、解約、縮小保額)之再保佣金收回。</w:t>
      </w:r>
    </w:p>
    <w:p w14:paraId="1F8EF1C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第6欄</w:t>
      </w:r>
      <w:r w:rsidRPr="00E224E9">
        <w:rPr>
          <w:rFonts w:ascii="標楷體" w:hAnsi="標楷體"/>
          <w:color w:val="000000" w:themeColor="text1"/>
          <w:sz w:val="24"/>
        </w:rPr>
        <w:t>—</w:t>
      </w:r>
      <w:r w:rsidRPr="00E224E9">
        <w:rPr>
          <w:rFonts w:ascii="標楷體" w:hAnsi="標楷體" w:hint="eastAsia"/>
          <w:color w:val="000000" w:themeColor="text1"/>
          <w:sz w:val="24"/>
        </w:rPr>
        <w:t>再保賠款支出</w:t>
      </w:r>
    </w:p>
    <w:p w14:paraId="49DD380E"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本欄金額係指自外國再保公司分入再保險業務所產生之再保險賠款支出金額，該再保險賠款支出應包括已報已付再保賠款支出及已報未付賠款之應付未付再保賠款支出，但不含未報再保賠款支出。</w:t>
      </w:r>
    </w:p>
    <w:p w14:paraId="46BC3AB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w:t>
      </w:r>
      <w:r w:rsidRPr="00E224E9">
        <w:rPr>
          <w:rFonts w:ascii="標楷體" w:hAnsi="標楷體"/>
          <w:color w:val="000000" w:themeColor="text1"/>
          <w:sz w:val="24"/>
        </w:rPr>
        <w:t>—</w:t>
      </w:r>
      <w:r w:rsidRPr="00E224E9">
        <w:rPr>
          <w:rFonts w:ascii="標楷體" w:hAnsi="標楷體" w:hint="eastAsia"/>
          <w:color w:val="000000" w:themeColor="text1"/>
          <w:sz w:val="24"/>
        </w:rPr>
        <w:t>再保費收入</w:t>
      </w:r>
    </w:p>
    <w:p w14:paraId="3E2653B4"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lastRenderedPageBreak/>
        <w:t>本欄金額為第1欄加第4欄後金額。</w:t>
      </w:r>
    </w:p>
    <w:p w14:paraId="5F66019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第8欄－再保佣金支出</w:t>
      </w:r>
    </w:p>
    <w:p w14:paraId="67572E6E"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本欄金額為第2欄加第5欄後金額。</w:t>
      </w:r>
    </w:p>
    <w:p w14:paraId="169D1D7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第9欄</w:t>
      </w:r>
      <w:r w:rsidRPr="00E224E9">
        <w:rPr>
          <w:rFonts w:ascii="標楷體" w:hAnsi="標楷體"/>
          <w:color w:val="000000" w:themeColor="text1"/>
          <w:sz w:val="24"/>
        </w:rPr>
        <w:t>—</w:t>
      </w:r>
      <w:r w:rsidRPr="00E224E9">
        <w:rPr>
          <w:rFonts w:ascii="標楷體" w:hAnsi="標楷體" w:hint="eastAsia"/>
          <w:color w:val="000000" w:themeColor="text1"/>
          <w:sz w:val="24"/>
        </w:rPr>
        <w:t>再保賠款支出</w:t>
      </w:r>
    </w:p>
    <w:p w14:paraId="2480EAA0"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本欄金額為第3欄加第6欄後金額。</w:t>
      </w:r>
    </w:p>
    <w:p w14:paraId="00B5C80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第10欄</w:t>
      </w:r>
      <w:r w:rsidRPr="00E224E9">
        <w:rPr>
          <w:rFonts w:ascii="標楷體" w:hAnsi="標楷體"/>
          <w:color w:val="000000" w:themeColor="text1"/>
          <w:sz w:val="24"/>
        </w:rPr>
        <w:t>—</w:t>
      </w:r>
      <w:r w:rsidRPr="00E224E9">
        <w:rPr>
          <w:rFonts w:ascii="標楷體" w:hAnsi="標楷體" w:hint="eastAsia"/>
          <w:color w:val="000000" w:themeColor="text1"/>
          <w:sz w:val="24"/>
        </w:rPr>
        <w:t>備註</w:t>
      </w:r>
    </w:p>
    <w:p w14:paraId="58C78E75"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本欄得註記前幾項有關分入再保業務之補述事項。</w:t>
      </w:r>
    </w:p>
    <w:p w14:paraId="7AB0F72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各業務之分類及其帳載內涵，應依保險法之規定及其施行細則及其相關解釋函令之規定。</w:t>
      </w:r>
    </w:p>
    <w:p w14:paraId="7206272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第1列－個人壽險</w:t>
      </w:r>
    </w:p>
    <w:p w14:paraId="7119B001" w14:textId="77777777" w:rsidR="00065C53" w:rsidRPr="00E224E9" w:rsidRDefault="00065C53">
      <w:pPr>
        <w:spacing w:line="440" w:lineRule="exact"/>
        <w:ind w:leftChars="276" w:left="720" w:hanging="2"/>
        <w:jc w:val="both"/>
        <w:rPr>
          <w:rFonts w:ascii="標楷體" w:hAnsi="標楷體"/>
          <w:color w:val="000000" w:themeColor="text1"/>
          <w:sz w:val="24"/>
        </w:rPr>
      </w:pPr>
      <w:r w:rsidRPr="00E224E9">
        <w:rPr>
          <w:rFonts w:ascii="標楷體" w:hAnsi="標楷體" w:hint="eastAsia"/>
          <w:color w:val="000000" w:themeColor="text1"/>
          <w:sz w:val="24"/>
        </w:rPr>
        <w:t>個人壽險區分為生存險、生死合險及死亡險等三列，本列之金額為第2列、第3列與第4列加總之和。</w:t>
      </w:r>
    </w:p>
    <w:p w14:paraId="0181FB4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第2列</w:t>
      </w:r>
      <w:r w:rsidRPr="00E224E9">
        <w:rPr>
          <w:rFonts w:ascii="標楷體" w:hAnsi="標楷體"/>
          <w:color w:val="000000" w:themeColor="text1"/>
          <w:sz w:val="24"/>
        </w:rPr>
        <w:t>—</w:t>
      </w:r>
      <w:r w:rsidRPr="00E224E9">
        <w:rPr>
          <w:rFonts w:ascii="標楷體" w:hAnsi="標楷體" w:hint="eastAsia"/>
          <w:color w:val="000000" w:themeColor="text1"/>
          <w:sz w:val="24"/>
        </w:rPr>
        <w:t>生存險</w:t>
      </w:r>
    </w:p>
    <w:p w14:paraId="7292397F" w14:textId="77777777" w:rsidR="00065C53" w:rsidRPr="00E224E9" w:rsidRDefault="00065C53">
      <w:pPr>
        <w:shd w:val="clear" w:color="auto" w:fill="FFFFFF"/>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係指以被保險人在一定期間內繼續生存者為條件，由保險人給付保險金之保險。</w:t>
      </w:r>
    </w:p>
    <w:p w14:paraId="6EB4A16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第3列</w:t>
      </w:r>
      <w:r w:rsidRPr="00E224E9">
        <w:rPr>
          <w:rFonts w:ascii="標楷體" w:hAnsi="標楷體"/>
          <w:color w:val="000000" w:themeColor="text1"/>
          <w:sz w:val="24"/>
        </w:rPr>
        <w:t>—</w:t>
      </w:r>
      <w:r w:rsidRPr="00E224E9">
        <w:rPr>
          <w:rFonts w:ascii="標楷體" w:hAnsi="標楷體" w:hint="eastAsia"/>
          <w:color w:val="000000" w:themeColor="text1"/>
          <w:sz w:val="24"/>
        </w:rPr>
        <w:t>生死合險</w:t>
      </w:r>
    </w:p>
    <w:p w14:paraId="22A0600F"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係指被保險人在契約規定年限內死亡或屆契約規定年限仍生存時，保險人依照契約均應給付保險金額之生存與死亡兩種混合組成之保險。</w:t>
      </w:r>
    </w:p>
    <w:p w14:paraId="7D91D41F" w14:textId="77777777" w:rsidR="00065C53" w:rsidRPr="00E224E9" w:rsidRDefault="00065C53">
      <w:pPr>
        <w:shd w:val="clear" w:color="auto" w:fill="FFFFFF"/>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第4列</w:t>
      </w:r>
      <w:r w:rsidRPr="00E224E9">
        <w:rPr>
          <w:rFonts w:ascii="標楷體" w:hAnsi="標楷體"/>
          <w:color w:val="000000" w:themeColor="text1"/>
          <w:sz w:val="24"/>
        </w:rPr>
        <w:t>—</w:t>
      </w:r>
      <w:r w:rsidRPr="00E224E9">
        <w:rPr>
          <w:rFonts w:ascii="標楷體" w:hAnsi="標楷體" w:hint="eastAsia"/>
          <w:color w:val="000000" w:themeColor="text1"/>
          <w:sz w:val="24"/>
        </w:rPr>
        <w:t>死亡險</w:t>
      </w:r>
    </w:p>
    <w:p w14:paraId="5E839DB3" w14:textId="77777777" w:rsidR="00065C53" w:rsidRPr="00E224E9" w:rsidRDefault="00065C53">
      <w:pPr>
        <w:shd w:val="clear" w:color="auto" w:fill="FFFFFF"/>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係指被保險人於保險期間死亡，由保險人給付一定金額之保險。</w:t>
      </w:r>
    </w:p>
    <w:p w14:paraId="7A45C05A" w14:textId="77777777" w:rsidR="00065C53" w:rsidRPr="00E224E9" w:rsidRDefault="00065C53">
      <w:pPr>
        <w:shd w:val="clear" w:color="auto" w:fill="FFFFFF"/>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第5列</w:t>
      </w:r>
      <w:r w:rsidRPr="00E224E9">
        <w:rPr>
          <w:rFonts w:ascii="標楷體" w:hAnsi="標楷體"/>
          <w:color w:val="000000" w:themeColor="text1"/>
          <w:sz w:val="24"/>
        </w:rPr>
        <w:t>—</w:t>
      </w:r>
      <w:r w:rsidRPr="00E224E9">
        <w:rPr>
          <w:rFonts w:ascii="標楷體" w:hAnsi="標楷體" w:hint="eastAsia"/>
          <w:color w:val="000000" w:themeColor="text1"/>
          <w:sz w:val="24"/>
        </w:rPr>
        <w:t>個人傷害險</w:t>
      </w:r>
    </w:p>
    <w:p w14:paraId="60F14537" w14:textId="77777777" w:rsidR="00065C53" w:rsidRPr="00E224E9" w:rsidRDefault="00065C53">
      <w:pPr>
        <w:shd w:val="clear" w:color="auto" w:fill="FFFFFF"/>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係指被保險人於契約有效期間內，因遭受意外傷害及其所致殘廢或死亡時，由保險人給付保險金額之保險，前述之意外傷害指非由疾病引起之外來突發事故所致者。</w:t>
      </w:r>
    </w:p>
    <w:p w14:paraId="22F92706" w14:textId="77777777" w:rsidR="00065C53" w:rsidRPr="00E224E9" w:rsidRDefault="00065C53">
      <w:pPr>
        <w:shd w:val="clear" w:color="auto" w:fill="FFFFFF"/>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第6列－個人健康險</w:t>
      </w:r>
    </w:p>
    <w:p w14:paraId="4B5AD510" w14:textId="77777777" w:rsidR="00065C53" w:rsidRPr="00E224E9" w:rsidRDefault="00065C53">
      <w:pPr>
        <w:spacing w:line="440" w:lineRule="exact"/>
        <w:ind w:firstLineChars="276" w:firstLine="662"/>
        <w:jc w:val="both"/>
        <w:rPr>
          <w:rFonts w:ascii="標楷體" w:hAnsi="標楷體"/>
          <w:color w:val="000000" w:themeColor="text1"/>
          <w:sz w:val="24"/>
        </w:rPr>
      </w:pPr>
      <w:r w:rsidRPr="00E224E9">
        <w:rPr>
          <w:rFonts w:ascii="標楷體" w:hAnsi="標楷體" w:hint="eastAsia"/>
          <w:color w:val="000000" w:themeColor="text1"/>
          <w:sz w:val="24"/>
        </w:rPr>
        <w:t>係指被保險人因疾病、分娩及其所致殘廢或死亡時，由保險人依其契約約</w:t>
      </w:r>
    </w:p>
    <w:p w14:paraId="76ACB661" w14:textId="77777777" w:rsidR="00065C53" w:rsidRPr="00E224E9" w:rsidRDefault="00065C53">
      <w:pPr>
        <w:pStyle w:val="a7"/>
        <w:shd w:val="clear" w:color="auto" w:fill="FFFFFF"/>
        <w:spacing w:after="0"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定之金額或被保險人之損失負責給付或補償之保險。</w:t>
      </w:r>
    </w:p>
    <w:p w14:paraId="5ADD92D6" w14:textId="77777777" w:rsidR="00065C53" w:rsidRPr="00E224E9" w:rsidRDefault="00065C53">
      <w:pPr>
        <w:shd w:val="clear" w:color="auto" w:fill="FFFFFF"/>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第7列－個人年金險</w:t>
      </w:r>
    </w:p>
    <w:p w14:paraId="0156EF4B" w14:textId="77777777" w:rsidR="00065C53" w:rsidRPr="00E224E9" w:rsidRDefault="00065C53">
      <w:pPr>
        <w:shd w:val="clear" w:color="auto" w:fill="FFFFFF"/>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包括(1)一般商業個人年金保險；以及(2)勞退個人年金保險。</w:t>
      </w:r>
    </w:p>
    <w:p w14:paraId="7F26B1A9" w14:textId="77777777" w:rsidR="00065C53" w:rsidRPr="00E224E9" w:rsidRDefault="00065C53">
      <w:pPr>
        <w:shd w:val="clear" w:color="auto" w:fill="FFFFFF"/>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第8列－投資型保險</w:t>
      </w:r>
    </w:p>
    <w:p w14:paraId="0A7AA10D"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保險法第一百二十三條第二項及第一百四十六條第五項所稱投資型保險，係指保險人將要保人所繳保險費，依約定方式扣除保險人各項費用，並依其同意或指定之投資分配方式，置於專設帳簿中，而由要保人承擔全部或部份投資風險之人身</w:t>
      </w:r>
      <w:r w:rsidRPr="00E224E9">
        <w:rPr>
          <w:rFonts w:hint="eastAsia"/>
          <w:color w:val="000000" w:themeColor="text1"/>
          <w:sz w:val="24"/>
        </w:rPr>
        <w:lastRenderedPageBreak/>
        <w:t>保險，區分為壽險及年金險兩列，本列之金額為第9列與第10列加總之和。</w:t>
      </w:r>
    </w:p>
    <w:p w14:paraId="1D812A18"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第9列－壽險</w:t>
      </w:r>
    </w:p>
    <w:p w14:paraId="7F38A14C"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係指被保險人在契約規定年限內死亡，或屆契約規定年限內而仍生存時，依照契約給付保險金額之投資型壽險。</w:t>
      </w:r>
    </w:p>
    <w:p w14:paraId="3A90E4DC"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第10列－年金險</w:t>
      </w:r>
    </w:p>
    <w:p w14:paraId="63A89653"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係指被保險人生存期間或特定期間內，依照契約一次或分期給付一定金額之投資型年金保險。</w:t>
      </w:r>
    </w:p>
    <w:p w14:paraId="559BD627"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第11列－團體險</w:t>
      </w:r>
    </w:p>
    <w:p w14:paraId="56737480"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所謂團體險係指其承保對象為具有共同利益或活動的一群人，區分為壽險、傷害險、健康險及年金險等四列，其與個人保險區別在於團體保險以多數被保險人訂立一張保險單，本列之金額為第12列、第13列、第14列與第15列加總之和。其中第15列團體年金險尚包含「勞退企業年金保險」。</w:t>
      </w:r>
    </w:p>
    <w:p w14:paraId="264946A4"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第12列－壽險</w:t>
      </w:r>
    </w:p>
    <w:p w14:paraId="6427C9E2"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係指被保險人在契約規定年限內死亡，或屆契約規定年限內而仍生存時，依照契約給付保險金額之團體壽險。</w:t>
      </w:r>
    </w:p>
    <w:p w14:paraId="6578C7CE"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第13列－傷害險</w:t>
      </w:r>
    </w:p>
    <w:p w14:paraId="65960878"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係指被保險人於契約有效期間內，因遭受意外傷害及其所致殘廢或死亡時，由保險人給付保險金額之團體傷害險，前述之意外傷害指非由疾病引起之外來突發事故所致者。</w:t>
      </w:r>
    </w:p>
    <w:p w14:paraId="47CFCD3E"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第14列－健康險</w:t>
      </w:r>
    </w:p>
    <w:p w14:paraId="0A01A1B6"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係指被保險人因疾病、分娩及其所致殘廢或死亡時，由保險人依其契約約定之金額或被保險人之損失負責給付或補償之團體健康險。</w:t>
      </w:r>
    </w:p>
    <w:p w14:paraId="7BA582F4"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第15列－年金險</w:t>
      </w:r>
    </w:p>
    <w:p w14:paraId="179DC18E"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依保險法規定之年金保險，係指被保險人生存期間或特定期間內，依照契約一次或分期給付一定金額之團體年金險。</w:t>
      </w:r>
    </w:p>
    <w:p w14:paraId="1A172241" w14:textId="77777777" w:rsidR="00065C53" w:rsidRPr="00E224E9" w:rsidRDefault="00065C53">
      <w:pPr>
        <w:shd w:val="clear" w:color="auto" w:fill="FFFFFF"/>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第16列－合計</w:t>
      </w:r>
    </w:p>
    <w:p w14:paraId="0489DDE6" w14:textId="77777777" w:rsidR="00065C53" w:rsidRPr="00E224E9" w:rsidRDefault="00065C53">
      <w:pPr>
        <w:shd w:val="clear" w:color="auto" w:fill="FFFFFF"/>
        <w:spacing w:line="440" w:lineRule="exact"/>
        <w:ind w:leftChars="296" w:left="780" w:hangingChars="4" w:hanging="10"/>
        <w:jc w:val="both"/>
        <w:rPr>
          <w:rFonts w:ascii="標楷體" w:hAnsi="標楷體"/>
          <w:color w:val="000000" w:themeColor="text1"/>
          <w:sz w:val="24"/>
        </w:rPr>
      </w:pPr>
      <w:r w:rsidRPr="00E224E9">
        <w:rPr>
          <w:rFonts w:ascii="標楷體" w:hAnsi="標楷體" w:hint="eastAsia"/>
          <w:color w:val="000000" w:themeColor="text1"/>
          <w:sz w:val="24"/>
        </w:rPr>
        <w:t>本列之金額為第1列、第5列、第6列、第7列、第8列與第11列加總之和。</w:t>
      </w:r>
    </w:p>
    <w:p w14:paraId="38128291" w14:textId="77777777" w:rsidR="001125DD" w:rsidRPr="00E224E9" w:rsidRDefault="00065C53" w:rsidP="001125DD">
      <w:pPr>
        <w:pStyle w:val="1"/>
        <w:spacing w:after="120" w:line="240" w:lineRule="auto"/>
        <w:rPr>
          <w:rFonts w:ascii="Book Antiqua" w:hAnsi="Book Antiqua"/>
          <w:color w:val="000000" w:themeColor="text1"/>
        </w:rPr>
      </w:pPr>
      <w:r w:rsidRPr="00E224E9">
        <w:rPr>
          <w:color w:val="000000" w:themeColor="text1"/>
          <w:sz w:val="24"/>
          <w:szCs w:val="24"/>
        </w:rPr>
        <w:br w:type="page"/>
      </w:r>
      <w:bookmarkStart w:id="90" w:name="_Toc216775650"/>
      <w:bookmarkStart w:id="91" w:name="_Toc219109758"/>
      <w:bookmarkStart w:id="92" w:name="_Toc452740120"/>
      <w:bookmarkStart w:id="93" w:name="_Toc200468538"/>
      <w:bookmarkStart w:id="94" w:name="_Toc219262247"/>
      <w:r w:rsidR="001125DD" w:rsidRPr="00E224E9">
        <w:rPr>
          <w:rFonts w:ascii="Book Antiqua"/>
          <w:color w:val="000000" w:themeColor="text1"/>
        </w:rPr>
        <w:lastRenderedPageBreak/>
        <w:t>表</w:t>
      </w:r>
      <w:r w:rsidR="001125DD" w:rsidRPr="00E224E9">
        <w:rPr>
          <w:rFonts w:ascii="Book Antiqua"/>
          <w:color w:val="000000" w:themeColor="text1"/>
        </w:rPr>
        <w:t>21-8</w:t>
      </w:r>
      <w:r w:rsidR="001125DD" w:rsidRPr="00E224E9">
        <w:rPr>
          <w:rFonts w:ascii="Book Antiqua"/>
          <w:color w:val="000000" w:themeColor="text1"/>
        </w:rPr>
        <w:t>：</w:t>
      </w:r>
      <w:bookmarkEnd w:id="90"/>
      <w:r w:rsidR="001125DD" w:rsidRPr="00E224E9">
        <w:rPr>
          <w:rFonts w:ascii="Book Antiqua"/>
          <w:color w:val="000000" w:themeColor="text1"/>
        </w:rPr>
        <w:t>保單紅利明細表之二</w:t>
      </w:r>
      <w:bookmarkEnd w:id="91"/>
      <w:bookmarkEnd w:id="92"/>
      <w:bookmarkEnd w:id="93"/>
    </w:p>
    <w:p w14:paraId="3927CF7D" w14:textId="77777777" w:rsidR="001125DD" w:rsidRPr="00E224E9" w:rsidRDefault="001125DD" w:rsidP="001125DD">
      <w:pPr>
        <w:pStyle w:val="a9"/>
        <w:spacing w:line="440" w:lineRule="exact"/>
        <w:ind w:firstLineChars="207" w:firstLine="497"/>
        <w:rPr>
          <w:rFonts w:ascii="Book Antiqua" w:hAnsi="Book Antiqua"/>
          <w:color w:val="000000" w:themeColor="text1"/>
        </w:rPr>
      </w:pPr>
      <w:r w:rsidRPr="00E224E9">
        <w:rPr>
          <w:rFonts w:ascii="Book Antiqua"/>
          <w:color w:val="000000" w:themeColor="text1"/>
          <w:sz w:val="24"/>
        </w:rPr>
        <w:t>本報表的目的在於表達人身保險業分紅保單之紅利分配與紅利準備金提列情形。本說明的目的為配合相關法令之規定，簡介該表之填列規則，以利保險業者之填報。</w:t>
      </w:r>
    </w:p>
    <w:p w14:paraId="474FCDF2" w14:textId="77777777" w:rsidR="001125DD" w:rsidRPr="00E224E9" w:rsidRDefault="001125DD" w:rsidP="001125DD">
      <w:pPr>
        <w:spacing w:line="440" w:lineRule="exact"/>
        <w:rPr>
          <w:rFonts w:ascii="Book Antiqua" w:hAnsi="Book Antiqua"/>
          <w:color w:val="000000" w:themeColor="text1"/>
        </w:rPr>
      </w:pPr>
    </w:p>
    <w:p w14:paraId="5B9C8717" w14:textId="77777777" w:rsidR="001125DD" w:rsidRPr="00E224E9" w:rsidRDefault="001125DD" w:rsidP="001125DD">
      <w:pPr>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欄－壽險</w:t>
      </w:r>
    </w:p>
    <w:p w14:paraId="1EF776D1" w14:textId="77777777" w:rsidR="001125DD" w:rsidRPr="00E224E9" w:rsidRDefault="001125DD" w:rsidP="001125DD">
      <w:pPr>
        <w:spacing w:line="440" w:lineRule="exact"/>
        <w:ind w:firstLineChars="300" w:firstLine="780"/>
        <w:jc w:val="both"/>
        <w:rPr>
          <w:rFonts w:ascii="Book Antiqua" w:hAnsi="Book Antiqua"/>
          <w:color w:val="000000" w:themeColor="text1"/>
        </w:rPr>
      </w:pPr>
      <w:r w:rsidRPr="00E224E9">
        <w:rPr>
          <w:rFonts w:ascii="Book Antiqua" w:hAnsi="標楷體"/>
          <w:color w:val="000000" w:themeColor="text1"/>
        </w:rPr>
        <w:t>本欄係指保險公司承保之個人及團體分紅保單人壽保險。</w:t>
      </w:r>
    </w:p>
    <w:p w14:paraId="1695F443" w14:textId="77777777" w:rsidR="001125DD" w:rsidRPr="00E224E9" w:rsidRDefault="001125DD" w:rsidP="001125DD">
      <w:pPr>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欄－年金險</w:t>
      </w:r>
    </w:p>
    <w:p w14:paraId="11C87AFF" w14:textId="77777777" w:rsidR="001125DD" w:rsidRPr="00E224E9" w:rsidRDefault="001125DD" w:rsidP="001125DD">
      <w:pPr>
        <w:spacing w:line="440" w:lineRule="exact"/>
        <w:ind w:firstLineChars="300" w:firstLine="780"/>
        <w:jc w:val="both"/>
        <w:rPr>
          <w:rFonts w:ascii="Book Antiqua" w:hAnsi="Book Antiqua"/>
          <w:color w:val="000000" w:themeColor="text1"/>
        </w:rPr>
      </w:pPr>
      <w:r w:rsidRPr="00E224E9">
        <w:rPr>
          <w:rFonts w:ascii="Book Antiqua" w:hAnsi="標楷體"/>
          <w:color w:val="000000" w:themeColor="text1"/>
        </w:rPr>
        <w:t>本欄係指保險公司承保之個人及團體強制分紅保單年金保險。</w:t>
      </w:r>
    </w:p>
    <w:p w14:paraId="53233525" w14:textId="77777777" w:rsidR="001125DD" w:rsidRPr="00E224E9" w:rsidRDefault="001125DD" w:rsidP="001125DD">
      <w:pPr>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欄－健康險</w:t>
      </w:r>
    </w:p>
    <w:p w14:paraId="08BAA23D" w14:textId="77777777" w:rsidR="001125DD" w:rsidRPr="00E224E9" w:rsidRDefault="001125DD" w:rsidP="001125DD">
      <w:pPr>
        <w:spacing w:line="440" w:lineRule="exact"/>
        <w:ind w:firstLineChars="300" w:firstLine="780"/>
        <w:jc w:val="both"/>
        <w:rPr>
          <w:rFonts w:ascii="Book Antiqua" w:hAnsi="Book Antiqua"/>
          <w:color w:val="000000" w:themeColor="text1"/>
        </w:rPr>
      </w:pPr>
      <w:r w:rsidRPr="00E224E9">
        <w:rPr>
          <w:rFonts w:ascii="Book Antiqua" w:hAnsi="標楷體"/>
          <w:color w:val="000000" w:themeColor="text1"/>
        </w:rPr>
        <w:t>本欄係指保險公司承保之個人及團體分紅保單健康保險。</w:t>
      </w:r>
    </w:p>
    <w:p w14:paraId="7AEEB0CF" w14:textId="77777777" w:rsidR="001125DD" w:rsidRPr="00E224E9" w:rsidRDefault="001125DD" w:rsidP="001125DD">
      <w:pPr>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5</w:t>
      </w:r>
      <w:r w:rsidRPr="00E224E9">
        <w:rPr>
          <w:rFonts w:ascii="Book Antiqua" w:hAnsi="標楷體"/>
          <w:color w:val="000000" w:themeColor="text1"/>
        </w:rPr>
        <w:t>欄－合計</w:t>
      </w:r>
    </w:p>
    <w:p w14:paraId="3201ED4F" w14:textId="77777777" w:rsidR="001125DD" w:rsidRPr="00E224E9" w:rsidRDefault="001125DD" w:rsidP="001125DD">
      <w:pPr>
        <w:spacing w:line="440" w:lineRule="exact"/>
        <w:ind w:firstLineChars="300" w:firstLine="780"/>
        <w:jc w:val="both"/>
        <w:rPr>
          <w:rFonts w:ascii="Book Antiqua" w:hAnsi="Book Antiqua"/>
          <w:color w:val="000000" w:themeColor="text1"/>
        </w:rPr>
      </w:pPr>
      <w:r w:rsidRPr="00E224E9">
        <w:rPr>
          <w:rFonts w:ascii="Book Antiqua" w:hAnsi="標楷體"/>
          <w:color w:val="000000" w:themeColor="text1"/>
        </w:rPr>
        <w:t>本欄之金額為第</w:t>
      </w:r>
      <w:r w:rsidRPr="00E224E9">
        <w:rPr>
          <w:rFonts w:ascii="Book Antiqua" w:hAnsi="Book Antiqua"/>
          <w:color w:val="000000" w:themeColor="text1"/>
        </w:rPr>
        <w:t>2</w:t>
      </w:r>
      <w:r w:rsidRPr="00E224E9">
        <w:rPr>
          <w:rFonts w:ascii="Book Antiqua" w:hAnsi="標楷體"/>
          <w:color w:val="000000" w:themeColor="text1"/>
        </w:rPr>
        <w:t>、</w:t>
      </w:r>
      <w:r w:rsidRPr="00E224E9">
        <w:rPr>
          <w:rFonts w:ascii="Book Antiqua" w:hAnsi="Book Antiqua"/>
          <w:color w:val="000000" w:themeColor="text1"/>
        </w:rPr>
        <w:t>3</w:t>
      </w:r>
      <w:r w:rsidRPr="00E224E9">
        <w:rPr>
          <w:rFonts w:ascii="Book Antiqua" w:hAnsi="標楷體"/>
          <w:color w:val="000000" w:themeColor="text1"/>
        </w:rPr>
        <w:t>、</w:t>
      </w:r>
      <w:r w:rsidRPr="00E224E9">
        <w:rPr>
          <w:rFonts w:ascii="Book Antiqua" w:hAnsi="Book Antiqua"/>
          <w:color w:val="000000" w:themeColor="text1"/>
        </w:rPr>
        <w:t>4</w:t>
      </w:r>
      <w:r w:rsidRPr="00E224E9">
        <w:rPr>
          <w:rFonts w:ascii="Book Antiqua" w:hAnsi="標楷體"/>
          <w:color w:val="000000" w:themeColor="text1"/>
        </w:rPr>
        <w:t>欄加總之和。</w:t>
      </w:r>
    </w:p>
    <w:p w14:paraId="0EF9D023" w14:textId="77777777" w:rsidR="001125DD" w:rsidRPr="00E224E9" w:rsidRDefault="001125DD" w:rsidP="001125DD">
      <w:pPr>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6</w:t>
      </w:r>
      <w:r w:rsidRPr="00E224E9">
        <w:rPr>
          <w:rFonts w:ascii="Book Antiqua" w:hAnsi="標楷體"/>
          <w:color w:val="000000" w:themeColor="text1"/>
        </w:rPr>
        <w:t>欄－備註</w:t>
      </w:r>
    </w:p>
    <w:p w14:paraId="20B2796D"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本欄提供保險公司針對本表進行補充說明。</w:t>
      </w:r>
    </w:p>
    <w:p w14:paraId="79E9129A" w14:textId="77777777" w:rsidR="001125DD" w:rsidRPr="00E224E9" w:rsidRDefault="001125DD" w:rsidP="001125DD">
      <w:pPr>
        <w:spacing w:line="440" w:lineRule="exact"/>
        <w:rPr>
          <w:rFonts w:ascii="Book Antiqua" w:hAnsi="Book Antiqua"/>
          <w:color w:val="000000" w:themeColor="text1"/>
        </w:rPr>
      </w:pPr>
    </w:p>
    <w:p w14:paraId="7D7B8D23"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Pr="00E224E9">
        <w:rPr>
          <w:rFonts w:ascii="Book Antiqua" w:hAnsi="標楷體"/>
          <w:color w:val="000000" w:themeColor="text1"/>
        </w:rPr>
        <w:t>列－抵繳保費</w:t>
      </w:r>
    </w:p>
    <w:p w14:paraId="07E266D6"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係當年度抵繳保費之紅利給付金額合計。</w:t>
      </w:r>
    </w:p>
    <w:p w14:paraId="138FE19B"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列－增額繳清保險</w:t>
      </w:r>
    </w:p>
    <w:p w14:paraId="11CEC430"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係當年度增額繳清之紅利給付金額合計。</w:t>
      </w:r>
    </w:p>
    <w:p w14:paraId="444926DA"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列－現金給付</w:t>
      </w:r>
    </w:p>
    <w:p w14:paraId="456442A0"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係當年度現金給付之紅利給付金額合計。</w:t>
      </w:r>
    </w:p>
    <w:p w14:paraId="325CCE44"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列－存放生息</w:t>
      </w:r>
    </w:p>
    <w:p w14:paraId="2D61CDE3"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係當年度存放生息之紅利給付金額合計。</w:t>
      </w:r>
    </w:p>
    <w:p w14:paraId="1C24465F"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5</w:t>
      </w:r>
      <w:r w:rsidRPr="00E224E9">
        <w:rPr>
          <w:rFonts w:ascii="Book Antiqua" w:hAnsi="標楷體"/>
          <w:color w:val="000000" w:themeColor="text1"/>
        </w:rPr>
        <w:t>列－小計</w:t>
      </w:r>
    </w:p>
    <w:p w14:paraId="36AC7A3C"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本列金額等於第</w:t>
      </w:r>
      <w:r w:rsidRPr="00E224E9">
        <w:rPr>
          <w:rFonts w:ascii="Book Antiqua" w:hAnsi="Book Antiqua"/>
          <w:color w:val="000000" w:themeColor="text1"/>
        </w:rPr>
        <w:t>1</w:t>
      </w:r>
      <w:r w:rsidRPr="00E224E9">
        <w:rPr>
          <w:rFonts w:ascii="Book Antiqua" w:hAnsi="標楷體"/>
          <w:color w:val="000000" w:themeColor="text1"/>
        </w:rPr>
        <w:t>列至第</w:t>
      </w:r>
      <w:r w:rsidRPr="00E224E9">
        <w:rPr>
          <w:rFonts w:ascii="Book Antiqua" w:hAnsi="Book Antiqua"/>
          <w:color w:val="000000" w:themeColor="text1"/>
        </w:rPr>
        <w:t>4</w:t>
      </w:r>
      <w:r w:rsidRPr="00E224E9">
        <w:rPr>
          <w:rFonts w:ascii="Book Antiqua" w:hAnsi="標楷體"/>
          <w:color w:val="000000" w:themeColor="text1"/>
        </w:rPr>
        <w:t>列之和。</w:t>
      </w:r>
    </w:p>
    <w:p w14:paraId="11DA33D4"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6</w:t>
      </w:r>
      <w:r w:rsidRPr="00E224E9">
        <w:rPr>
          <w:rFonts w:ascii="Book Antiqua" w:hAnsi="標楷體"/>
          <w:color w:val="000000" w:themeColor="text1"/>
        </w:rPr>
        <w:t>列－</w:t>
      </w:r>
      <w:r w:rsidR="00D40EB3" w:rsidRPr="00E224E9">
        <w:rPr>
          <w:rFonts w:ascii="Book Antiqua" w:hAnsi="標楷體" w:hint="eastAsia"/>
          <w:color w:val="000000" w:themeColor="text1"/>
        </w:rPr>
        <w:t>期</w:t>
      </w:r>
      <w:r w:rsidRPr="00E224E9">
        <w:rPr>
          <w:rFonts w:ascii="Book Antiqua" w:hAnsi="標楷體"/>
          <w:color w:val="000000" w:themeColor="text1"/>
        </w:rPr>
        <w:t>末其他應付款</w:t>
      </w:r>
      <w:r w:rsidRPr="00E224E9">
        <w:rPr>
          <w:rFonts w:ascii="Book Antiqua" w:hAnsi="Book Antiqua"/>
          <w:color w:val="000000" w:themeColor="text1"/>
        </w:rPr>
        <w:t>—</w:t>
      </w:r>
      <w:r w:rsidRPr="00E224E9">
        <w:rPr>
          <w:rFonts w:ascii="Book Antiqua" w:hAnsi="標楷體"/>
          <w:color w:val="000000" w:themeColor="text1"/>
        </w:rPr>
        <w:t>分紅保單紅利</w:t>
      </w:r>
    </w:p>
    <w:p w14:paraId="7B03124C"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本列之金額係指會計帳上因分紅保單</w:t>
      </w:r>
      <w:r w:rsidR="00D40EB3" w:rsidRPr="00E224E9">
        <w:rPr>
          <w:rFonts w:ascii="Book Antiqua" w:hAnsi="標楷體" w:hint="eastAsia"/>
          <w:color w:val="000000" w:themeColor="text1"/>
        </w:rPr>
        <w:t>期</w:t>
      </w:r>
      <w:r w:rsidRPr="00E224E9">
        <w:rPr>
          <w:rFonts w:ascii="Book Antiqua" w:hAnsi="標楷體"/>
          <w:color w:val="000000" w:themeColor="text1"/>
        </w:rPr>
        <w:t>末累積尚未發放紅利之累計餘額。</w:t>
      </w:r>
    </w:p>
    <w:p w14:paraId="3FE1D5FC"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7</w:t>
      </w:r>
      <w:r w:rsidRPr="00E224E9">
        <w:rPr>
          <w:rFonts w:ascii="Book Antiqua" w:hAnsi="標楷體"/>
          <w:color w:val="000000" w:themeColor="text1"/>
        </w:rPr>
        <w:t>列－</w:t>
      </w:r>
      <w:r w:rsidR="00D40EB3" w:rsidRPr="00E224E9">
        <w:rPr>
          <w:rFonts w:ascii="Book Antiqua" w:hAnsi="標楷體" w:hint="eastAsia"/>
          <w:color w:val="000000" w:themeColor="text1"/>
        </w:rPr>
        <w:t>期初</w:t>
      </w:r>
      <w:r w:rsidRPr="00E224E9">
        <w:rPr>
          <w:rFonts w:ascii="Book Antiqua" w:hAnsi="標楷體"/>
          <w:color w:val="000000" w:themeColor="text1"/>
        </w:rPr>
        <w:t>其他應付款</w:t>
      </w:r>
      <w:r w:rsidRPr="00E224E9">
        <w:rPr>
          <w:rFonts w:ascii="Book Antiqua" w:hAnsi="Book Antiqua"/>
          <w:color w:val="000000" w:themeColor="text1"/>
        </w:rPr>
        <w:t>—</w:t>
      </w:r>
      <w:r w:rsidRPr="00E224E9">
        <w:rPr>
          <w:rFonts w:ascii="Book Antiqua" w:hAnsi="標楷體"/>
          <w:color w:val="000000" w:themeColor="text1"/>
        </w:rPr>
        <w:t>分紅保單紅利</w:t>
      </w:r>
    </w:p>
    <w:p w14:paraId="55DAFF6F"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本列之金額係指會計帳上分紅保單上年度末尚未發放紅利之累計餘額。</w:t>
      </w:r>
    </w:p>
    <w:p w14:paraId="4D862BD3"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8</w:t>
      </w:r>
      <w:r w:rsidRPr="00E224E9">
        <w:rPr>
          <w:rFonts w:ascii="Book Antiqua" w:hAnsi="標楷體"/>
          <w:color w:val="000000" w:themeColor="text1"/>
        </w:rPr>
        <w:t>列－小計</w:t>
      </w:r>
    </w:p>
    <w:p w14:paraId="2F4C2A13"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本列金額等於第</w:t>
      </w:r>
      <w:r w:rsidRPr="00E224E9">
        <w:rPr>
          <w:rFonts w:ascii="Book Antiqua" w:hAnsi="Book Antiqua"/>
          <w:color w:val="000000" w:themeColor="text1"/>
        </w:rPr>
        <w:t>5</w:t>
      </w:r>
      <w:r w:rsidRPr="00E224E9">
        <w:rPr>
          <w:rFonts w:ascii="Book Antiqua" w:hAnsi="標楷體"/>
          <w:color w:val="000000" w:themeColor="text1"/>
        </w:rPr>
        <w:t>列加第</w:t>
      </w:r>
      <w:r w:rsidRPr="00E224E9">
        <w:rPr>
          <w:rFonts w:ascii="Book Antiqua" w:hAnsi="Book Antiqua"/>
          <w:color w:val="000000" w:themeColor="text1"/>
        </w:rPr>
        <w:t>6</w:t>
      </w:r>
      <w:r w:rsidRPr="00E224E9">
        <w:rPr>
          <w:rFonts w:ascii="Book Antiqua" w:hAnsi="標楷體"/>
          <w:color w:val="000000" w:themeColor="text1"/>
        </w:rPr>
        <w:t>列減第</w:t>
      </w:r>
      <w:r w:rsidRPr="00E224E9">
        <w:rPr>
          <w:rFonts w:ascii="Book Antiqua" w:hAnsi="Book Antiqua"/>
          <w:color w:val="000000" w:themeColor="text1"/>
        </w:rPr>
        <w:t>7</w:t>
      </w:r>
      <w:r w:rsidRPr="00E224E9">
        <w:rPr>
          <w:rFonts w:ascii="Book Antiqua" w:hAnsi="標楷體"/>
          <w:color w:val="000000" w:themeColor="text1"/>
        </w:rPr>
        <w:t>列之金額。</w:t>
      </w:r>
    </w:p>
    <w:p w14:paraId="17F6EE60"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lastRenderedPageBreak/>
        <w:t>第</w:t>
      </w:r>
      <w:r w:rsidRPr="00E224E9">
        <w:rPr>
          <w:rFonts w:ascii="Book Antiqua" w:hAnsi="Book Antiqua"/>
          <w:color w:val="000000" w:themeColor="text1"/>
        </w:rPr>
        <w:t>9</w:t>
      </w:r>
      <w:r w:rsidRPr="00E224E9">
        <w:rPr>
          <w:rFonts w:ascii="Book Antiqua" w:hAnsi="標楷體"/>
          <w:color w:val="000000" w:themeColor="text1"/>
        </w:rPr>
        <w:t>列－</w:t>
      </w:r>
      <w:r w:rsidR="00D40EB3" w:rsidRPr="00E224E9">
        <w:rPr>
          <w:rFonts w:ascii="Book Antiqua" w:hAnsi="標楷體" w:hint="eastAsia"/>
          <w:color w:val="000000" w:themeColor="text1"/>
        </w:rPr>
        <w:t>期</w:t>
      </w:r>
      <w:r w:rsidRPr="00E224E9">
        <w:rPr>
          <w:rFonts w:ascii="Book Antiqua" w:hAnsi="標楷體"/>
          <w:color w:val="000000" w:themeColor="text1"/>
        </w:rPr>
        <w:t>末特別準備金</w:t>
      </w:r>
      <w:r w:rsidRPr="00E224E9">
        <w:rPr>
          <w:rFonts w:ascii="Book Antiqua" w:hAnsi="Book Antiqua"/>
          <w:color w:val="000000" w:themeColor="text1"/>
        </w:rPr>
        <w:t>—</w:t>
      </w:r>
      <w:r w:rsidRPr="00E224E9">
        <w:rPr>
          <w:rFonts w:ascii="Book Antiqua" w:hAnsi="標楷體"/>
          <w:color w:val="000000" w:themeColor="text1"/>
        </w:rPr>
        <w:t>分紅保單紅利準備</w:t>
      </w:r>
    </w:p>
    <w:p w14:paraId="772399AF"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本列之紅利準備係壽險業於</w:t>
      </w:r>
      <w:r w:rsidR="00D40EB3" w:rsidRPr="00E224E9">
        <w:rPr>
          <w:rFonts w:ascii="Book Antiqua" w:hAnsi="標楷體" w:hint="eastAsia"/>
          <w:color w:val="000000" w:themeColor="text1"/>
        </w:rPr>
        <w:t>期末</w:t>
      </w:r>
      <w:r w:rsidRPr="00E224E9">
        <w:rPr>
          <w:rFonts w:ascii="Book Antiqua" w:hAnsi="標楷體"/>
          <w:color w:val="000000" w:themeColor="text1"/>
        </w:rPr>
        <w:t>結算時，尚未分配之分紅保單累積盈餘。</w:t>
      </w:r>
    </w:p>
    <w:p w14:paraId="2BCBD359"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10</w:t>
      </w:r>
      <w:r w:rsidRPr="00E224E9">
        <w:rPr>
          <w:rFonts w:ascii="Book Antiqua" w:hAnsi="標楷體"/>
          <w:color w:val="000000" w:themeColor="text1"/>
        </w:rPr>
        <w:t>列－</w:t>
      </w:r>
      <w:r w:rsidR="00D40EB3" w:rsidRPr="00E224E9">
        <w:rPr>
          <w:rFonts w:ascii="Book Antiqua" w:hAnsi="標楷體" w:hint="eastAsia"/>
          <w:color w:val="000000" w:themeColor="text1"/>
        </w:rPr>
        <w:t>期初</w:t>
      </w:r>
      <w:r w:rsidRPr="00E224E9">
        <w:rPr>
          <w:rFonts w:ascii="Book Antiqua" w:hAnsi="標楷體"/>
          <w:color w:val="000000" w:themeColor="text1"/>
        </w:rPr>
        <w:t>特別準備金</w:t>
      </w:r>
      <w:r w:rsidRPr="00E224E9">
        <w:rPr>
          <w:rFonts w:ascii="Book Antiqua" w:hAnsi="Book Antiqua"/>
          <w:color w:val="000000" w:themeColor="text1"/>
        </w:rPr>
        <w:t>—</w:t>
      </w:r>
      <w:r w:rsidRPr="00E224E9">
        <w:rPr>
          <w:rFonts w:ascii="Book Antiqua" w:hAnsi="標楷體"/>
          <w:color w:val="000000" w:themeColor="text1"/>
        </w:rPr>
        <w:t>分紅保單紅利準備</w:t>
      </w:r>
    </w:p>
    <w:p w14:paraId="4577D213"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本列之紅利準備係壽險業於上個會計年度結算時，尚未分配之分紅保單累積盈餘。</w:t>
      </w:r>
    </w:p>
    <w:p w14:paraId="20C30D74"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11</w:t>
      </w:r>
      <w:r w:rsidRPr="00E224E9">
        <w:rPr>
          <w:rFonts w:ascii="Book Antiqua" w:hAnsi="標楷體"/>
          <w:color w:val="000000" w:themeColor="text1"/>
        </w:rPr>
        <w:t>列－期初特別準備金</w:t>
      </w:r>
      <w:r w:rsidRPr="00E224E9">
        <w:rPr>
          <w:rFonts w:ascii="Book Antiqua" w:hAnsi="Book Antiqua"/>
          <w:color w:val="000000" w:themeColor="text1"/>
        </w:rPr>
        <w:t>—</w:t>
      </w:r>
      <w:r w:rsidRPr="00E224E9">
        <w:rPr>
          <w:rFonts w:ascii="Book Antiqua" w:hAnsi="標楷體"/>
          <w:color w:val="000000" w:themeColor="text1"/>
        </w:rPr>
        <w:t>紅利風險準備</w:t>
      </w:r>
    </w:p>
    <w:p w14:paraId="75E7D9DA"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當第</w:t>
      </w:r>
      <w:r w:rsidRPr="00E224E9">
        <w:rPr>
          <w:rFonts w:ascii="Book Antiqua" w:hAnsi="Book Antiqua"/>
          <w:color w:val="000000" w:themeColor="text1"/>
        </w:rPr>
        <w:t>10</w:t>
      </w:r>
      <w:r w:rsidRPr="00E224E9">
        <w:rPr>
          <w:rFonts w:ascii="Book Antiqua" w:hAnsi="標楷體"/>
          <w:color w:val="000000" w:themeColor="text1"/>
        </w:rPr>
        <w:t>列</w:t>
      </w:r>
      <w:r w:rsidRPr="00E224E9">
        <w:rPr>
          <w:rFonts w:ascii="Book Antiqua" w:hAnsi="Book Antiqua"/>
          <w:color w:val="000000" w:themeColor="text1"/>
        </w:rPr>
        <w:softHyphen/>
      </w:r>
      <w:r w:rsidRPr="00E224E9">
        <w:rPr>
          <w:rFonts w:ascii="Book Antiqua" w:hAnsi="標楷體"/>
          <w:color w:val="000000" w:themeColor="text1"/>
        </w:rPr>
        <w:t>－「</w:t>
      </w:r>
      <w:r w:rsidR="00D40EB3" w:rsidRPr="00E224E9">
        <w:rPr>
          <w:rFonts w:ascii="Book Antiqua" w:hAnsi="標楷體" w:hint="eastAsia"/>
          <w:color w:val="000000" w:themeColor="text1"/>
        </w:rPr>
        <w:t>期初</w:t>
      </w:r>
      <w:r w:rsidRPr="00E224E9">
        <w:rPr>
          <w:rFonts w:ascii="Book Antiqua" w:hAnsi="標楷體"/>
          <w:color w:val="000000" w:themeColor="text1"/>
        </w:rPr>
        <w:t>特別準備金</w:t>
      </w:r>
      <w:r w:rsidRPr="00E224E9">
        <w:rPr>
          <w:rFonts w:ascii="Book Antiqua" w:hAnsi="Book Antiqua"/>
          <w:color w:val="000000" w:themeColor="text1"/>
        </w:rPr>
        <w:t>—</w:t>
      </w:r>
      <w:r w:rsidRPr="00E224E9">
        <w:rPr>
          <w:rFonts w:ascii="Book Antiqua" w:hAnsi="標楷體"/>
          <w:color w:val="000000" w:themeColor="text1"/>
        </w:rPr>
        <w:t>分紅保單紅利準備」為負值，則該列填入其負數之金額，若紅利準備之值為正，該列之值為</w:t>
      </w:r>
      <w:r w:rsidRPr="00E224E9">
        <w:rPr>
          <w:rFonts w:ascii="Book Antiqua" w:hAnsi="Book Antiqua"/>
          <w:color w:val="000000" w:themeColor="text1"/>
        </w:rPr>
        <w:t>0</w:t>
      </w:r>
      <w:r w:rsidRPr="00E224E9">
        <w:rPr>
          <w:rFonts w:ascii="Book Antiqua" w:hAnsi="標楷體"/>
          <w:color w:val="000000" w:themeColor="text1"/>
        </w:rPr>
        <w:t>。</w:t>
      </w:r>
    </w:p>
    <w:p w14:paraId="5A9D81AC"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12</w:t>
      </w:r>
      <w:r w:rsidRPr="00E224E9">
        <w:rPr>
          <w:rFonts w:ascii="Book Antiqua" w:hAnsi="標楷體"/>
          <w:color w:val="000000" w:themeColor="text1"/>
        </w:rPr>
        <w:t>列－期末特別準備金</w:t>
      </w:r>
      <w:r w:rsidRPr="00E224E9">
        <w:rPr>
          <w:rFonts w:ascii="Book Antiqua" w:hAnsi="Book Antiqua"/>
          <w:color w:val="000000" w:themeColor="text1"/>
        </w:rPr>
        <w:t>—</w:t>
      </w:r>
      <w:r w:rsidRPr="00E224E9">
        <w:rPr>
          <w:rFonts w:ascii="Book Antiqua" w:hAnsi="標楷體"/>
          <w:color w:val="000000" w:themeColor="text1"/>
        </w:rPr>
        <w:t>紅利風險準備</w:t>
      </w:r>
    </w:p>
    <w:p w14:paraId="67847887" w14:textId="77777777" w:rsidR="001125DD" w:rsidRPr="00E224E9" w:rsidRDefault="001125DD" w:rsidP="001125DD">
      <w:pPr>
        <w:spacing w:line="440" w:lineRule="exact"/>
        <w:ind w:leftChars="272" w:left="707"/>
        <w:rPr>
          <w:rFonts w:ascii="Book Antiqua" w:hAnsi="Book Antiqua"/>
          <w:color w:val="000000" w:themeColor="text1"/>
        </w:rPr>
      </w:pPr>
      <w:r w:rsidRPr="00E224E9">
        <w:rPr>
          <w:rFonts w:ascii="Book Antiqua" w:hAnsi="標楷體"/>
          <w:color w:val="000000" w:themeColor="text1"/>
        </w:rPr>
        <w:t>當第</w:t>
      </w:r>
      <w:r w:rsidRPr="00E224E9">
        <w:rPr>
          <w:rFonts w:ascii="Book Antiqua" w:hAnsi="Book Antiqua"/>
          <w:color w:val="000000" w:themeColor="text1"/>
        </w:rPr>
        <w:t>9</w:t>
      </w:r>
      <w:r w:rsidRPr="00E224E9">
        <w:rPr>
          <w:rFonts w:ascii="Book Antiqua" w:hAnsi="標楷體"/>
          <w:color w:val="000000" w:themeColor="text1"/>
        </w:rPr>
        <w:t>列</w:t>
      </w:r>
      <w:r w:rsidRPr="00E224E9">
        <w:rPr>
          <w:rFonts w:ascii="Book Antiqua" w:hAnsi="Book Antiqua"/>
          <w:color w:val="000000" w:themeColor="text1"/>
        </w:rPr>
        <w:softHyphen/>
      </w:r>
      <w:r w:rsidRPr="00E224E9">
        <w:rPr>
          <w:rFonts w:ascii="Book Antiqua" w:hAnsi="標楷體"/>
          <w:color w:val="000000" w:themeColor="text1"/>
        </w:rPr>
        <w:t>－</w:t>
      </w:r>
      <w:r w:rsidR="00D40EB3" w:rsidRPr="00E224E9">
        <w:rPr>
          <w:rFonts w:ascii="Book Antiqua" w:hAnsi="標楷體" w:hint="eastAsia"/>
          <w:color w:val="000000" w:themeColor="text1"/>
        </w:rPr>
        <w:t>期</w:t>
      </w:r>
      <w:r w:rsidRPr="00E224E9">
        <w:rPr>
          <w:rFonts w:ascii="Book Antiqua" w:hAnsi="標楷體"/>
          <w:color w:val="000000" w:themeColor="text1"/>
        </w:rPr>
        <w:t>末特別準備金</w:t>
      </w:r>
      <w:r w:rsidRPr="00E224E9">
        <w:rPr>
          <w:rFonts w:ascii="Book Antiqua" w:hAnsi="Book Antiqua"/>
          <w:color w:val="000000" w:themeColor="text1"/>
        </w:rPr>
        <w:t>—</w:t>
      </w:r>
      <w:r w:rsidRPr="00E224E9">
        <w:rPr>
          <w:rFonts w:ascii="Book Antiqua" w:hAnsi="標楷體"/>
          <w:color w:val="000000" w:themeColor="text1"/>
        </w:rPr>
        <w:t>分紅保單紅利準備為負值，則該列填入其負數之金額，若紅利準備之值為正，該列之值為</w:t>
      </w:r>
      <w:r w:rsidRPr="00E224E9">
        <w:rPr>
          <w:rFonts w:ascii="Book Antiqua" w:hAnsi="Book Antiqua"/>
          <w:color w:val="000000" w:themeColor="text1"/>
        </w:rPr>
        <w:t>0</w:t>
      </w:r>
      <w:r w:rsidRPr="00E224E9">
        <w:rPr>
          <w:rFonts w:ascii="Book Antiqua" w:hAnsi="標楷體"/>
          <w:color w:val="000000" w:themeColor="text1"/>
        </w:rPr>
        <w:t>。</w:t>
      </w:r>
    </w:p>
    <w:p w14:paraId="6010B319"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13</w:t>
      </w:r>
      <w:r w:rsidRPr="00E224E9">
        <w:rPr>
          <w:rFonts w:ascii="Book Antiqua" w:hAnsi="標楷體"/>
          <w:color w:val="000000" w:themeColor="text1"/>
        </w:rPr>
        <w:t>列－本期轉入金額</w:t>
      </w:r>
      <w:r w:rsidRPr="00E224E9">
        <w:rPr>
          <w:rFonts w:ascii="Book Antiqua" w:hAnsi="Book Antiqua"/>
          <w:color w:val="000000" w:themeColor="text1"/>
        </w:rPr>
        <w:t>(=</w:t>
      </w:r>
      <w:r w:rsidRPr="00E224E9">
        <w:rPr>
          <w:rFonts w:ascii="Book Antiqua" w:hAnsi="標楷體"/>
          <w:color w:val="000000" w:themeColor="text1"/>
        </w:rPr>
        <w:t>分紅保單稅前損益</w:t>
      </w:r>
      <w:r w:rsidRPr="00E224E9">
        <w:rPr>
          <w:rFonts w:ascii="Book Antiqua" w:hAnsi="Book Antiqua"/>
          <w:color w:val="000000" w:themeColor="text1"/>
        </w:rPr>
        <w:t>)</w:t>
      </w:r>
    </w:p>
    <w:p w14:paraId="7BB3C109" w14:textId="77777777" w:rsidR="001125DD" w:rsidRPr="00E224E9" w:rsidRDefault="001125DD" w:rsidP="001125DD">
      <w:pPr>
        <w:spacing w:line="440" w:lineRule="exact"/>
        <w:ind w:leftChars="272" w:left="707"/>
        <w:rPr>
          <w:rFonts w:ascii="Book Antiqua" w:hAnsi="Book Antiqua"/>
          <w:color w:val="000000" w:themeColor="text1"/>
        </w:rPr>
      </w:pPr>
      <w:r w:rsidRPr="00E224E9">
        <w:rPr>
          <w:rFonts w:ascii="Book Antiqua" w:hAnsi="標楷體"/>
          <w:color w:val="000000" w:themeColor="text1"/>
        </w:rPr>
        <w:t>該列填入本</w:t>
      </w:r>
      <w:r w:rsidR="00D40EB3" w:rsidRPr="00E224E9">
        <w:rPr>
          <w:rFonts w:ascii="Book Antiqua" w:hAnsi="標楷體" w:hint="eastAsia"/>
          <w:color w:val="000000" w:themeColor="text1"/>
        </w:rPr>
        <w:t>期期</w:t>
      </w:r>
      <w:r w:rsidRPr="00E224E9">
        <w:rPr>
          <w:rFonts w:ascii="Book Antiqua" w:hAnsi="標楷體"/>
          <w:color w:val="000000" w:themeColor="text1"/>
        </w:rPr>
        <w:t>末分紅保單稅前損益之金額。</w:t>
      </w:r>
    </w:p>
    <w:p w14:paraId="3A01793F" w14:textId="77777777" w:rsidR="001125DD" w:rsidRPr="00E224E9" w:rsidRDefault="001125DD" w:rsidP="001125DD">
      <w:pPr>
        <w:rPr>
          <w:rFonts w:ascii="Book Antiqua" w:hAnsi="Book Antiqua"/>
          <w:color w:val="000000" w:themeColor="text1"/>
        </w:rPr>
      </w:pPr>
    </w:p>
    <w:p w14:paraId="65952CD8" w14:textId="77777777" w:rsidR="00065C53" w:rsidRPr="00E224E9" w:rsidRDefault="001125DD" w:rsidP="001125DD">
      <w:pPr>
        <w:pStyle w:val="1"/>
        <w:spacing w:afterLines="0" w:line="440" w:lineRule="exact"/>
        <w:jc w:val="both"/>
        <w:rPr>
          <w:color w:val="000000" w:themeColor="text1"/>
        </w:rPr>
      </w:pPr>
      <w:r w:rsidRPr="00E224E9">
        <w:rPr>
          <w:rFonts w:ascii="Book Antiqua" w:hAnsi="Book Antiqua"/>
          <w:color w:val="000000" w:themeColor="text1"/>
        </w:rPr>
        <w:br w:type="page"/>
      </w:r>
      <w:bookmarkStart w:id="95" w:name="_Toc200468539"/>
      <w:r w:rsidR="00065C53" w:rsidRPr="00E224E9">
        <w:rPr>
          <w:rFonts w:hint="eastAsia"/>
          <w:color w:val="000000" w:themeColor="text1"/>
        </w:rPr>
        <w:lastRenderedPageBreak/>
        <w:t>表23：有效契約責任準備金明細表</w:t>
      </w:r>
      <w:bookmarkEnd w:id="94"/>
      <w:bookmarkEnd w:id="95"/>
    </w:p>
    <w:p w14:paraId="26E634D6"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本報表的目的在於表達人身保險業對各險種提列責任準備金之狀況，藉以了解保險公司對於責任準備金之提列是否適足，以確保其清償能力。</w:t>
      </w:r>
    </w:p>
    <w:p w14:paraId="6885AB7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各險種茲以下列七欄表示:</w:t>
      </w:r>
    </w:p>
    <w:p w14:paraId="6B0FD72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一、差值基礎</w:t>
      </w:r>
    </w:p>
    <w:p w14:paraId="59BD2A9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第2欄－有效契約保險金額</w:t>
      </w:r>
    </w:p>
    <w:p w14:paraId="4916AFDA" w14:textId="77777777" w:rsidR="00065C53" w:rsidRPr="00E224E9"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在決算日其契約效力仍存在之契約之當(半)年度保險金額。</w:t>
      </w:r>
    </w:p>
    <w:p w14:paraId="06651A5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第3欄－分出保險金額</w:t>
      </w:r>
    </w:p>
    <w:p w14:paraId="6FB0FEEE" w14:textId="77777777" w:rsidR="00065C53" w:rsidRPr="00E224E9"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係指分出再保險業務之契約之當(半)年度保險金額。</w:t>
      </w:r>
    </w:p>
    <w:p w14:paraId="7430E38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第4欄－淨有效契約保險金額</w:t>
      </w:r>
    </w:p>
    <w:p w14:paraId="12967211"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本欄之金額為第2欄減除第3欄後之金額。</w:t>
      </w:r>
    </w:p>
    <w:p w14:paraId="30A2A18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第6欄－利率</w:t>
      </w:r>
    </w:p>
    <w:p w14:paraId="6A1CCB4E" w14:textId="77777777" w:rsidR="00065C53" w:rsidRPr="00E224E9"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本欄之數值為責任準備金應依據之利率</w:t>
      </w:r>
      <w:r w:rsidR="00D74C99" w:rsidRPr="00E224E9">
        <w:rPr>
          <w:rFonts w:ascii="標楷體" w:hAnsi="標楷體" w:hint="eastAsia"/>
          <w:color w:val="000000" w:themeColor="text1"/>
          <w:sz w:val="24"/>
        </w:rPr>
        <w:t>，若一保險商品有不同責任準備金利率或保單價值準備金利率時，請拆分不同列號填列</w:t>
      </w:r>
      <w:r w:rsidRPr="00E224E9">
        <w:rPr>
          <w:rFonts w:ascii="標楷體" w:hAnsi="標楷體" w:hint="eastAsia"/>
          <w:color w:val="000000" w:themeColor="text1"/>
          <w:sz w:val="24"/>
        </w:rPr>
        <w:t>。為促進壽險業強化財務及健全業務發展，以確保清償能力，自民國九十三年一月一日起簽發之保險契約計算責任準備金所依據之利率以不高於年息二厘，並以不超過計算保險費之預定利率為準。</w:t>
      </w:r>
    </w:p>
    <w:p w14:paraId="6DB05FC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第7欄－計算方法</w:t>
      </w:r>
    </w:p>
    <w:p w14:paraId="22582DF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依據「保險業各種準備金提存辦法」第十二條規定填列採用方式。</w:t>
      </w:r>
    </w:p>
    <w:p w14:paraId="2BE8253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第8欄－責任準備金</w:t>
      </w:r>
    </w:p>
    <w:p w14:paraId="03E76EB8"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係指依保險法之規定所需提存之責任準備金金額，其應包括長期保單未屆保單年度所提之準備金及本保單年度未經過部分所提之準備金。</w:t>
      </w:r>
    </w:p>
    <w:p w14:paraId="608F38D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第9欄－分出責任準備金</w:t>
      </w:r>
    </w:p>
    <w:p w14:paraId="7185AD68"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係指分出再保險業務依保險法之規定所需提存之責任準備金金額，其應包括長期保單未屆保單年度所提之準備金及本保單年度未經過部分所提之準備金。</w:t>
      </w:r>
    </w:p>
    <w:p w14:paraId="305A6C4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第10欄－責任準備金(淨額)</w:t>
      </w:r>
    </w:p>
    <w:p w14:paraId="17F90FF4"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本欄之金額為第8欄減除第9欄後之金額。</w:t>
      </w:r>
    </w:p>
    <w:p w14:paraId="48E5B88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第11欄－淨危險保額</w:t>
      </w:r>
    </w:p>
    <w:p w14:paraId="2FE5691D"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本欄之金額為第2欄減除第6欄後之金額。</w:t>
      </w:r>
    </w:p>
    <w:p w14:paraId="0EFE555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第12欄－保單預定利率</w:t>
      </w:r>
    </w:p>
    <w:p w14:paraId="4E1D330A"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保險費計算基礎之利率。</w:t>
      </w:r>
    </w:p>
    <w:p w14:paraId="513BDC3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第14欄－保單分紅利率</w:t>
      </w:r>
    </w:p>
    <w:p w14:paraId="007B7B0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lastRenderedPageBreak/>
        <w:t>保單分紅利率應依中華民國人壽保險商業同業公會公布者為準,採評估(半)年度之(半)年平均值,但自由分紅保單則依各該商品契約所訂年度紅利分配利率列示。</w:t>
      </w:r>
    </w:p>
    <w:p w14:paraId="1C2A8D1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第15欄－個人險/團體險</w:t>
      </w:r>
    </w:p>
    <w:p w14:paraId="27744A6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請依險種內容填列A.個人險,B.團體險,C.其他。</w:t>
      </w:r>
    </w:p>
    <w:p w14:paraId="335757F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第16欄－幣別</w:t>
      </w:r>
    </w:p>
    <w:p w14:paraId="38D5F782"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依傳統外幣保單之責任準備金之原始幣別加註幣別代號：USD(美元)、EUR(歐元)、JPY(日圓)、GBP(英鎊)、AUD(澳幣)、HKD(港幣)、CHF(瑞士法郎)。</w:t>
      </w:r>
    </w:p>
    <w:p w14:paraId="0384F97B" w14:textId="77777777" w:rsidR="007A7B95" w:rsidRPr="00E224E9" w:rsidRDefault="007A7B95" w:rsidP="007A7B95">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第17欄－傳統型/投資型</w:t>
      </w:r>
    </w:p>
    <w:p w14:paraId="1F6384CE" w14:textId="77777777" w:rsidR="007A7B95" w:rsidRPr="00E224E9" w:rsidRDefault="007A7B95">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請依險種內容填列A.傳統型,B.投資型,C.其他。</w:t>
      </w:r>
    </w:p>
    <w:p w14:paraId="47EA9140" w14:textId="77777777" w:rsidR="00065C53" w:rsidRPr="00E224E9" w:rsidRDefault="00065C53">
      <w:pPr>
        <w:pStyle w:val="20"/>
        <w:spacing w:line="440" w:lineRule="exact"/>
        <w:rPr>
          <w:color w:val="000000" w:themeColor="text1"/>
          <w:sz w:val="24"/>
        </w:rPr>
      </w:pPr>
      <w:r w:rsidRPr="00E224E9">
        <w:rPr>
          <w:rFonts w:hint="eastAsia"/>
          <w:color w:val="000000" w:themeColor="text1"/>
          <w:sz w:val="24"/>
        </w:rPr>
        <w:t>各險種之分類及其帳載內涵，應依保險法及其施行細則及其相關解釋函令之規定。</w:t>
      </w:r>
    </w:p>
    <w:p w14:paraId="0CD329D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第1列－生存保險</w:t>
      </w:r>
    </w:p>
    <w:p w14:paraId="1BF975BA"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係以被保險人屆一定年齡仍然生存者為保險事故之保險。</w:t>
      </w:r>
    </w:p>
    <w:p w14:paraId="4C2618C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第2列－非自由分紅保單</w:t>
      </w:r>
    </w:p>
    <w:p w14:paraId="6C90F9E2"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本項包含民國九十三年一月一日以前所銷售的強制分紅保單及自民國九十三年一月一日起，採行不提供分配紅利的方式設計之保單。</w:t>
      </w:r>
    </w:p>
    <w:p w14:paraId="10CF356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第3列－第5列</w:t>
      </w:r>
    </w:p>
    <w:p w14:paraId="7840BC9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為各個非自由分紅生存保險保單名稱。</w:t>
      </w:r>
    </w:p>
    <w:p w14:paraId="669080B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第6列－小計</w:t>
      </w:r>
    </w:p>
    <w:p w14:paraId="50A7CB5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為第3列到第5列之金額加總。</w:t>
      </w:r>
    </w:p>
    <w:p w14:paraId="5031C6E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第7列－自由分紅保單</w:t>
      </w:r>
    </w:p>
    <w:p w14:paraId="20A7E854"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自民國九十三年一月一日起，採行由保險公司自行提供分配紅利之設計的保單。</w:t>
      </w:r>
    </w:p>
    <w:p w14:paraId="6488ADA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第8列－第10列</w:t>
      </w:r>
    </w:p>
    <w:p w14:paraId="6A7A3F3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為各個自由分紅生存保險保單名稱。</w:t>
      </w:r>
    </w:p>
    <w:p w14:paraId="6ED854F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第11列－小計</w:t>
      </w:r>
    </w:p>
    <w:p w14:paraId="7C40206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為第8列到第10列之金額加總。</w:t>
      </w:r>
    </w:p>
    <w:p w14:paraId="4327204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第12列－生死合險</w:t>
      </w:r>
    </w:p>
    <w:p w14:paraId="4F0EF593"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依據保險法施行細則第13條規定生死合險，指保險人於被保險人在契約規定年限內死亡或屆契約規定年限仍生存時，保險人依照契約均須負給付保險金額責任之生存與死亡兩種混合組成之保險。</w:t>
      </w:r>
    </w:p>
    <w:p w14:paraId="0BEFECC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第13列－第24列</w:t>
      </w:r>
    </w:p>
    <w:p w14:paraId="0E5C83F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為各個生死合險保單名稱。</w:t>
      </w:r>
    </w:p>
    <w:p w14:paraId="0E3F482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lastRenderedPageBreak/>
        <w:t>第25列－小計</w:t>
      </w:r>
    </w:p>
    <w:p w14:paraId="2CBF436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為第13列到第24列之金額加總。</w:t>
      </w:r>
    </w:p>
    <w:p w14:paraId="4089945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第26列－死亡保險</w:t>
      </w:r>
    </w:p>
    <w:p w14:paraId="790CCA35"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係指被保險人於保險期間死亡，由保險人給付一定金額之保險。</w:t>
      </w:r>
    </w:p>
    <w:p w14:paraId="7AB6561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第27列－第35列</w:t>
      </w:r>
    </w:p>
    <w:p w14:paraId="40111CCD"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為各個死亡保險保單名稱。</w:t>
      </w:r>
    </w:p>
    <w:p w14:paraId="6B8AAEB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第36列－小計</w:t>
      </w:r>
    </w:p>
    <w:p w14:paraId="425DEFA2"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為第27列到第35列之金額加總。</w:t>
      </w:r>
    </w:p>
    <w:p w14:paraId="28BF009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第37列－長期健康保險</w:t>
      </w:r>
    </w:p>
    <w:p w14:paraId="428608B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指保險期間超過一年的健康保險，下分為有給付上限及無給付上限。</w:t>
      </w:r>
    </w:p>
    <w:p w14:paraId="2B09B50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第38列－長期健康保險－有給付上限</w:t>
      </w:r>
    </w:p>
    <w:p w14:paraId="2E7328E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係指每一被保險人於保單保障期間內給付總額是確定的，在給付已達上現時，保單即失去效力。</w:t>
      </w:r>
    </w:p>
    <w:p w14:paraId="12F62CA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第39列－第43列</w:t>
      </w:r>
    </w:p>
    <w:p w14:paraId="091C7FC8"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為各個長期健康保險－有給付上限者之保單名稱。</w:t>
      </w:r>
    </w:p>
    <w:p w14:paraId="255EBF1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第44列－小計</w:t>
      </w:r>
    </w:p>
    <w:p w14:paraId="3ED5F8B3"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為第39列到第43金額加總。</w:t>
      </w:r>
    </w:p>
    <w:p w14:paraId="31B2C3F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Pr="00E224E9">
        <w:rPr>
          <w:rFonts w:ascii="標楷體" w:hAnsi="標楷體"/>
          <w:color w:val="000000" w:themeColor="text1"/>
          <w:sz w:val="24"/>
        </w:rPr>
        <w:t>4</w:t>
      </w:r>
      <w:r w:rsidRPr="00E224E9">
        <w:rPr>
          <w:rFonts w:ascii="標楷體" w:hAnsi="標楷體" w:hint="eastAsia"/>
          <w:color w:val="000000" w:themeColor="text1"/>
          <w:sz w:val="24"/>
        </w:rPr>
        <w:t>6列－第50列</w:t>
      </w:r>
    </w:p>
    <w:p w14:paraId="3214CBE0"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為各個長期健康保險－無給付上限者之保單名稱。</w:t>
      </w:r>
    </w:p>
    <w:p w14:paraId="62DE0E7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Pr="00E224E9">
        <w:rPr>
          <w:rFonts w:ascii="標楷體" w:hAnsi="標楷體"/>
          <w:color w:val="000000" w:themeColor="text1"/>
          <w:sz w:val="24"/>
        </w:rPr>
        <w:t>51</w:t>
      </w:r>
      <w:r w:rsidRPr="00E224E9">
        <w:rPr>
          <w:rFonts w:ascii="標楷體" w:hAnsi="標楷體" w:hint="eastAsia"/>
          <w:color w:val="000000" w:themeColor="text1"/>
          <w:sz w:val="24"/>
        </w:rPr>
        <w:t>列－小計</w:t>
      </w:r>
    </w:p>
    <w:p w14:paraId="7BDEC180" w14:textId="77777777" w:rsidR="00065C53" w:rsidRPr="00E224E9" w:rsidRDefault="00065C53">
      <w:pPr>
        <w:spacing w:line="440" w:lineRule="exact"/>
        <w:ind w:firstLineChars="350" w:firstLine="840"/>
        <w:jc w:val="both"/>
        <w:rPr>
          <w:rFonts w:ascii="標楷體" w:hAnsi="標楷體"/>
          <w:color w:val="000000" w:themeColor="text1"/>
          <w:sz w:val="24"/>
        </w:rPr>
      </w:pPr>
      <w:r w:rsidRPr="00E224E9">
        <w:rPr>
          <w:rFonts w:ascii="標楷體" w:hAnsi="標楷體" w:hint="eastAsia"/>
          <w:color w:val="000000" w:themeColor="text1"/>
          <w:sz w:val="24"/>
        </w:rPr>
        <w:t>為第46列到第50金額加總。</w:t>
      </w:r>
    </w:p>
    <w:p w14:paraId="2BB2418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第52列－年金保險</w:t>
      </w:r>
    </w:p>
    <w:p w14:paraId="70881BB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包括(1)一般商業年金保險；以及(2)勞退年金保險。</w:t>
      </w:r>
    </w:p>
    <w:p w14:paraId="309C7FF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第53列－第55列</w:t>
      </w:r>
    </w:p>
    <w:p w14:paraId="7EE52494"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為各個年金保險保單名稱。</w:t>
      </w:r>
    </w:p>
    <w:p w14:paraId="37B92E6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第56列－小計</w:t>
      </w:r>
    </w:p>
    <w:p w14:paraId="56365AA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為第53列到第55列之金額加總。</w:t>
      </w:r>
    </w:p>
    <w:p w14:paraId="7E413AD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第57列－投資型保險商品</w:t>
      </w:r>
    </w:p>
    <w:p w14:paraId="277C544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符合「投資型保險商品管理規則」第三條之要件均屬之。</w:t>
      </w:r>
    </w:p>
    <w:p w14:paraId="67BAFF5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第58列－第60列</w:t>
      </w:r>
    </w:p>
    <w:p w14:paraId="0BE27FA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為各個投資型保險保單名稱。</w:t>
      </w:r>
    </w:p>
    <w:p w14:paraId="0B4700D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lastRenderedPageBreak/>
        <w:t>第61列－小計</w:t>
      </w:r>
    </w:p>
    <w:p w14:paraId="3DF8A255"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為第58列到第60列之金額加總。</w:t>
      </w:r>
    </w:p>
    <w:p w14:paraId="0678696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第63列－第65列</w:t>
      </w:r>
    </w:p>
    <w:p w14:paraId="546F6130"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為各個失能保險保單名稱。</w:t>
      </w:r>
    </w:p>
    <w:p w14:paraId="4FF05C0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第66列－小計</w:t>
      </w:r>
    </w:p>
    <w:p w14:paraId="53087B52"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為第63列到第65列之金額加總。</w:t>
      </w:r>
    </w:p>
    <w:p w14:paraId="076FEAC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第67列－其他責任準備</w:t>
      </w:r>
    </w:p>
    <w:p w14:paraId="6B8DD284" w14:textId="77777777" w:rsidR="00065C53" w:rsidRPr="00E224E9" w:rsidRDefault="00065C53">
      <w:pPr>
        <w:spacing w:line="440" w:lineRule="exact"/>
        <w:ind w:leftChars="300" w:left="780"/>
        <w:jc w:val="both"/>
        <w:rPr>
          <w:rFonts w:ascii="標楷體" w:hAnsi="標楷體"/>
          <w:strike/>
          <w:color w:val="000000" w:themeColor="text1"/>
          <w:sz w:val="24"/>
        </w:rPr>
      </w:pPr>
      <w:r w:rsidRPr="00E224E9">
        <w:rPr>
          <w:rFonts w:ascii="標楷體" w:hAnsi="標楷體" w:hint="eastAsia"/>
          <w:color w:val="000000" w:themeColor="text1"/>
          <w:sz w:val="24"/>
        </w:rPr>
        <w:t>為特定目的所提存而無法歸屬於一般項目者屬之。</w:t>
      </w:r>
    </w:p>
    <w:p w14:paraId="3AD1FB1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第68列－第70列</w:t>
      </w:r>
    </w:p>
    <w:p w14:paraId="249A021D"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為有列其他責任準備之保單名稱。</w:t>
      </w:r>
    </w:p>
    <w:p w14:paraId="434FCFD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第71列－小計</w:t>
      </w:r>
    </w:p>
    <w:p w14:paraId="67E4C1D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為第68列到第70列之金額加總。</w:t>
      </w:r>
    </w:p>
    <w:p w14:paraId="4DEC6BE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第72列－壽險停效契約責任準備金</w:t>
      </w:r>
    </w:p>
    <w:p w14:paraId="01F47C3A" w14:textId="77777777" w:rsidR="00065C53" w:rsidRPr="00E224E9" w:rsidRDefault="00065C53">
      <w:pPr>
        <w:pStyle w:val="31"/>
        <w:spacing w:line="440" w:lineRule="exact"/>
        <w:ind w:leftChars="300" w:left="780"/>
        <w:jc w:val="both"/>
        <w:rPr>
          <w:rFonts w:ascii="標楷體" w:hAnsi="標楷體"/>
          <w:color w:val="000000" w:themeColor="text1"/>
          <w:kern w:val="0"/>
          <w:sz w:val="24"/>
        </w:rPr>
      </w:pPr>
      <w:r w:rsidRPr="00E224E9">
        <w:rPr>
          <w:rFonts w:ascii="標楷體" w:hAnsi="標楷體" w:hint="eastAsia"/>
          <w:color w:val="000000" w:themeColor="text1"/>
          <w:sz w:val="24"/>
        </w:rPr>
        <w:t>依保險法第一百一十六條人壽保險之保險費到期未交付者，除契約另有訂定外，經催告到達後逾三十日仍不交付時，保險契約之效力停止。該契約之前所提列之責任準備金列入此項。</w:t>
      </w:r>
    </w:p>
    <w:p w14:paraId="1B4E617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第74列－分入再保責任準備</w:t>
      </w:r>
    </w:p>
    <w:p w14:paraId="28FEB688"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原保險人將應付保險費之一定金額或比率保留一段期間，在分入公司為「分入再保責任準備」，為確保再保險人能依約履行義務。</w:t>
      </w:r>
    </w:p>
    <w:p w14:paraId="4EAD39C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第75列－分出再保責任準備</w:t>
      </w:r>
    </w:p>
    <w:p w14:paraId="668E4DE0"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上述在分出公司列為「分出再保責任準備」。</w:t>
      </w:r>
    </w:p>
    <w:p w14:paraId="7C4E6842" w14:textId="77777777" w:rsidR="00065C53" w:rsidRPr="00E224E9" w:rsidRDefault="00065C53">
      <w:pPr>
        <w:pStyle w:val="1"/>
        <w:spacing w:afterLines="0" w:line="440" w:lineRule="exact"/>
        <w:jc w:val="both"/>
        <w:rPr>
          <w:color w:val="000000" w:themeColor="text1"/>
        </w:rPr>
      </w:pPr>
      <w:r w:rsidRPr="00E224E9">
        <w:rPr>
          <w:color w:val="000000" w:themeColor="text1"/>
          <w:sz w:val="26"/>
        </w:rPr>
        <w:br w:type="page"/>
      </w:r>
      <w:bookmarkStart w:id="96" w:name="_Toc219262248"/>
      <w:bookmarkStart w:id="97" w:name="_Toc200468540"/>
      <w:r w:rsidRPr="00E224E9">
        <w:rPr>
          <w:rFonts w:hint="eastAsia"/>
          <w:color w:val="000000" w:themeColor="text1"/>
        </w:rPr>
        <w:lastRenderedPageBreak/>
        <w:t>表24：未滿期保費準備金明細表</w:t>
      </w:r>
      <w:bookmarkEnd w:id="96"/>
      <w:bookmarkEnd w:id="97"/>
    </w:p>
    <w:p w14:paraId="67029CAB" w14:textId="77777777" w:rsidR="00065C53" w:rsidRPr="00E224E9" w:rsidRDefault="00065C53">
      <w:pPr>
        <w:pStyle w:val="a9"/>
        <w:spacing w:line="440" w:lineRule="exact"/>
        <w:ind w:firstLineChars="207" w:firstLine="497"/>
        <w:rPr>
          <w:color w:val="000000" w:themeColor="text1"/>
          <w:sz w:val="24"/>
        </w:rPr>
      </w:pPr>
      <w:r w:rsidRPr="00E224E9">
        <w:rPr>
          <w:rFonts w:hint="eastAsia"/>
          <w:color w:val="000000" w:themeColor="text1"/>
          <w:sz w:val="24"/>
        </w:rPr>
        <w:t>本報表在於表達保險業未滿期準備金之提列狀況，均依據保險法第一四五條及保險法各種準備金提存辦法等相關法令，按各險種分別提列再彙總報表並保存工作底稿備查。</w:t>
      </w:r>
    </w:p>
    <w:p w14:paraId="6A412D27"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各欄位如下列八欄表示:</w:t>
      </w:r>
    </w:p>
    <w:p w14:paraId="616E139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第1欄－自留保費</w:t>
      </w:r>
    </w:p>
    <w:p w14:paraId="56F3AE86"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係直接承保業務之有效契約經分出、分入再保險後，保險公司自留業務之保費收入。</w:t>
      </w:r>
    </w:p>
    <w:p w14:paraId="5D7B3CD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第2欄－提存方法</w:t>
      </w:r>
    </w:p>
    <w:p w14:paraId="5BDB09F5"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本欄請填列A.按年比率法，B.按季比率法，C.按月比率法，D.按日比率法，E.其他</w:t>
      </w:r>
      <w:r w:rsidRPr="00E224E9">
        <w:rPr>
          <w:rFonts w:ascii="標楷體" w:hAnsi="標楷體"/>
          <w:color w:val="000000" w:themeColor="text1"/>
          <w:sz w:val="24"/>
        </w:rPr>
        <w:t>。</w:t>
      </w:r>
    </w:p>
    <w:p w14:paraId="7D19D8C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第3欄－承保及再保險分入業務</w:t>
      </w:r>
    </w:p>
    <w:p w14:paraId="639DAC18"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hint="eastAsia"/>
          <w:color w:val="000000" w:themeColor="text1"/>
          <w:sz w:val="24"/>
        </w:rPr>
        <w:t>本欄為本期</w:t>
      </w:r>
      <w:r w:rsidRPr="00E224E9">
        <w:rPr>
          <w:rFonts w:ascii="標楷體" w:hAnsi="標楷體" w:hint="eastAsia"/>
          <w:color w:val="000000" w:themeColor="text1"/>
          <w:sz w:val="24"/>
        </w:rPr>
        <w:t>承保及再保險分入業務</w:t>
      </w:r>
      <w:r w:rsidRPr="00E224E9">
        <w:rPr>
          <w:rFonts w:hint="eastAsia"/>
          <w:color w:val="000000" w:themeColor="text1"/>
          <w:sz w:val="24"/>
        </w:rPr>
        <w:t>之未滿期保費準備餘額。</w:t>
      </w:r>
    </w:p>
    <w:p w14:paraId="32E00D4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第4欄－分出再保險業務</w:t>
      </w:r>
    </w:p>
    <w:p w14:paraId="586A409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hint="eastAsia"/>
          <w:color w:val="000000" w:themeColor="text1"/>
          <w:sz w:val="24"/>
        </w:rPr>
        <w:t>本欄為本期</w:t>
      </w:r>
      <w:r w:rsidRPr="00E224E9">
        <w:rPr>
          <w:rFonts w:ascii="標楷體" w:hAnsi="標楷體" w:hint="eastAsia"/>
          <w:color w:val="000000" w:themeColor="text1"/>
          <w:sz w:val="24"/>
        </w:rPr>
        <w:t>再保險分出業務</w:t>
      </w:r>
      <w:r w:rsidRPr="00E224E9">
        <w:rPr>
          <w:rFonts w:hint="eastAsia"/>
          <w:color w:val="000000" w:themeColor="text1"/>
          <w:sz w:val="24"/>
        </w:rPr>
        <w:t>之未滿期保費準備餘額。</w:t>
      </w:r>
    </w:p>
    <w:p w14:paraId="7F3D055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第5欄－自留業務</w:t>
      </w:r>
    </w:p>
    <w:p w14:paraId="63020F87"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hint="eastAsia"/>
          <w:color w:val="000000" w:themeColor="text1"/>
          <w:sz w:val="24"/>
        </w:rPr>
        <w:t>本欄為本期</w:t>
      </w:r>
      <w:r w:rsidRPr="00E224E9">
        <w:rPr>
          <w:rFonts w:ascii="標楷體" w:hAnsi="標楷體" w:hint="eastAsia"/>
          <w:color w:val="000000" w:themeColor="text1"/>
          <w:sz w:val="24"/>
        </w:rPr>
        <w:t>自留業務</w:t>
      </w:r>
      <w:r w:rsidRPr="00E224E9">
        <w:rPr>
          <w:rFonts w:hint="eastAsia"/>
          <w:color w:val="000000" w:themeColor="text1"/>
          <w:sz w:val="24"/>
        </w:rPr>
        <w:t>之未滿期保費準備餘額。</w:t>
      </w:r>
    </w:p>
    <w:p w14:paraId="611A87E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第6欄－上期未滿期保費準備餘額(自留業務)</w:t>
      </w:r>
    </w:p>
    <w:p w14:paraId="51DBBAC6"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hint="eastAsia"/>
          <w:color w:val="000000" w:themeColor="text1"/>
          <w:sz w:val="24"/>
        </w:rPr>
        <w:t>本欄為上期</w:t>
      </w:r>
      <w:r w:rsidRPr="00E224E9">
        <w:rPr>
          <w:rFonts w:ascii="標楷體" w:hAnsi="標楷體" w:hint="eastAsia"/>
          <w:color w:val="000000" w:themeColor="text1"/>
          <w:sz w:val="24"/>
        </w:rPr>
        <w:t>自留業務</w:t>
      </w:r>
      <w:r w:rsidRPr="00E224E9">
        <w:rPr>
          <w:rFonts w:hint="eastAsia"/>
          <w:color w:val="000000" w:themeColor="text1"/>
          <w:sz w:val="24"/>
        </w:rPr>
        <w:t>之未滿期保費準備餘額。</w:t>
      </w:r>
    </w:p>
    <w:p w14:paraId="7599175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第7欄－自留滿期保險費</w:t>
      </w:r>
    </w:p>
    <w:p w14:paraId="0D207305" w14:textId="77777777" w:rsidR="00065C53" w:rsidRPr="00E224E9"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本欄之金額為第1欄減除第5欄再加上第6欄後之金額。</w:t>
      </w:r>
    </w:p>
    <w:p w14:paraId="30E92C35" w14:textId="77777777" w:rsidR="00065C53" w:rsidRPr="00E224E9" w:rsidRDefault="00065C53">
      <w:pPr>
        <w:spacing w:line="440" w:lineRule="exact"/>
        <w:ind w:leftChars="300" w:left="780"/>
        <w:jc w:val="both"/>
        <w:rPr>
          <w:rFonts w:ascii="標楷體" w:hAnsi="標楷體"/>
          <w:color w:val="000000" w:themeColor="text1"/>
          <w:sz w:val="24"/>
        </w:rPr>
      </w:pPr>
    </w:p>
    <w:p w14:paraId="7C51B93A"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各險種分為三大類，第一類為個人保險、第二類為團體保險、第三類為投資型保險，每類又分為壽險、傷害險及健康險，為投資型保險分為壽險及年金險，各列之說明如下：</w:t>
      </w:r>
    </w:p>
    <w:p w14:paraId="663BED5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第1列－一年定期壽險</w:t>
      </w:r>
    </w:p>
    <w:p w14:paraId="240C1106"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只提供一年的死亡保險，若保險人未在保險期間身故，受益人將無保險金的請求權。</w:t>
      </w:r>
    </w:p>
    <w:p w14:paraId="7DF5C96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第5列－其他</w:t>
      </w:r>
    </w:p>
    <w:p w14:paraId="593D47E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非屬於第1列到第4列的各個壽險均屬之。</w:t>
      </w:r>
    </w:p>
    <w:p w14:paraId="1EFCDCD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第6列－小計</w:t>
      </w:r>
    </w:p>
    <w:p w14:paraId="65AFD441" w14:textId="77777777" w:rsidR="00065C53" w:rsidRPr="00E224E9" w:rsidRDefault="00065C53">
      <w:pPr>
        <w:spacing w:line="440" w:lineRule="exact"/>
        <w:ind w:leftChars="299" w:left="777" w:firstLine="2"/>
        <w:jc w:val="both"/>
        <w:rPr>
          <w:rFonts w:ascii="標楷體" w:hAnsi="標楷體"/>
          <w:color w:val="000000" w:themeColor="text1"/>
          <w:sz w:val="24"/>
        </w:rPr>
      </w:pPr>
      <w:r w:rsidRPr="00E224E9">
        <w:rPr>
          <w:rFonts w:ascii="標楷體" w:hAnsi="標楷體" w:hint="eastAsia"/>
          <w:color w:val="000000" w:themeColor="text1"/>
          <w:sz w:val="24"/>
        </w:rPr>
        <w:t>為第1列到第5列之金額加總。</w:t>
      </w:r>
    </w:p>
    <w:p w14:paraId="256EA06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第7列－意外死亡及殘廢</w:t>
      </w:r>
    </w:p>
    <w:p w14:paraId="200C3A4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lastRenderedPageBreak/>
        <w:t>採定值保險，若有死亡的事實發生，一律依約定保險金額給付；如有殘廢的事</w:t>
      </w:r>
      <w:r w:rsidR="00DE2961" w:rsidRPr="00E224E9">
        <w:rPr>
          <w:rFonts w:ascii="標楷體" w:hAnsi="標楷體" w:hint="eastAsia"/>
          <w:color w:val="000000" w:themeColor="text1"/>
          <w:sz w:val="24"/>
        </w:rPr>
        <w:t>實</w:t>
      </w:r>
      <w:r w:rsidRPr="00E224E9">
        <w:rPr>
          <w:rFonts w:ascii="標楷體" w:hAnsi="標楷體" w:hint="eastAsia"/>
          <w:color w:val="000000" w:themeColor="text1"/>
          <w:sz w:val="24"/>
        </w:rPr>
        <w:t>發生，依契約所列殘廢器官類別、殘廢等級差異不同，給付保險金額一定比列之保險金。</w:t>
      </w:r>
    </w:p>
    <w:p w14:paraId="10248BB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第8列－醫療附加</w:t>
      </w:r>
    </w:p>
    <w:p w14:paraId="6511923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若在傷害未致殘廢或傷害未致死亡之情形，一般多給付醫療費用，但以保險金額為最高限額。</w:t>
      </w:r>
    </w:p>
    <w:p w14:paraId="6E246AC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第9列－小計</w:t>
      </w:r>
    </w:p>
    <w:p w14:paraId="06204F3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為第7列至第8列之金額加總。</w:t>
      </w:r>
    </w:p>
    <w:p w14:paraId="208C00C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第10列－保證費率</w:t>
      </w:r>
    </w:p>
    <w:p w14:paraId="36064ED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係指此種類之個人健康保險於契約訂立時，保險業與要保人約定於契約期間，所收取之保險費率依據契約上約定者。</w:t>
      </w:r>
    </w:p>
    <w:p w14:paraId="2B0BA70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第11列－非保證費率</w:t>
      </w:r>
    </w:p>
    <w:p w14:paraId="7913D3B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係指健康保險契約訂立時，保險業與要保人並無約定於契約期間所收取之保險費率或方式。</w:t>
      </w:r>
    </w:p>
    <w:p w14:paraId="08AD1BD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第12列－小計</w:t>
      </w:r>
    </w:p>
    <w:p w14:paraId="74111E2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為第10列、第11列之金額加總。</w:t>
      </w:r>
    </w:p>
    <w:p w14:paraId="4FBDC5D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第13列－合計</w:t>
      </w:r>
    </w:p>
    <w:p w14:paraId="3E5B614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為第6列、第9列、第12列之金額加總。</w:t>
      </w:r>
    </w:p>
    <w:p w14:paraId="52B0E0E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第14列－壽險</w:t>
      </w:r>
    </w:p>
    <w:p w14:paraId="66AFCEA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由雇主或負責人與保險人訂立保險契約，以該企業之員工或團體多數人為被保險人之人壽保險，由保險人簽發一張總保險單，而每一位被保險人均有一張保險證或保險手冊，多為一年期定期保險。</w:t>
      </w:r>
    </w:p>
    <w:p w14:paraId="019808B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第15列－傷害險</w:t>
      </w:r>
    </w:p>
    <w:p w14:paraId="4092BD0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由雇主或負責人與保險人訂立保險契約，以該企業之員工或團體多數人為被保險人之傷害保險，由保險人簽發一張總保險單，而每一位被保險人均有一張保險證或保險手冊，多為一年期定期保險。</w:t>
      </w:r>
    </w:p>
    <w:p w14:paraId="586A950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第16列－健康險</w:t>
      </w:r>
    </w:p>
    <w:p w14:paraId="0BE3160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由雇主或負責人與保險人訂立保險契約，以該企業之員工或團體多數人為被保險人之健康保險，由保險人簽發一張總保險單，而每一位被保險人均有一張保險證或保險手冊，多為一年期定期保險。</w:t>
      </w:r>
    </w:p>
    <w:p w14:paraId="21D14CD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第17列－合計</w:t>
      </w:r>
    </w:p>
    <w:p w14:paraId="757D60FD"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lastRenderedPageBreak/>
        <w:t>為第14列、第15列、第16列之金額加總。</w:t>
      </w:r>
    </w:p>
    <w:p w14:paraId="65FED36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第21列－總計</w:t>
      </w:r>
    </w:p>
    <w:p w14:paraId="7C00FC3E" w14:textId="77777777" w:rsidR="00065C53" w:rsidRPr="00E224E9" w:rsidRDefault="00065C53">
      <w:pPr>
        <w:spacing w:line="440" w:lineRule="exact"/>
        <w:ind w:leftChars="300" w:left="780"/>
        <w:jc w:val="both"/>
        <w:rPr>
          <w:rFonts w:ascii="標楷體" w:hAnsi="標楷體"/>
          <w:color w:val="000000" w:themeColor="text1"/>
        </w:rPr>
      </w:pPr>
      <w:r w:rsidRPr="00E224E9">
        <w:rPr>
          <w:rFonts w:ascii="標楷體" w:hAnsi="標楷體" w:hint="eastAsia"/>
          <w:color w:val="000000" w:themeColor="text1"/>
          <w:sz w:val="24"/>
        </w:rPr>
        <w:t>為第13列、第17列與第20列之金額加總。</w:t>
      </w:r>
    </w:p>
    <w:p w14:paraId="4CD9D0F5" w14:textId="77777777" w:rsidR="009942EA" w:rsidRPr="00E224E9" w:rsidRDefault="00065C53" w:rsidP="009942EA">
      <w:pPr>
        <w:pStyle w:val="1"/>
        <w:spacing w:after="120"/>
        <w:rPr>
          <w:color w:val="000000" w:themeColor="text1"/>
        </w:rPr>
      </w:pPr>
      <w:r w:rsidRPr="00E224E9">
        <w:rPr>
          <w:color w:val="000000" w:themeColor="text1"/>
          <w:sz w:val="26"/>
        </w:rPr>
        <w:br w:type="page"/>
      </w:r>
      <w:bookmarkStart w:id="98" w:name="_Toc219109761"/>
      <w:bookmarkStart w:id="99" w:name="_Toc437450274"/>
      <w:bookmarkStart w:id="100" w:name="_Toc200468541"/>
      <w:bookmarkStart w:id="101" w:name="_Toc219262249"/>
      <w:r w:rsidR="009942EA" w:rsidRPr="00E224E9">
        <w:rPr>
          <w:color w:val="000000" w:themeColor="text1"/>
        </w:rPr>
        <w:lastRenderedPageBreak/>
        <w:t>表25-1：重大事故特別準備金明細表</w:t>
      </w:r>
      <w:bookmarkEnd w:id="98"/>
      <w:bookmarkEnd w:id="99"/>
      <w:bookmarkEnd w:id="100"/>
    </w:p>
    <w:p w14:paraId="5B321959" w14:textId="77777777" w:rsidR="009942EA" w:rsidRPr="00E224E9" w:rsidRDefault="009942EA" w:rsidP="009942EA">
      <w:pPr>
        <w:pStyle w:val="a9"/>
        <w:spacing w:line="440" w:lineRule="exact"/>
        <w:ind w:firstLineChars="207" w:firstLine="497"/>
        <w:rPr>
          <w:rFonts w:ascii="Book Antiqua" w:hAnsi="Book Antiqua"/>
          <w:color w:val="000000" w:themeColor="text1"/>
        </w:rPr>
      </w:pPr>
      <w:r w:rsidRPr="00E224E9">
        <w:rPr>
          <w:rFonts w:ascii="Book Antiqua"/>
          <w:color w:val="000000" w:themeColor="text1"/>
          <w:sz w:val="24"/>
        </w:rPr>
        <w:t>本報表的目的在於表達人身保險業重大事故特別準備金的提列情形。本說明的目的為配合相關法令之規定，簡介該表之填列規則，以利保險業者之填報。</w:t>
      </w:r>
    </w:p>
    <w:p w14:paraId="2C035D13"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Pr="00E224E9">
        <w:rPr>
          <w:rFonts w:ascii="Book Antiqua" w:hAnsi="標楷體"/>
          <w:color w:val="000000" w:themeColor="text1"/>
        </w:rPr>
        <w:t>欄－已滿期自留保險費</w:t>
      </w:r>
    </w:p>
    <w:p w14:paraId="18167167"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係當年度累計自留基礎之已滿期自留保費。</w:t>
      </w:r>
    </w:p>
    <w:p w14:paraId="30094B8B"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本欄之金額應等於表</w:t>
      </w:r>
      <w:r w:rsidRPr="00E224E9">
        <w:rPr>
          <w:rFonts w:ascii="Book Antiqua" w:hAnsi="Book Antiqua"/>
          <w:color w:val="000000" w:themeColor="text1"/>
        </w:rPr>
        <w:t>24</w:t>
      </w:r>
      <w:r w:rsidRPr="00E224E9">
        <w:rPr>
          <w:rFonts w:ascii="Book Antiqua" w:hAnsi="標楷體"/>
          <w:color w:val="000000" w:themeColor="text1"/>
        </w:rPr>
        <w:t>第</w:t>
      </w:r>
      <w:r w:rsidR="00995D9A" w:rsidRPr="00E224E9">
        <w:rPr>
          <w:rFonts w:ascii="Book Antiqua" w:hAnsi="Book Antiqua" w:hint="eastAsia"/>
          <w:color w:val="000000" w:themeColor="text1"/>
        </w:rPr>
        <w:t>7</w:t>
      </w:r>
      <w:r w:rsidRPr="00E224E9">
        <w:rPr>
          <w:rFonts w:ascii="Book Antiqua" w:hAnsi="標楷體"/>
          <w:color w:val="000000" w:themeColor="text1"/>
        </w:rPr>
        <w:t>欄－自留滿期保費</w:t>
      </w:r>
      <w:r w:rsidRPr="00E224E9">
        <w:rPr>
          <w:rFonts w:ascii="Book Antiqua" w:hAnsi="Book Antiqua"/>
          <w:color w:val="000000" w:themeColor="text1"/>
        </w:rPr>
        <w:t>(</w:t>
      </w:r>
      <w:r w:rsidRPr="00E224E9">
        <w:rPr>
          <w:rFonts w:ascii="Book Antiqua" w:hAnsi="標楷體"/>
          <w:color w:val="000000" w:themeColor="text1"/>
        </w:rPr>
        <w:t>自留基礎</w:t>
      </w:r>
      <w:r w:rsidRPr="00E224E9">
        <w:rPr>
          <w:rFonts w:ascii="Book Antiqua" w:hAnsi="Book Antiqua"/>
          <w:color w:val="000000" w:themeColor="text1"/>
        </w:rPr>
        <w:t>)</w:t>
      </w:r>
    </w:p>
    <w:p w14:paraId="6FA3E624"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欄－提存率</w:t>
      </w:r>
    </w:p>
    <w:p w14:paraId="7DC0DA53"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請填列各險重大事故特別準備金提存率。</w:t>
      </w:r>
    </w:p>
    <w:p w14:paraId="6A84AE0B"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欄－本年度提存數</w:t>
      </w:r>
    </w:p>
    <w:p w14:paraId="7F15BAA1"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本年度提存值，其金額等於第</w:t>
      </w:r>
      <w:r w:rsidRPr="00E224E9">
        <w:rPr>
          <w:rFonts w:ascii="Book Antiqua" w:hAnsi="Book Antiqua"/>
          <w:color w:val="000000" w:themeColor="text1"/>
        </w:rPr>
        <w:t>1</w:t>
      </w:r>
      <w:r w:rsidRPr="00E224E9">
        <w:rPr>
          <w:rFonts w:ascii="Book Antiqua" w:hAnsi="標楷體"/>
          <w:color w:val="000000" w:themeColor="text1"/>
        </w:rPr>
        <w:t>欄－已滿期自留保險費乘以第</w:t>
      </w:r>
      <w:r w:rsidRPr="00E224E9">
        <w:rPr>
          <w:rFonts w:ascii="Book Antiqua" w:hAnsi="Book Antiqua"/>
          <w:color w:val="000000" w:themeColor="text1"/>
        </w:rPr>
        <w:t>2</w:t>
      </w:r>
      <w:r w:rsidRPr="00E224E9">
        <w:rPr>
          <w:rFonts w:ascii="Book Antiqua" w:hAnsi="標楷體"/>
          <w:color w:val="000000" w:themeColor="text1"/>
        </w:rPr>
        <w:t>欄提存率。</w:t>
      </w:r>
    </w:p>
    <w:p w14:paraId="7FA59C22"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欄－重大事故特別準備金期初餘額</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p>
    <w:p w14:paraId="0F63C90E"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因應四十號公報實施，將重大事故特別準備金區分為認列為負債與權益之部分。本年度期初重大事故特別準備金餘額</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r w:rsidRPr="00E224E9">
        <w:rPr>
          <w:rFonts w:ascii="Book Antiqua" w:hAnsi="標楷體"/>
          <w:color w:val="000000" w:themeColor="text1"/>
        </w:rPr>
        <w:t>，為上一年度末重大事故特別準備金累計餘額</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r w:rsidRPr="00E224E9">
        <w:rPr>
          <w:rFonts w:ascii="Book Antiqua" w:hAnsi="標楷體"/>
          <w:color w:val="000000" w:themeColor="text1"/>
        </w:rPr>
        <w:t>。</w:t>
      </w:r>
    </w:p>
    <w:p w14:paraId="0224C594"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5</w:t>
      </w:r>
      <w:r w:rsidRPr="00E224E9">
        <w:rPr>
          <w:rFonts w:ascii="Book Antiqua" w:hAnsi="標楷體"/>
          <w:color w:val="000000" w:themeColor="text1"/>
        </w:rPr>
        <w:t>欄－重大事故特別準備金期初餘額</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p>
    <w:p w14:paraId="57BC67AD" w14:textId="77777777" w:rsidR="009942EA" w:rsidRPr="00E224E9" w:rsidRDefault="009942EA" w:rsidP="009942EA">
      <w:pPr>
        <w:spacing w:line="440" w:lineRule="exact"/>
        <w:ind w:leftChars="276" w:left="718"/>
        <w:rPr>
          <w:rFonts w:ascii="Book Antiqua" w:hAnsi="標楷體"/>
          <w:color w:val="000000" w:themeColor="text1"/>
        </w:rPr>
      </w:pPr>
      <w:r w:rsidRPr="00E224E9">
        <w:rPr>
          <w:rFonts w:ascii="Book Antiqua" w:hAnsi="標楷體"/>
          <w:color w:val="000000" w:themeColor="text1"/>
        </w:rPr>
        <w:t>因應四十號公報實施，將重大事故特別準備金區分為認列為負債與權益之部分。本年度期初重大事故特別準備金餘額</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r w:rsidRPr="00E224E9">
        <w:rPr>
          <w:rFonts w:ascii="Book Antiqua" w:hAnsi="標楷體"/>
          <w:color w:val="000000" w:themeColor="text1"/>
        </w:rPr>
        <w:t>，為上一年度末重大事故特別準備金累計餘額</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r w:rsidRPr="00E224E9">
        <w:rPr>
          <w:rFonts w:ascii="Book Antiqua" w:hAnsi="標楷體"/>
          <w:color w:val="000000" w:themeColor="text1"/>
        </w:rPr>
        <w:t>。</w:t>
      </w:r>
    </w:p>
    <w:p w14:paraId="71E2386E" w14:textId="77777777" w:rsidR="009942EA" w:rsidRPr="00E224E9" w:rsidRDefault="009942EA" w:rsidP="009942EA">
      <w:pPr>
        <w:spacing w:line="440" w:lineRule="exact"/>
        <w:rPr>
          <w:rFonts w:ascii="Book Antiqua" w:hAnsi="標楷體"/>
          <w:color w:val="000000" w:themeColor="text1"/>
        </w:rPr>
      </w:pPr>
      <w:r w:rsidRPr="00E224E9">
        <w:rPr>
          <w:rFonts w:ascii="Book Antiqua" w:hAnsi="標楷體" w:hint="eastAsia"/>
          <w:color w:val="000000" w:themeColor="text1"/>
        </w:rPr>
        <w:t>第</w:t>
      </w:r>
      <w:r w:rsidRPr="00E224E9">
        <w:rPr>
          <w:rFonts w:ascii="Book Antiqua" w:hAnsi="標楷體" w:hint="eastAsia"/>
          <w:color w:val="000000" w:themeColor="text1"/>
        </w:rPr>
        <w:t>6</w:t>
      </w:r>
      <w:r w:rsidRPr="00E224E9">
        <w:rPr>
          <w:rFonts w:ascii="Book Antiqua" w:hAnsi="標楷體" w:hint="eastAsia"/>
          <w:color w:val="000000" w:themeColor="text1"/>
        </w:rPr>
        <w:t>欄－轉列外匯價格變動準備金之初始金額</w:t>
      </w:r>
    </w:p>
    <w:p w14:paraId="0E9BC9FA" w14:textId="77777777" w:rsidR="009942EA" w:rsidRPr="00E224E9" w:rsidRDefault="009942EA" w:rsidP="009942EA">
      <w:pPr>
        <w:spacing w:line="440" w:lineRule="exact"/>
        <w:ind w:leftChars="276" w:left="718"/>
        <w:rPr>
          <w:rFonts w:ascii="Book Antiqua" w:hAnsi="標楷體"/>
          <w:color w:val="000000" w:themeColor="text1"/>
        </w:rPr>
      </w:pPr>
      <w:r w:rsidRPr="00E224E9">
        <w:rPr>
          <w:rFonts w:ascii="Book Antiqua" w:hAnsi="標楷體" w:hint="eastAsia"/>
          <w:color w:val="000000" w:themeColor="text1"/>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09A03299"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7</w:t>
      </w:r>
      <w:r w:rsidRPr="00E224E9">
        <w:rPr>
          <w:rFonts w:ascii="Book Antiqua" w:hAnsi="標楷體"/>
          <w:color w:val="000000" w:themeColor="text1"/>
        </w:rPr>
        <w:t>欄－合計</w:t>
      </w:r>
    </w:p>
    <w:p w14:paraId="61C1C297"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本欄之金額等於第</w:t>
      </w:r>
      <w:r w:rsidRPr="00E224E9">
        <w:rPr>
          <w:rFonts w:ascii="Book Antiqua" w:hAnsi="Book Antiqua"/>
          <w:color w:val="000000" w:themeColor="text1"/>
        </w:rPr>
        <w:t>3</w:t>
      </w:r>
      <w:r w:rsidRPr="00E224E9">
        <w:rPr>
          <w:rFonts w:ascii="Book Antiqua" w:hAnsi="標楷體"/>
          <w:color w:val="000000" w:themeColor="text1"/>
        </w:rPr>
        <w:t>欄「本年度提存數」加第</w:t>
      </w:r>
      <w:r w:rsidRPr="00E224E9">
        <w:rPr>
          <w:rFonts w:ascii="Book Antiqua" w:hAnsi="Book Antiqua"/>
          <w:color w:val="000000" w:themeColor="text1"/>
        </w:rPr>
        <w:t>5</w:t>
      </w:r>
      <w:r w:rsidRPr="00E224E9">
        <w:rPr>
          <w:rFonts w:ascii="Book Antiqua" w:hAnsi="標楷體"/>
          <w:color w:val="000000" w:themeColor="text1"/>
        </w:rPr>
        <w:t>欄「重大事故特別準備金期初餘額</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r w:rsidRPr="00E224E9">
        <w:rPr>
          <w:rFonts w:ascii="Book Antiqua" w:hAnsi="標楷體"/>
          <w:color w:val="000000" w:themeColor="text1"/>
        </w:rPr>
        <w:t>」。</w:t>
      </w:r>
    </w:p>
    <w:p w14:paraId="6152FEBC"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8</w:t>
      </w:r>
      <w:r w:rsidRPr="00E224E9">
        <w:rPr>
          <w:rFonts w:ascii="Book Antiqua" w:hAnsi="標楷體"/>
          <w:color w:val="000000" w:themeColor="text1"/>
        </w:rPr>
        <w:t>欄－重大事故自留賠款</w:t>
      </w:r>
    </w:p>
    <w:p w14:paraId="48035102"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本欄之金額係指重大事故之自留賠款，該金額乃依「保險業各種準備金提存辦法」，重大事故係指符合政府發布之重大災情，其單一事故發生時，個別公司累計各險別自留賠款合計達新臺幣三千萬元，且全體人身保險業各</w:t>
      </w:r>
      <w:r w:rsidRPr="00E224E9">
        <w:rPr>
          <w:rFonts w:ascii="Book Antiqua" w:hAnsi="標楷體"/>
          <w:color w:val="000000" w:themeColor="text1"/>
        </w:rPr>
        <w:lastRenderedPageBreak/>
        <w:t>險別合計應賠款總金額達新臺幣十億元以上者。</w:t>
      </w:r>
    </w:p>
    <w:p w14:paraId="424783FB"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9</w:t>
      </w:r>
      <w:r w:rsidRPr="00E224E9">
        <w:rPr>
          <w:rFonts w:ascii="Book Antiqua" w:hAnsi="標楷體"/>
          <w:color w:val="000000" w:themeColor="text1"/>
        </w:rPr>
        <w:t>欄－可沖減之重大事故特別準備金</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p>
    <w:p w14:paraId="4C9F0E3F"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因應四十號公報實施，將重大事故特別準備金區分為認列為負債與權益之部分。若第</w:t>
      </w:r>
      <w:r w:rsidRPr="00E224E9">
        <w:rPr>
          <w:rFonts w:ascii="Book Antiqua" w:hAnsi="Book Antiqua"/>
          <w:color w:val="000000" w:themeColor="text1"/>
        </w:rPr>
        <w:t>7</w:t>
      </w:r>
      <w:r w:rsidRPr="00E224E9">
        <w:rPr>
          <w:rFonts w:ascii="Book Antiqua" w:hAnsi="標楷體"/>
          <w:color w:val="000000" w:themeColor="text1"/>
        </w:rPr>
        <w:t>欄合計小於</w:t>
      </w:r>
      <w:r w:rsidRPr="00E224E9">
        <w:rPr>
          <w:rFonts w:ascii="Book Antiqua" w:hAnsi="Book Antiqua"/>
          <w:color w:val="000000" w:themeColor="text1"/>
        </w:rPr>
        <w:t>3000</w:t>
      </w:r>
      <w:r w:rsidRPr="00E224E9">
        <w:rPr>
          <w:rFonts w:ascii="Book Antiqua" w:hAnsi="標楷體"/>
          <w:color w:val="000000" w:themeColor="text1"/>
        </w:rPr>
        <w:t>萬時</w:t>
      </w:r>
      <w:r w:rsidRPr="00E224E9">
        <w:rPr>
          <w:rFonts w:ascii="Book Antiqua" w:hAnsi="Book Antiqua"/>
          <w:color w:val="000000" w:themeColor="text1"/>
        </w:rPr>
        <w:t>,</w:t>
      </w:r>
      <w:r w:rsidRPr="00E224E9">
        <w:rPr>
          <w:rFonts w:ascii="Book Antiqua" w:hAnsi="標楷體"/>
          <w:color w:val="000000" w:themeColor="text1"/>
        </w:rPr>
        <w:t>第</w:t>
      </w:r>
      <w:r w:rsidRPr="00E224E9">
        <w:rPr>
          <w:rFonts w:ascii="Book Antiqua" w:hAnsi="Book Antiqua" w:hint="eastAsia"/>
          <w:color w:val="000000" w:themeColor="text1"/>
        </w:rPr>
        <w:t>9</w:t>
      </w:r>
      <w:r w:rsidRPr="00E224E9">
        <w:rPr>
          <w:rFonts w:ascii="Book Antiqua" w:hAnsi="標楷體"/>
          <w:color w:val="000000" w:themeColor="text1"/>
        </w:rPr>
        <w:t>欄填</w:t>
      </w:r>
      <w:r w:rsidRPr="00E224E9">
        <w:rPr>
          <w:rFonts w:ascii="Book Antiqua" w:hAnsi="Book Antiqua"/>
          <w:color w:val="000000" w:themeColor="text1"/>
        </w:rPr>
        <w:t>"0"</w:t>
      </w:r>
      <w:r w:rsidRPr="00E224E9">
        <w:rPr>
          <w:rFonts w:ascii="Book Antiqua" w:hAnsi="標楷體"/>
          <w:color w:val="000000" w:themeColor="text1"/>
        </w:rPr>
        <w:t>；若第</w:t>
      </w:r>
      <w:r w:rsidRPr="00E224E9">
        <w:rPr>
          <w:rFonts w:ascii="Book Antiqua" w:hAnsi="Book Antiqua" w:hint="eastAsia"/>
          <w:color w:val="000000" w:themeColor="text1"/>
        </w:rPr>
        <w:t>7</w:t>
      </w:r>
      <w:r w:rsidRPr="00E224E9">
        <w:rPr>
          <w:rFonts w:ascii="Book Antiqua" w:hAnsi="標楷體"/>
          <w:color w:val="000000" w:themeColor="text1"/>
        </w:rPr>
        <w:t>欄合計大於</w:t>
      </w:r>
      <w:r w:rsidRPr="00E224E9">
        <w:rPr>
          <w:rFonts w:ascii="Book Antiqua" w:hAnsi="Book Antiqua"/>
          <w:color w:val="000000" w:themeColor="text1"/>
        </w:rPr>
        <w:t>3000</w:t>
      </w:r>
      <w:r w:rsidRPr="00E224E9">
        <w:rPr>
          <w:rFonts w:ascii="Book Antiqua" w:hAnsi="標楷體"/>
          <w:color w:val="000000" w:themeColor="text1"/>
        </w:rPr>
        <w:t>萬時</w:t>
      </w:r>
      <w:r w:rsidRPr="00E224E9">
        <w:rPr>
          <w:rFonts w:ascii="Book Antiqua" w:hAnsi="Book Antiqua"/>
          <w:color w:val="000000" w:themeColor="text1"/>
        </w:rPr>
        <w:t>,</w:t>
      </w:r>
      <w:r w:rsidRPr="00E224E9">
        <w:rPr>
          <w:rFonts w:ascii="Book Antiqua" w:hAnsi="標楷體"/>
          <w:color w:val="000000" w:themeColor="text1"/>
        </w:rPr>
        <w:t>則應以該差額回分各險並填列各險種所得沖減之金額</w:t>
      </w:r>
      <w:r w:rsidRPr="00E224E9">
        <w:rPr>
          <w:rFonts w:ascii="Book Antiqua" w:hAnsi="Book Antiqua"/>
          <w:color w:val="000000" w:themeColor="text1"/>
        </w:rPr>
        <w:t>,</w:t>
      </w:r>
      <w:r w:rsidRPr="00E224E9">
        <w:rPr>
          <w:rFonts w:ascii="Book Antiqua" w:hAnsi="標楷體"/>
          <w:color w:val="000000" w:themeColor="text1"/>
        </w:rPr>
        <w:t>其合計數應等於第</w:t>
      </w:r>
      <w:r w:rsidRPr="00E224E9">
        <w:rPr>
          <w:rFonts w:ascii="Book Antiqua" w:hAnsi="Book Antiqua" w:hint="eastAsia"/>
          <w:color w:val="000000" w:themeColor="text1"/>
        </w:rPr>
        <w:t>7</w:t>
      </w:r>
      <w:r w:rsidRPr="00E224E9">
        <w:rPr>
          <w:rFonts w:ascii="Book Antiqua" w:hAnsi="標楷體"/>
          <w:color w:val="000000" w:themeColor="text1"/>
        </w:rPr>
        <w:t>欄合計扣除</w:t>
      </w:r>
      <w:r w:rsidRPr="00E224E9">
        <w:rPr>
          <w:rFonts w:ascii="Book Antiqua" w:hAnsi="Book Antiqua"/>
          <w:color w:val="000000" w:themeColor="text1"/>
        </w:rPr>
        <w:t>3000</w:t>
      </w:r>
      <w:r w:rsidRPr="00E224E9">
        <w:rPr>
          <w:rFonts w:ascii="Book Antiqua" w:hAnsi="標楷體"/>
          <w:color w:val="000000" w:themeColor="text1"/>
        </w:rPr>
        <w:t>萬之餘額。</w:t>
      </w:r>
    </w:p>
    <w:p w14:paraId="0CF26D78"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10</w:t>
      </w:r>
      <w:r w:rsidRPr="00E224E9">
        <w:rPr>
          <w:rFonts w:ascii="Book Antiqua" w:hAnsi="標楷體"/>
          <w:color w:val="000000" w:themeColor="text1"/>
        </w:rPr>
        <w:t>欄－可沖減之重大事故特別準備金</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p>
    <w:p w14:paraId="4B5E3B42"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因應四十號公報實施，將重大事故特別準備金區分為認列為負債與權益之部分。本欄應依國際會計準則第十二號公報扣除所得稅後之餘額提列。</w:t>
      </w:r>
    </w:p>
    <w:p w14:paraId="79142253"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11</w:t>
      </w:r>
      <w:r w:rsidRPr="00E224E9">
        <w:rPr>
          <w:rFonts w:ascii="Book Antiqua" w:hAnsi="標楷體"/>
          <w:color w:val="000000" w:themeColor="text1"/>
        </w:rPr>
        <w:t>欄－超過</w:t>
      </w:r>
      <w:r w:rsidRPr="00E224E9">
        <w:rPr>
          <w:rFonts w:ascii="Book Antiqua" w:hAnsi="Book Antiqua"/>
          <w:color w:val="000000" w:themeColor="text1"/>
        </w:rPr>
        <w:t>15</w:t>
      </w:r>
      <w:r w:rsidRPr="00E224E9">
        <w:rPr>
          <w:rFonts w:ascii="Book Antiqua" w:hAnsi="標楷體"/>
          <w:color w:val="000000" w:themeColor="text1"/>
        </w:rPr>
        <w:t>年之每年得收回數合計</w:t>
      </w:r>
    </w:p>
    <w:p w14:paraId="1475B1B5"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本欄為重大事故特別準備金提存超過十五年者，得經簽證精算人員評估訂定收回。</w:t>
      </w:r>
    </w:p>
    <w:p w14:paraId="022F216F"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12</w:t>
      </w:r>
      <w:r w:rsidRPr="00E224E9">
        <w:rPr>
          <w:rFonts w:ascii="Book Antiqua" w:hAnsi="標楷體"/>
          <w:color w:val="000000" w:themeColor="text1"/>
        </w:rPr>
        <w:t>欄－本年度實際沖減收回數</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p>
    <w:p w14:paraId="65224709"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w:t>
      </w:r>
    </w:p>
    <w:p w14:paraId="6F0C0873"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本欄分為步驟一與步驟二：</w:t>
      </w:r>
    </w:p>
    <w:p w14:paraId="3BAD0F00"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步驟一：本年度實際沖減收回數以合計沖減收回數為主。</w:t>
      </w:r>
    </w:p>
    <w:p w14:paraId="79254A23"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步驟二：若各險別計算結果之合計與前述合計沖減收回數不合時，則差額應回分各險，回分各險之方法由各公司決定。</w:t>
      </w:r>
    </w:p>
    <w:p w14:paraId="269A2A6F"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13</w:t>
      </w:r>
      <w:r w:rsidRPr="00E224E9">
        <w:rPr>
          <w:rFonts w:ascii="Book Antiqua" w:hAnsi="標楷體"/>
          <w:color w:val="000000" w:themeColor="text1"/>
        </w:rPr>
        <w:t>欄－本年度實際沖減收回數</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p>
    <w:p w14:paraId="035AB8C6"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因應四十號公報實施，將重大事故特別準備金區分為認列為負債與權益之部分。本欄應依國際會計準則第十二號公報扣除所得稅後之餘額提列。</w:t>
      </w:r>
    </w:p>
    <w:p w14:paraId="4A6F2C3E"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14</w:t>
      </w:r>
      <w:r w:rsidRPr="00E224E9">
        <w:rPr>
          <w:rFonts w:ascii="Book Antiqua" w:hAnsi="標楷體"/>
          <w:color w:val="000000" w:themeColor="text1"/>
        </w:rPr>
        <w:t>欄－本年度補提或補收重大事故特別準備金</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p>
    <w:p w14:paraId="260115B9"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因應四十號公報實施，將重大事故特別準備金區分為認列為負債與權益之部分。本欄係其他因特殊需要而加提或補收之重大事故特別準備金。但加提與沖減方式及累積限額應先報經主管機關核准。</w:t>
      </w:r>
    </w:p>
    <w:p w14:paraId="12AB33D3"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15</w:t>
      </w:r>
      <w:r w:rsidRPr="00E224E9">
        <w:rPr>
          <w:rFonts w:ascii="Book Antiqua" w:hAnsi="標楷體"/>
          <w:color w:val="000000" w:themeColor="text1"/>
        </w:rPr>
        <w:t>欄－本年度補提或補收重大事故特別準備金</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p>
    <w:p w14:paraId="4CEFE26B"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因應四十號公報實施，將重大事故特別準備金區分為認列為負債與權益之部分。本欄應依國際會計準則第十二號公報扣除所得稅後之餘額提列。</w:t>
      </w:r>
    </w:p>
    <w:p w14:paraId="29CE08A0"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16</w:t>
      </w:r>
      <w:r w:rsidRPr="00E224E9">
        <w:rPr>
          <w:rFonts w:ascii="Book Antiqua" w:hAnsi="標楷體"/>
          <w:color w:val="000000" w:themeColor="text1"/>
        </w:rPr>
        <w:t>欄－重大事故特別準備金期末餘額</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p>
    <w:p w14:paraId="602DAF39" w14:textId="77777777" w:rsidR="009942EA" w:rsidRPr="00E224E9" w:rsidRDefault="009942EA" w:rsidP="009942EA">
      <w:pPr>
        <w:spacing w:line="440" w:lineRule="exact"/>
        <w:ind w:leftChars="276" w:left="718"/>
        <w:rPr>
          <w:rFonts w:ascii="Book Antiqua" w:hAnsi="標楷體"/>
          <w:color w:val="000000" w:themeColor="text1"/>
        </w:rPr>
      </w:pPr>
      <w:r w:rsidRPr="00E224E9">
        <w:rPr>
          <w:rFonts w:ascii="Book Antiqua" w:hAnsi="標楷體"/>
          <w:color w:val="000000" w:themeColor="text1"/>
        </w:rPr>
        <w:t>因應四十號公報實施，將重大事故特別準備金區分為認列為負債與權益之</w:t>
      </w:r>
      <w:r w:rsidRPr="00E224E9">
        <w:rPr>
          <w:rFonts w:ascii="Book Antiqua" w:hAnsi="標楷體"/>
          <w:color w:val="000000" w:themeColor="text1"/>
        </w:rPr>
        <w:lastRenderedPageBreak/>
        <w:t>部分。本欄之金額應等於第</w:t>
      </w:r>
      <w:r w:rsidRPr="00E224E9">
        <w:rPr>
          <w:rFonts w:ascii="Book Antiqua" w:hAnsi="Book Antiqua"/>
          <w:color w:val="000000" w:themeColor="text1"/>
        </w:rPr>
        <w:t>4</w:t>
      </w:r>
      <w:r w:rsidRPr="00E224E9">
        <w:rPr>
          <w:rFonts w:ascii="Book Antiqua" w:hAnsi="標楷體"/>
          <w:color w:val="000000" w:themeColor="text1"/>
        </w:rPr>
        <w:t>欄「重大事故特別準備金期初餘額</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r w:rsidRPr="00E224E9">
        <w:rPr>
          <w:rFonts w:ascii="Book Antiqua" w:hAnsi="標楷體"/>
          <w:color w:val="000000" w:themeColor="text1"/>
        </w:rPr>
        <w:t>」減第</w:t>
      </w:r>
      <w:r w:rsidRPr="00E224E9">
        <w:rPr>
          <w:rFonts w:ascii="Book Antiqua" w:hAnsi="Book Antiqua" w:hint="eastAsia"/>
          <w:color w:val="000000" w:themeColor="text1"/>
        </w:rPr>
        <w:t>12</w:t>
      </w:r>
      <w:r w:rsidRPr="00E224E9">
        <w:rPr>
          <w:rFonts w:ascii="Book Antiqua" w:hAnsi="標楷體"/>
          <w:color w:val="000000" w:themeColor="text1"/>
        </w:rPr>
        <w:t>欄「本年度實際沖減收回數</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r w:rsidRPr="00E224E9">
        <w:rPr>
          <w:rFonts w:ascii="Book Antiqua" w:hAnsi="標楷體"/>
          <w:color w:val="000000" w:themeColor="text1"/>
        </w:rPr>
        <w:t>」減第</w:t>
      </w:r>
      <w:r w:rsidRPr="00E224E9">
        <w:rPr>
          <w:rFonts w:ascii="Book Antiqua" w:hAnsi="Book Antiqua" w:hint="eastAsia"/>
          <w:color w:val="000000" w:themeColor="text1"/>
        </w:rPr>
        <w:t>14</w:t>
      </w:r>
      <w:r w:rsidRPr="00E224E9">
        <w:rPr>
          <w:rFonts w:ascii="Book Antiqua" w:hAnsi="標楷體"/>
          <w:color w:val="000000" w:themeColor="text1"/>
        </w:rPr>
        <w:t>欄「本年度補提或補收重大事故特別準備金</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r w:rsidRPr="00E224E9">
        <w:rPr>
          <w:rFonts w:ascii="Book Antiqua" w:hAnsi="標楷體"/>
          <w:color w:val="000000" w:themeColor="text1"/>
        </w:rPr>
        <w:t>」。</w:t>
      </w:r>
    </w:p>
    <w:p w14:paraId="53A81A63" w14:textId="77777777" w:rsidR="009942EA" w:rsidRPr="00E224E9" w:rsidRDefault="009942EA" w:rsidP="009942EA">
      <w:pPr>
        <w:spacing w:line="440" w:lineRule="exact"/>
        <w:rPr>
          <w:rFonts w:ascii="Book Antiqua" w:hAnsi="標楷體"/>
          <w:color w:val="000000" w:themeColor="text1"/>
        </w:rPr>
      </w:pPr>
      <w:r w:rsidRPr="00E224E9">
        <w:rPr>
          <w:rFonts w:ascii="Book Antiqua" w:hAnsi="標楷體" w:hint="eastAsia"/>
          <w:color w:val="000000" w:themeColor="text1"/>
        </w:rPr>
        <w:t>第</w:t>
      </w:r>
      <w:r w:rsidRPr="00E224E9">
        <w:rPr>
          <w:rFonts w:ascii="Book Antiqua" w:hAnsi="標楷體" w:hint="eastAsia"/>
          <w:color w:val="000000" w:themeColor="text1"/>
        </w:rPr>
        <w:t>17</w:t>
      </w:r>
      <w:r w:rsidRPr="00E224E9">
        <w:rPr>
          <w:rFonts w:ascii="Book Antiqua" w:hAnsi="標楷體" w:hint="eastAsia"/>
          <w:color w:val="000000" w:themeColor="text1"/>
        </w:rPr>
        <w:t>欄－轉列外匯價格變動準備金初始金額之返還數</w:t>
      </w:r>
      <w:r w:rsidRPr="00E224E9">
        <w:rPr>
          <w:rFonts w:ascii="Book Antiqua" w:hAnsi="標楷體" w:hint="eastAsia"/>
          <w:color w:val="000000" w:themeColor="text1"/>
        </w:rPr>
        <w:t>(</w:t>
      </w:r>
      <w:r w:rsidRPr="00E224E9">
        <w:rPr>
          <w:rFonts w:ascii="Book Antiqua" w:hAnsi="標楷體" w:hint="eastAsia"/>
          <w:color w:val="000000" w:themeColor="text1"/>
        </w:rPr>
        <w:t>權益</w:t>
      </w:r>
      <w:r w:rsidRPr="00E224E9">
        <w:rPr>
          <w:rFonts w:ascii="Book Antiqua" w:hAnsi="標楷體" w:hint="eastAsia"/>
          <w:color w:val="000000" w:themeColor="text1"/>
        </w:rPr>
        <w:t>)</w:t>
      </w:r>
    </w:p>
    <w:p w14:paraId="73092B64" w14:textId="77777777" w:rsidR="009942EA" w:rsidRPr="00E224E9" w:rsidRDefault="009942EA" w:rsidP="009942EA">
      <w:pPr>
        <w:spacing w:line="440" w:lineRule="exact"/>
        <w:ind w:leftChars="276" w:left="718"/>
        <w:rPr>
          <w:rFonts w:ascii="Book Antiqua" w:hAnsi="標楷體"/>
          <w:color w:val="000000" w:themeColor="text1"/>
        </w:rPr>
      </w:pPr>
      <w:r w:rsidRPr="00E224E9">
        <w:rPr>
          <w:rFonts w:ascii="Book Antiqua" w:hAnsi="標楷體" w:hint="eastAsia"/>
          <w:color w:val="000000" w:themeColor="text1"/>
        </w:rPr>
        <w:t>人身保險業轉列之外匯價格變動準備金初始金額，應自實施日起三年內提列特別盈餘公積。</w:t>
      </w:r>
    </w:p>
    <w:p w14:paraId="41D29CF4"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18</w:t>
      </w:r>
      <w:r w:rsidRPr="00E224E9">
        <w:rPr>
          <w:rFonts w:ascii="Book Antiqua" w:hAnsi="標楷體"/>
          <w:color w:val="000000" w:themeColor="text1"/>
        </w:rPr>
        <w:t>欄－重大事故特別準備金期末餘額</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p>
    <w:p w14:paraId="47DC1FC5"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因應四十號公報實施，將重大事故特別準備金區分為認列為負債與權益之部分。本欄之金額應等於第</w:t>
      </w:r>
      <w:r w:rsidRPr="00E224E9">
        <w:rPr>
          <w:rFonts w:ascii="Book Antiqua" w:hAnsi="Book Antiqua" w:hint="eastAsia"/>
          <w:color w:val="000000" w:themeColor="text1"/>
        </w:rPr>
        <w:t>7</w:t>
      </w:r>
      <w:r w:rsidRPr="00E224E9">
        <w:rPr>
          <w:rFonts w:ascii="Book Antiqua" w:hAnsi="標楷體"/>
          <w:color w:val="000000" w:themeColor="text1"/>
        </w:rPr>
        <w:t>欄「合計」減第</w:t>
      </w:r>
      <w:r w:rsidRPr="00E224E9">
        <w:rPr>
          <w:rFonts w:ascii="Book Antiqua" w:hAnsi="Book Antiqua" w:hint="eastAsia"/>
          <w:color w:val="000000" w:themeColor="text1"/>
        </w:rPr>
        <w:t>13</w:t>
      </w:r>
      <w:r w:rsidRPr="00E224E9">
        <w:rPr>
          <w:rFonts w:ascii="Book Antiqua" w:hAnsi="標楷體"/>
          <w:color w:val="000000" w:themeColor="text1"/>
        </w:rPr>
        <w:t>欄「本年度實際沖減收回數</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r w:rsidRPr="00E224E9">
        <w:rPr>
          <w:rFonts w:ascii="Book Antiqua" w:hAnsi="標楷體"/>
          <w:color w:val="000000" w:themeColor="text1"/>
        </w:rPr>
        <w:t>」減第</w:t>
      </w:r>
      <w:r w:rsidRPr="00E224E9">
        <w:rPr>
          <w:rFonts w:ascii="Book Antiqua" w:hAnsi="Book Antiqua"/>
          <w:color w:val="000000" w:themeColor="text1"/>
        </w:rPr>
        <w:t>1</w:t>
      </w:r>
      <w:r w:rsidRPr="00E224E9">
        <w:rPr>
          <w:rFonts w:ascii="Book Antiqua" w:hAnsi="Book Antiqua" w:hint="eastAsia"/>
          <w:color w:val="000000" w:themeColor="text1"/>
        </w:rPr>
        <w:t>5</w:t>
      </w:r>
      <w:r w:rsidRPr="00E224E9">
        <w:rPr>
          <w:rFonts w:ascii="Book Antiqua" w:hAnsi="標楷體"/>
          <w:color w:val="000000" w:themeColor="text1"/>
        </w:rPr>
        <w:t>欄「本年度補提或補收重大事故特別準備金</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r w:rsidRPr="00E224E9">
        <w:rPr>
          <w:rFonts w:ascii="Book Antiqua" w:hAnsi="標楷體"/>
          <w:color w:val="000000" w:themeColor="text1"/>
        </w:rPr>
        <w:t>」。</w:t>
      </w:r>
    </w:p>
    <w:p w14:paraId="62BBAE51" w14:textId="77777777" w:rsidR="009942EA" w:rsidRPr="00E224E9" w:rsidRDefault="009942EA" w:rsidP="009942EA">
      <w:pPr>
        <w:rPr>
          <w:rFonts w:ascii="Book Antiqua" w:hAnsi="Book Antiqua"/>
          <w:color w:val="000000" w:themeColor="text1"/>
        </w:rPr>
      </w:pPr>
    </w:p>
    <w:p w14:paraId="551B4CE4" w14:textId="77777777" w:rsidR="00065C53" w:rsidRPr="00E224E9" w:rsidRDefault="009942EA" w:rsidP="009942EA">
      <w:pPr>
        <w:pStyle w:val="1"/>
        <w:spacing w:afterLines="0" w:line="440" w:lineRule="exact"/>
        <w:jc w:val="both"/>
        <w:rPr>
          <w:color w:val="000000" w:themeColor="text1"/>
          <w:szCs w:val="40"/>
        </w:rPr>
      </w:pPr>
      <w:r w:rsidRPr="00E224E9">
        <w:rPr>
          <w:rFonts w:ascii="Book Antiqua" w:hAnsi="Book Antiqua"/>
          <w:color w:val="000000" w:themeColor="text1"/>
        </w:rPr>
        <w:br w:type="page"/>
      </w:r>
      <w:bookmarkStart w:id="102" w:name="_Toc200468542"/>
      <w:r w:rsidR="00065C53" w:rsidRPr="00E224E9">
        <w:rPr>
          <w:rFonts w:hint="eastAsia"/>
          <w:color w:val="000000" w:themeColor="text1"/>
        </w:rPr>
        <w:lastRenderedPageBreak/>
        <w:t>表25-2：</w:t>
      </w:r>
      <w:r w:rsidR="00065C53" w:rsidRPr="00E224E9">
        <w:rPr>
          <w:rFonts w:hint="eastAsia"/>
          <w:color w:val="000000" w:themeColor="text1"/>
          <w:szCs w:val="40"/>
        </w:rPr>
        <w:t>危險變動特別準備金明細表</w:t>
      </w:r>
      <w:bookmarkEnd w:id="101"/>
      <w:bookmarkEnd w:id="102"/>
    </w:p>
    <w:p w14:paraId="13619D26" w14:textId="77777777" w:rsidR="00065C53" w:rsidRPr="00E224E9" w:rsidRDefault="00065C53">
      <w:pPr>
        <w:spacing w:line="440" w:lineRule="exact"/>
        <w:ind w:firstLineChars="200" w:firstLine="480"/>
        <w:jc w:val="both"/>
        <w:rPr>
          <w:rFonts w:ascii="標楷體" w:hAnsi="標楷體"/>
          <w:color w:val="000000" w:themeColor="text1"/>
          <w:sz w:val="24"/>
        </w:rPr>
      </w:pPr>
      <w:r w:rsidRPr="00E224E9">
        <w:rPr>
          <w:rFonts w:ascii="標楷體" w:hAnsi="標楷體" w:hint="eastAsia"/>
          <w:color w:val="000000" w:themeColor="text1"/>
          <w:sz w:val="24"/>
        </w:rPr>
        <w:t>本報表的目的在於表達人身保險業危險變動特別準備金的提列情形。本說明的目的為配合相關法令之規定，簡介該表之填列規則，以利保險業者之填報。</w:t>
      </w:r>
    </w:p>
    <w:p w14:paraId="22D677E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第1欄－已滿期自留保費</w:t>
      </w:r>
    </w:p>
    <w:p w14:paraId="18C18147"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係指自留保費收入減除未滿期保費準備後之金額。</w:t>
      </w:r>
    </w:p>
    <w:p w14:paraId="52893D6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第2欄－預計賠款：預計損失率</w:t>
      </w:r>
    </w:p>
    <w:p w14:paraId="7605BCF5"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本欄之金額為依據過去損失之經驗所估算之比率。</w:t>
      </w:r>
    </w:p>
    <w:p w14:paraId="552EFEB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第3欄－預計賠款：預計數</w:t>
      </w:r>
    </w:p>
    <w:p w14:paraId="06EE61C4"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本欄之金額為第1欄乘以第2欄後之金額。</w:t>
      </w:r>
    </w:p>
    <w:p w14:paraId="022940E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Pr="00E224E9">
        <w:rPr>
          <w:rFonts w:ascii="標楷體" w:hAnsi="標楷體"/>
          <w:color w:val="000000" w:themeColor="text1"/>
          <w:sz w:val="24"/>
        </w:rPr>
        <w:t>4</w:t>
      </w:r>
      <w:r w:rsidRPr="00E224E9">
        <w:rPr>
          <w:rFonts w:ascii="標楷體" w:hAnsi="標楷體" w:hint="eastAsia"/>
          <w:color w:val="000000" w:themeColor="text1"/>
          <w:sz w:val="24"/>
        </w:rPr>
        <w:t>欄－自留賠款</w:t>
      </w:r>
    </w:p>
    <w:p w14:paraId="03AC515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保險理賠金額加可分配理賠費用及再保賠款，減除攤回再保險賠款後餘額。</w:t>
      </w:r>
    </w:p>
    <w:p w14:paraId="04BA160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第5欄－重大事故自留賠款</w:t>
      </w:r>
    </w:p>
    <w:p w14:paraId="71EC190B"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所謂重大事故，係指符合政府發布重大災情，單一事故發生時，個別公司累計各險別自留賠款合計達新台幣三千萬元整，且全體人身保險業各險別合計應賠款總金額達新台幣十億元以上者。</w:t>
      </w:r>
    </w:p>
    <w:p w14:paraId="0989BE6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第6欄－重大事故特別準備金沖減分攤額</w:t>
      </w:r>
    </w:p>
    <w:p w14:paraId="045933BB"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發生重大事故之實際自留賠款金額超過新台幣三千萬元之部分，得就重大事故特別準備金沖減之，本欄係計算重大事故特別準備金沖減金額分攤於各險別之概況，其計算方式為：各險別沖減金額為第5欄乘上自留賠款超過三千萬元之部份佔第五欄總計之比例。</w:t>
      </w:r>
    </w:p>
    <w:p w14:paraId="6D22520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第7欄－實際賠款扣除重大事故特別準備金沖減後之自留賠款</w:t>
      </w:r>
    </w:p>
    <w:p w14:paraId="58B14F6C"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本欄金額為第4欄扣除第6欄之餘額，係計算各險之實際賠款扣除該險以重大事故特別準備金沖減後之餘額。</w:t>
      </w:r>
    </w:p>
    <w:p w14:paraId="2540D8B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第8欄－低於預計賠款提存數</w:t>
      </w:r>
    </w:p>
    <w:p w14:paraId="43C6052C"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本欄係計算各險別之實際賠款扣除該險以重大事故特別準備金沖減後之餘額低於預期賠款時，應就其差額部份之百分之十五提存金額</w:t>
      </w:r>
      <w:r w:rsidRPr="00E224E9">
        <w:rPr>
          <w:rFonts w:ascii="標楷體" w:hAnsi="標楷體"/>
          <w:color w:val="000000" w:themeColor="text1"/>
          <w:sz w:val="24"/>
        </w:rPr>
        <w:t>。</w:t>
      </w:r>
    </w:p>
    <w:p w14:paraId="1EC14107"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本欄之金額為第3欄扣除第7欄後之餘額乘上百分之十五之值，若第3欄低於第7欄之金額，則以0列示。</w:t>
      </w:r>
    </w:p>
    <w:p w14:paraId="76E86D6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第9欄至第14欄－本年度收回危險變動特別準備金</w:t>
      </w:r>
    </w:p>
    <w:p w14:paraId="4DBADE2A"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因應四十號公報實施，將危險變動特別準備金區分為認列為負債與權益之部分。本項各欄係計算各險別收回危險變動特別準備金之概況，第9欄計算各險實際賠</w:t>
      </w:r>
      <w:r w:rsidRPr="00E224E9">
        <w:rPr>
          <w:rFonts w:ascii="標楷體" w:hAnsi="標楷體" w:hint="eastAsia"/>
          <w:color w:val="000000" w:themeColor="text1"/>
          <w:sz w:val="24"/>
        </w:rPr>
        <w:lastRenderedPageBreak/>
        <w:t>款扣除該險以重大事故特別準備金沖減後之餘額超過預期賠款之沖減數；第11欄計算各險別危險變動特別準備金累積提存總額超過其當(半)年度自留滿期保險費百分之三十之收回數；第13欄為各險別本年度之收回數，即第9欄加上第11欄之金額。</w:t>
      </w:r>
    </w:p>
    <w:p w14:paraId="14E9DCE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第17欄－轉列外匯價格變動準備金之初始金額</w:t>
      </w:r>
    </w:p>
    <w:p w14:paraId="6ACD70F9"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6673EA7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第19欄至第20欄－期末餘額</w:t>
      </w:r>
    </w:p>
    <w:p w14:paraId="07F74B6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因應四十號公報實施，將危險變動特別準備金區分為認列為負債與權益之部分。第19欄之金額為第15欄減除第13欄及第17欄後之金額。第20欄之金額為第16欄加第8欄減除第14欄及第18欄後之金額。</w:t>
      </w:r>
    </w:p>
    <w:p w14:paraId="351546C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第21欄－轉列外匯價格變動準備金初始金額之返還數(權益)</w:t>
      </w:r>
    </w:p>
    <w:p w14:paraId="0C49F4C7"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人身保險業轉列之外匯價格變動準備金初始金額，應自實施日起三年內提列特別盈餘公積。</w:t>
      </w:r>
    </w:p>
    <w:p w14:paraId="0C4022A7" w14:textId="77777777" w:rsidR="00065C53" w:rsidRPr="00E224E9" w:rsidRDefault="00065C53" w:rsidP="00664571">
      <w:pPr>
        <w:pStyle w:val="1"/>
        <w:pageBreakBefore/>
        <w:spacing w:after="120"/>
        <w:rPr>
          <w:color w:val="000000" w:themeColor="text1"/>
        </w:rPr>
      </w:pPr>
      <w:bookmarkStart w:id="103" w:name="_Toc200468543"/>
      <w:r w:rsidRPr="00E224E9">
        <w:rPr>
          <w:rFonts w:hint="eastAsia"/>
          <w:color w:val="000000" w:themeColor="text1"/>
        </w:rPr>
        <w:lastRenderedPageBreak/>
        <w:t>表25-6：外匯價格變動準備金明細表</w:t>
      </w:r>
      <w:bookmarkEnd w:id="103"/>
    </w:p>
    <w:p w14:paraId="137E2887" w14:textId="63EB947B" w:rsidR="00065C53" w:rsidRPr="00E224E9" w:rsidRDefault="00065C53">
      <w:pPr>
        <w:spacing w:line="440" w:lineRule="exact"/>
        <w:ind w:firstLineChars="200" w:firstLine="480"/>
        <w:jc w:val="both"/>
        <w:rPr>
          <w:rFonts w:ascii="標楷體" w:hAnsi="標楷體"/>
          <w:color w:val="000000" w:themeColor="text1"/>
          <w:sz w:val="24"/>
        </w:rPr>
      </w:pPr>
      <w:r w:rsidRPr="00E224E9">
        <w:rPr>
          <w:rFonts w:ascii="標楷體" w:hAnsi="標楷體" w:hint="eastAsia"/>
          <w:color w:val="000000" w:themeColor="text1"/>
          <w:sz w:val="24"/>
        </w:rPr>
        <w:t>本報表的目的在於表達人身保險業外匯價格變動準備金的提列情形。本說明的目的為配合相關法令之規定，簡介該表之填列規則，以利保險業者之填報。本計算表之相關規範係依「人身保險業外匯價格變動準備金應注意事項」</w:t>
      </w:r>
      <w:r w:rsidR="00CA6126" w:rsidRPr="00E224E9">
        <w:rPr>
          <w:rFonts w:ascii="標楷體" w:hAnsi="標楷體" w:hint="eastAsia"/>
          <w:color w:val="000000" w:themeColor="text1"/>
          <w:sz w:val="24"/>
        </w:rPr>
        <w:t>和</w:t>
      </w:r>
      <w:r w:rsidR="009E3AFE" w:rsidRPr="00E224E9">
        <w:rPr>
          <w:rFonts w:ascii="標楷體" w:hAnsi="標楷體" w:hint="eastAsia"/>
          <w:color w:val="000000" w:themeColor="text1"/>
          <w:sz w:val="24"/>
        </w:rPr>
        <w:t>壽險公會發布的</w:t>
      </w:r>
      <w:r w:rsidR="00CA6126" w:rsidRPr="00E224E9">
        <w:rPr>
          <w:rFonts w:ascii="標楷體" w:hAnsi="標楷體" w:hint="eastAsia"/>
          <w:color w:val="000000" w:themeColor="text1"/>
          <w:sz w:val="24"/>
        </w:rPr>
        <w:t>「外匯價格變動準備金問答集」</w:t>
      </w:r>
      <w:r w:rsidRPr="00E224E9">
        <w:rPr>
          <w:rFonts w:ascii="標楷體" w:hAnsi="標楷體" w:hint="eastAsia"/>
          <w:color w:val="000000" w:themeColor="text1"/>
          <w:sz w:val="24"/>
        </w:rPr>
        <w:t>辦理。</w:t>
      </w:r>
    </w:p>
    <w:p w14:paraId="69E57DEF" w14:textId="77777777" w:rsidR="00065C53" w:rsidRPr="00E224E9" w:rsidRDefault="00065C53">
      <w:pPr>
        <w:spacing w:line="440" w:lineRule="exact"/>
        <w:ind w:firstLineChars="200" w:firstLine="480"/>
        <w:jc w:val="both"/>
        <w:rPr>
          <w:rFonts w:ascii="標楷體" w:hAnsi="標楷體"/>
          <w:color w:val="000000" w:themeColor="text1"/>
          <w:sz w:val="24"/>
        </w:rPr>
      </w:pPr>
    </w:p>
    <w:p w14:paraId="241D313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第1欄－期初餘額</w:t>
      </w:r>
    </w:p>
    <w:p w14:paraId="0EF4BF7B" w14:textId="77777777" w:rsidR="00065C53" w:rsidRPr="00E224E9" w:rsidRDefault="00187A39">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係上期外匯價格變動準備金餘額</w:t>
      </w:r>
    </w:p>
    <w:p w14:paraId="5E627845" w14:textId="23D0C039"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Pr="00E224E9">
        <w:rPr>
          <w:rFonts w:ascii="標楷體" w:hAnsi="標楷體"/>
          <w:color w:val="000000" w:themeColor="text1"/>
          <w:sz w:val="24"/>
        </w:rPr>
        <w:t>2欄－</w:t>
      </w:r>
      <w:r w:rsidR="001C0466" w:rsidRPr="00E224E9">
        <w:rPr>
          <w:rFonts w:ascii="標楷體" w:hAnsi="標楷體" w:hint="eastAsia"/>
          <w:color w:val="000000" w:themeColor="text1"/>
          <w:sz w:val="24"/>
        </w:rPr>
        <w:t>固定提存</w:t>
      </w:r>
    </w:p>
    <w:p w14:paraId="02ACDDD1" w14:textId="13087343" w:rsidR="00065C53" w:rsidRPr="00E224E9" w:rsidRDefault="001C0466">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當月以國外投資淨曝險部位乘以固定提存比率計算應提存金額。</w:t>
      </w:r>
    </w:p>
    <w:p w14:paraId="3CC639DF" w14:textId="516190EE"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1C0466" w:rsidRPr="00E224E9">
        <w:rPr>
          <w:rFonts w:ascii="標楷體" w:hAnsi="標楷體"/>
          <w:color w:val="000000" w:themeColor="text1"/>
          <w:sz w:val="24"/>
        </w:rPr>
        <w:t>4</w:t>
      </w:r>
      <w:r w:rsidRPr="00E224E9">
        <w:rPr>
          <w:rFonts w:ascii="標楷體" w:hAnsi="標楷體" w:hint="eastAsia"/>
          <w:color w:val="000000" w:themeColor="text1"/>
          <w:sz w:val="24"/>
        </w:rPr>
        <w:t>欄－</w:t>
      </w:r>
      <w:r w:rsidR="001C0466" w:rsidRPr="00E224E9">
        <w:rPr>
          <w:rFonts w:ascii="標楷體" w:hAnsi="標楷體" w:hint="eastAsia"/>
          <w:color w:val="000000" w:themeColor="text1"/>
          <w:sz w:val="24"/>
        </w:rPr>
        <w:t>未避險外幣資產及負債兌換利益之額外提存</w:t>
      </w:r>
    </w:p>
    <w:p w14:paraId="1BA6FA88" w14:textId="2701CF48" w:rsidR="00065C53" w:rsidRPr="00E224E9" w:rsidRDefault="001C0466">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當月有未避險外幣資產及負債兌換利益時，應以該金額乘以額外提存比率，提存本準備金。</w:t>
      </w:r>
    </w:p>
    <w:p w14:paraId="6FE5E7B4" w14:textId="5A065FA8"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1C0466" w:rsidRPr="00E224E9">
        <w:rPr>
          <w:rFonts w:ascii="標楷體" w:hAnsi="標楷體"/>
          <w:color w:val="000000" w:themeColor="text1"/>
          <w:sz w:val="24"/>
        </w:rPr>
        <w:t>6</w:t>
      </w:r>
      <w:r w:rsidRPr="00E224E9">
        <w:rPr>
          <w:rFonts w:ascii="標楷體" w:hAnsi="標楷體" w:hint="eastAsia"/>
          <w:color w:val="000000" w:themeColor="text1"/>
          <w:sz w:val="24"/>
        </w:rPr>
        <w:t>欄－</w:t>
      </w:r>
      <w:r w:rsidR="001C0466" w:rsidRPr="00E224E9">
        <w:rPr>
          <w:rFonts w:ascii="標楷體" w:hAnsi="標楷體" w:hint="eastAsia"/>
          <w:color w:val="000000" w:themeColor="text1"/>
          <w:sz w:val="24"/>
        </w:rPr>
        <w:t>傳統避險成本之額外提存</w:t>
      </w:r>
    </w:p>
    <w:p w14:paraId="56703B31" w14:textId="134C60D7" w:rsidR="00E971B5" w:rsidRPr="00E224E9" w:rsidRDefault="001C0466">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當月一年期新臺幣兌換美元換匯（</w:t>
      </w:r>
      <w:r w:rsidRPr="00E224E9">
        <w:rPr>
          <w:rFonts w:ascii="標楷體" w:hAnsi="標楷體"/>
          <w:color w:val="000000" w:themeColor="text1"/>
          <w:sz w:val="24"/>
        </w:rPr>
        <w:t xml:space="preserve">Currency Swap） </w:t>
      </w:r>
      <w:r w:rsidRPr="00E224E9">
        <w:rPr>
          <w:rFonts w:ascii="標楷體" w:hAnsi="標楷體" w:hint="eastAsia"/>
          <w:color w:val="000000" w:themeColor="text1"/>
          <w:sz w:val="24"/>
        </w:rPr>
        <w:t>交易之平均避險成本率低於歷史平均避險成本率時，應以當月傳統避險本金金額乘以避險成本率差額除以十二再乘以額外提存比率，提存本準備金。</w:t>
      </w:r>
    </w:p>
    <w:p w14:paraId="2A9BA01E" w14:textId="1F94AC61"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487801" w:rsidRPr="00E224E9">
        <w:rPr>
          <w:rFonts w:ascii="標楷體" w:hAnsi="標楷體"/>
          <w:color w:val="000000" w:themeColor="text1"/>
          <w:sz w:val="24"/>
        </w:rPr>
        <w:t>9</w:t>
      </w:r>
      <w:r w:rsidRPr="00E224E9">
        <w:rPr>
          <w:rFonts w:ascii="標楷體" w:hAnsi="標楷體" w:hint="eastAsia"/>
          <w:color w:val="000000" w:themeColor="text1"/>
          <w:sz w:val="24"/>
        </w:rPr>
        <w:t>欄</w:t>
      </w:r>
      <w:r w:rsidRPr="00E224E9">
        <w:rPr>
          <w:rFonts w:ascii="標楷體" w:hAnsi="標楷體"/>
          <w:color w:val="000000" w:themeColor="text1"/>
          <w:sz w:val="24"/>
        </w:rPr>
        <w:t>-</w:t>
      </w:r>
      <w:r w:rsidR="00487801" w:rsidRPr="00E224E9">
        <w:rPr>
          <w:rFonts w:ascii="標楷體" w:hAnsi="標楷體" w:hint="eastAsia"/>
          <w:color w:val="000000" w:themeColor="text1"/>
          <w:sz w:val="24"/>
        </w:rPr>
        <w:t>未避險外幣資產及負債兌換損失之額外沖抵</w:t>
      </w:r>
    </w:p>
    <w:p w14:paraId="3A0DDC68" w14:textId="25EA7480" w:rsidR="00E971B5" w:rsidRPr="00E224E9" w:rsidRDefault="00487801">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當月有未避險外幣資產及負債兌換損失時，應以該金額乘以額外沖抵比率，沖抵本準備金。</w:t>
      </w:r>
    </w:p>
    <w:p w14:paraId="40CD4D62" w14:textId="1D2A93DC"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487801" w:rsidRPr="00E224E9">
        <w:rPr>
          <w:rFonts w:ascii="標楷體" w:hAnsi="標楷體"/>
          <w:color w:val="000000" w:themeColor="text1"/>
          <w:sz w:val="24"/>
        </w:rPr>
        <w:t>11</w:t>
      </w:r>
      <w:r w:rsidRPr="00E224E9">
        <w:rPr>
          <w:rFonts w:ascii="標楷體" w:hAnsi="標楷體" w:hint="eastAsia"/>
          <w:color w:val="000000" w:themeColor="text1"/>
          <w:sz w:val="24"/>
        </w:rPr>
        <w:t>欄</w:t>
      </w:r>
      <w:r w:rsidRPr="00E224E9">
        <w:rPr>
          <w:rFonts w:ascii="標楷體" w:hAnsi="標楷體"/>
          <w:color w:val="000000" w:themeColor="text1"/>
          <w:sz w:val="24"/>
        </w:rPr>
        <w:t>-</w:t>
      </w:r>
      <w:r w:rsidR="00487801" w:rsidRPr="00E224E9">
        <w:rPr>
          <w:rFonts w:ascii="標楷體" w:hAnsi="標楷體" w:hint="eastAsia"/>
          <w:color w:val="000000" w:themeColor="text1"/>
          <w:sz w:val="24"/>
        </w:rPr>
        <w:t>傳統避險成本之額外沖抵</w:t>
      </w:r>
    </w:p>
    <w:p w14:paraId="1F1E8D02" w14:textId="05772E5A" w:rsidR="00065C53" w:rsidRPr="00E224E9" w:rsidRDefault="00487801">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當月一年期新臺幣兌換美元換匯交易之平均避險成本率高於歷史平均避險成本率時，應以當月傳統避險本金金額乘以避險成本率差額除以十二再乘以額外沖抵比率，沖抵本準備金。</w:t>
      </w:r>
    </w:p>
    <w:p w14:paraId="0815AC93" w14:textId="49F7CB23" w:rsidR="001616A6" w:rsidRPr="00E224E9" w:rsidRDefault="001616A6" w:rsidP="00FE3265">
      <w:pPr>
        <w:spacing w:line="440" w:lineRule="exact"/>
        <w:ind w:leftChars="276" w:left="718"/>
        <w:jc w:val="both"/>
        <w:rPr>
          <w:color w:val="000000" w:themeColor="text1"/>
        </w:rPr>
      </w:pPr>
    </w:p>
    <w:p w14:paraId="428A3CCC" w14:textId="77777777" w:rsidR="001616A6" w:rsidRPr="00E224E9" w:rsidRDefault="001616A6" w:rsidP="001616A6">
      <w:pPr>
        <w:pStyle w:val="1"/>
        <w:spacing w:after="120"/>
        <w:rPr>
          <w:color w:val="000000" w:themeColor="text1"/>
        </w:rPr>
      </w:pPr>
      <w:r w:rsidRPr="00E224E9">
        <w:rPr>
          <w:color w:val="000000" w:themeColor="text1"/>
        </w:rPr>
        <w:br w:type="page"/>
      </w:r>
      <w:bookmarkStart w:id="104" w:name="_Toc200468544"/>
      <w:r w:rsidRPr="00E224E9">
        <w:rPr>
          <w:color w:val="000000" w:themeColor="text1"/>
        </w:rPr>
        <w:lastRenderedPageBreak/>
        <w:t>表25-</w:t>
      </w:r>
      <w:r w:rsidR="001A097A" w:rsidRPr="00E224E9">
        <w:rPr>
          <w:rFonts w:hint="eastAsia"/>
          <w:color w:val="000000" w:themeColor="text1"/>
        </w:rPr>
        <w:t>7</w:t>
      </w:r>
      <w:r w:rsidRPr="00E224E9">
        <w:rPr>
          <w:color w:val="000000" w:themeColor="text1"/>
        </w:rPr>
        <w:t>：帳列負債之特別準備明細表</w:t>
      </w:r>
      <w:bookmarkEnd w:id="104"/>
    </w:p>
    <w:p w14:paraId="4C4B3D31" w14:textId="77777777" w:rsidR="001616A6" w:rsidRPr="00E224E9" w:rsidRDefault="001616A6" w:rsidP="001616A6">
      <w:pPr>
        <w:spacing w:line="440" w:lineRule="exact"/>
        <w:ind w:firstLineChars="200" w:firstLine="480"/>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本報表的目的在於表達帳列負債項下之特別準備金累積提列情形。本說明的目的為配合相關法令之規定，簡介該表之填列規則，以利保險業者之填報。</w:t>
      </w:r>
    </w:p>
    <w:p w14:paraId="7D776DE5" w14:textId="77777777" w:rsidR="001616A6" w:rsidRPr="00E224E9" w:rsidRDefault="001616A6" w:rsidP="001616A6">
      <w:pPr>
        <w:spacing w:line="440" w:lineRule="exact"/>
        <w:rPr>
          <w:rFonts w:ascii="Book Antiqua" w:eastAsia="華康仿宋體W6" w:hAnsi="Book Antiqua"/>
          <w:color w:val="000000" w:themeColor="text1"/>
          <w:sz w:val="24"/>
        </w:rPr>
      </w:pPr>
    </w:p>
    <w:p w14:paraId="69BFD603" w14:textId="77777777" w:rsidR="001616A6" w:rsidRPr="00E224E9" w:rsidRDefault="001616A6" w:rsidP="001616A6">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1</w:t>
      </w:r>
      <w:r w:rsidR="00E90F88" w:rsidRPr="00E224E9">
        <w:rPr>
          <w:rFonts w:ascii="Book Antiqua" w:eastAsia="華康仿宋體W6" w:hAnsi="Book Antiqua" w:hint="eastAsia"/>
          <w:color w:val="000000" w:themeColor="text1"/>
          <w:sz w:val="24"/>
        </w:rPr>
        <w:t>欄</w:t>
      </w:r>
      <w:r w:rsidRPr="00E224E9">
        <w:rPr>
          <w:rFonts w:ascii="Book Antiqua" w:eastAsia="華康仿宋體W6" w:hAnsi="Book Antiqua"/>
          <w:color w:val="000000" w:themeColor="text1"/>
          <w:sz w:val="24"/>
        </w:rPr>
        <w:t>－期末餘額</w:t>
      </w:r>
    </w:p>
    <w:p w14:paraId="7F82199C" w14:textId="77777777" w:rsidR="001616A6" w:rsidRPr="00E224E9" w:rsidRDefault="001616A6" w:rsidP="001616A6">
      <w:pPr>
        <w:spacing w:line="440" w:lineRule="exact"/>
        <w:ind w:leftChars="276" w:left="718"/>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係指曆年制，截至基準日為止，負債項下特別準備金各險種之餘額。</w:t>
      </w:r>
    </w:p>
    <w:p w14:paraId="3D1D84C9" w14:textId="77777777" w:rsidR="001616A6" w:rsidRPr="00E224E9" w:rsidRDefault="001616A6" w:rsidP="001616A6">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2</w:t>
      </w:r>
      <w:r w:rsidR="00E90F88" w:rsidRPr="00E224E9">
        <w:rPr>
          <w:rFonts w:ascii="Book Antiqua" w:eastAsia="華康仿宋體W6" w:hAnsi="Book Antiqua" w:hint="eastAsia"/>
          <w:color w:val="000000" w:themeColor="text1"/>
          <w:sz w:val="24"/>
        </w:rPr>
        <w:t>欄</w:t>
      </w:r>
      <w:r w:rsidRPr="00E224E9">
        <w:rPr>
          <w:rFonts w:ascii="Book Antiqua" w:eastAsia="華康仿宋體W6" w:hAnsi="Book Antiqua"/>
          <w:color w:val="000000" w:themeColor="text1"/>
          <w:sz w:val="24"/>
        </w:rPr>
        <w:t>－期初餘額</w:t>
      </w:r>
    </w:p>
    <w:p w14:paraId="307BEA76" w14:textId="77777777" w:rsidR="001616A6" w:rsidRPr="00E224E9" w:rsidRDefault="001616A6" w:rsidP="001616A6">
      <w:pPr>
        <w:spacing w:line="440" w:lineRule="exact"/>
        <w:ind w:leftChars="276" w:left="718"/>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係指</w:t>
      </w:r>
      <w:r w:rsidR="00E90F88" w:rsidRPr="00E224E9">
        <w:rPr>
          <w:rFonts w:ascii="Book Antiqua" w:hAnsi="標楷體"/>
          <w:color w:val="000000" w:themeColor="text1"/>
        </w:rPr>
        <w:t>上年度末</w:t>
      </w:r>
      <w:r w:rsidRPr="00E224E9">
        <w:rPr>
          <w:rFonts w:ascii="Book Antiqua" w:eastAsia="華康仿宋體W6" w:hAnsi="Book Antiqua"/>
          <w:color w:val="000000" w:themeColor="text1"/>
          <w:sz w:val="24"/>
        </w:rPr>
        <w:t>負債項下特別準備金各險種之餘額。</w:t>
      </w:r>
    </w:p>
    <w:p w14:paraId="1CDE89BC" w14:textId="77777777" w:rsidR="001616A6" w:rsidRPr="00E224E9" w:rsidRDefault="001616A6" w:rsidP="001616A6">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3</w:t>
      </w:r>
      <w:r w:rsidR="00E90F88" w:rsidRPr="00E224E9">
        <w:rPr>
          <w:rFonts w:ascii="Book Antiqua" w:eastAsia="華康仿宋體W6" w:hAnsi="Book Antiqua" w:hint="eastAsia"/>
          <w:color w:val="000000" w:themeColor="text1"/>
          <w:sz w:val="24"/>
        </w:rPr>
        <w:t>欄</w:t>
      </w:r>
      <w:r w:rsidRPr="00E224E9">
        <w:rPr>
          <w:rFonts w:ascii="Book Antiqua" w:eastAsia="華康仿宋體W6" w:hAnsi="Book Antiqua"/>
          <w:color w:val="000000" w:themeColor="text1"/>
          <w:sz w:val="24"/>
        </w:rPr>
        <w:t>－增減數</w:t>
      </w:r>
    </w:p>
    <w:p w14:paraId="2056B51C" w14:textId="77777777" w:rsidR="00AC1C13" w:rsidRPr="00E224E9" w:rsidRDefault="00E90F88" w:rsidP="001616A6">
      <w:pPr>
        <w:spacing w:line="440" w:lineRule="exact"/>
        <w:ind w:leftChars="276" w:left="718"/>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為第</w:t>
      </w:r>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欄減第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欄之</w:t>
      </w:r>
      <w:r w:rsidR="003F6071" w:rsidRPr="00E224E9">
        <w:rPr>
          <w:rFonts w:ascii="Book Antiqua" w:eastAsia="華康仿宋體W6" w:hAnsi="Book Antiqua" w:hint="eastAsia"/>
          <w:color w:val="000000" w:themeColor="text1"/>
          <w:sz w:val="24"/>
        </w:rPr>
        <w:t>差額。</w:t>
      </w:r>
    </w:p>
    <w:p w14:paraId="396EB569" w14:textId="77777777" w:rsidR="00AC1C13" w:rsidRPr="00E224E9" w:rsidRDefault="00AC1C13" w:rsidP="00AC1C13">
      <w:pPr>
        <w:pStyle w:val="1"/>
        <w:spacing w:after="120"/>
        <w:rPr>
          <w:color w:val="000000" w:themeColor="text1"/>
        </w:rPr>
      </w:pPr>
      <w:r w:rsidRPr="00E224E9">
        <w:rPr>
          <w:rFonts w:ascii="Book Antiqua" w:eastAsia="華康仿宋體W6" w:hAnsi="Book Antiqua"/>
          <w:color w:val="000000" w:themeColor="text1"/>
          <w:sz w:val="24"/>
        </w:rPr>
        <w:br w:type="page"/>
      </w:r>
      <w:bookmarkStart w:id="105" w:name="_Toc376248181"/>
      <w:bookmarkStart w:id="106" w:name="_Toc200468545"/>
      <w:r w:rsidRPr="00E224E9">
        <w:rPr>
          <w:color w:val="000000" w:themeColor="text1"/>
        </w:rPr>
        <w:lastRenderedPageBreak/>
        <w:t>表25-</w:t>
      </w:r>
      <w:r w:rsidRPr="00E224E9">
        <w:rPr>
          <w:rFonts w:hint="eastAsia"/>
          <w:color w:val="000000" w:themeColor="text1"/>
        </w:rPr>
        <w:t>7-1</w:t>
      </w:r>
      <w:r w:rsidRPr="00E224E9">
        <w:rPr>
          <w:color w:val="000000" w:themeColor="text1"/>
        </w:rPr>
        <w:t>：</w:t>
      </w:r>
      <w:r w:rsidRPr="00E224E9">
        <w:rPr>
          <w:rFonts w:hint="eastAsia"/>
          <w:color w:val="000000" w:themeColor="text1"/>
        </w:rPr>
        <w:t>精算簽證適足準備明細表</w:t>
      </w:r>
      <w:bookmarkEnd w:id="105"/>
      <w:bookmarkEnd w:id="106"/>
    </w:p>
    <w:p w14:paraId="6732467F" w14:textId="77777777" w:rsidR="00AC1C13" w:rsidRPr="00E224E9" w:rsidRDefault="00AC1C13" w:rsidP="00AC1C13">
      <w:pPr>
        <w:spacing w:beforeLines="100" w:before="240" w:line="440" w:lineRule="exact"/>
        <w:ind w:firstLineChars="200" w:firstLine="480"/>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本報表目的在於表達</w:t>
      </w:r>
      <w:r w:rsidRPr="00E224E9">
        <w:rPr>
          <w:rFonts w:ascii="Book Antiqua" w:eastAsia="華康仿宋體W6" w:hAnsi="Book Antiqua" w:hint="eastAsia"/>
          <w:color w:val="000000" w:themeColor="text1"/>
          <w:sz w:val="24"/>
        </w:rPr>
        <w:t>公司精算簽證報告若有準備金不適足之情事時，其各項準備金增提數追蹤事宜</w:t>
      </w:r>
      <w:r w:rsidRPr="00E224E9">
        <w:rPr>
          <w:rFonts w:ascii="Book Antiqua" w:eastAsia="華康仿宋體W6" w:hAnsi="Book Antiqua"/>
          <w:color w:val="000000" w:themeColor="text1"/>
          <w:sz w:val="24"/>
        </w:rPr>
        <w:t>。本說明</w:t>
      </w:r>
      <w:r w:rsidRPr="00E224E9">
        <w:rPr>
          <w:rFonts w:ascii="Book Antiqua" w:eastAsia="華康仿宋體W6" w:hAnsi="Book Antiqua" w:hint="eastAsia"/>
          <w:color w:val="000000" w:themeColor="text1"/>
          <w:sz w:val="24"/>
        </w:rPr>
        <w:t>之</w:t>
      </w:r>
      <w:r w:rsidRPr="00E224E9">
        <w:rPr>
          <w:rFonts w:ascii="Book Antiqua" w:eastAsia="華康仿宋體W6" w:hAnsi="Book Antiqua"/>
          <w:color w:val="000000" w:themeColor="text1"/>
          <w:sz w:val="24"/>
        </w:rPr>
        <w:t>目的</w:t>
      </w:r>
      <w:r w:rsidRPr="00E224E9">
        <w:rPr>
          <w:rFonts w:ascii="Book Antiqua" w:eastAsia="華康仿宋體W6" w:hAnsi="Book Antiqua" w:hint="eastAsia"/>
          <w:color w:val="000000" w:themeColor="text1"/>
          <w:sz w:val="24"/>
        </w:rPr>
        <w:t>係</w:t>
      </w:r>
      <w:r w:rsidRPr="00E224E9">
        <w:rPr>
          <w:rFonts w:ascii="Book Antiqua" w:eastAsia="華康仿宋體W6" w:hAnsi="Book Antiqua"/>
          <w:color w:val="000000" w:themeColor="text1"/>
          <w:sz w:val="24"/>
        </w:rPr>
        <w:t>為配合相關法令之規定，簡介該表之填列規則，以利保險業者之填報。</w:t>
      </w:r>
    </w:p>
    <w:p w14:paraId="0EC76FAC" w14:textId="77777777" w:rsidR="00AC1C13" w:rsidRPr="00E224E9" w:rsidRDefault="00AC1C13" w:rsidP="00AC1C13">
      <w:pPr>
        <w:spacing w:line="440" w:lineRule="exact"/>
        <w:ind w:firstLineChars="200" w:firstLine="480"/>
        <w:rPr>
          <w:rFonts w:ascii="Book Antiqua" w:eastAsia="華康仿宋體W6" w:hAnsi="Book Antiqua"/>
          <w:color w:val="000000" w:themeColor="text1"/>
          <w:sz w:val="24"/>
        </w:rPr>
      </w:pPr>
    </w:p>
    <w:p w14:paraId="1413E4CA" w14:textId="77777777" w:rsidR="00AC1C13" w:rsidRPr="00E224E9" w:rsidRDefault="00AC1C13" w:rsidP="00AC1C13">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1</w:t>
      </w:r>
      <w:r w:rsidR="003F6071" w:rsidRPr="00E224E9">
        <w:rPr>
          <w:rFonts w:ascii="Book Antiqua" w:eastAsia="華康仿宋體W6" w:hAnsi="Book Antiqua" w:hint="eastAsia"/>
          <w:color w:val="000000" w:themeColor="text1"/>
          <w:sz w:val="24"/>
        </w:rPr>
        <w:t>欄</w:t>
      </w:r>
      <w:r w:rsidRPr="00E224E9">
        <w:rPr>
          <w:rFonts w:ascii="Book Antiqua" w:eastAsia="華康仿宋體W6" w:hAnsi="Book Antiqua"/>
          <w:color w:val="000000" w:themeColor="text1"/>
          <w:sz w:val="24"/>
        </w:rPr>
        <w:t>－期末餘額</w:t>
      </w:r>
    </w:p>
    <w:p w14:paraId="5A3CE1EA" w14:textId="77777777" w:rsidR="00AC1C13" w:rsidRPr="00E224E9" w:rsidRDefault="00AC1C13" w:rsidP="00AC1C13">
      <w:pPr>
        <w:spacing w:line="440" w:lineRule="exact"/>
        <w:ind w:leftChars="276" w:left="718"/>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係指曆年制，截至基準日為止，各險種</w:t>
      </w:r>
      <w:r w:rsidRPr="00E224E9">
        <w:rPr>
          <w:rFonts w:ascii="Book Antiqua" w:eastAsia="華康仿宋體W6" w:hAnsi="Book Antiqua" w:hint="eastAsia"/>
          <w:color w:val="000000" w:themeColor="text1"/>
          <w:sz w:val="24"/>
        </w:rPr>
        <w:t>各項</w:t>
      </w:r>
      <w:r w:rsidRPr="00E224E9">
        <w:rPr>
          <w:rFonts w:ascii="Book Antiqua" w:eastAsia="華康仿宋體W6" w:hAnsi="Book Antiqua"/>
          <w:color w:val="000000" w:themeColor="text1"/>
          <w:sz w:val="24"/>
        </w:rPr>
        <w:t>準備金</w:t>
      </w:r>
      <w:r w:rsidRPr="00E224E9">
        <w:rPr>
          <w:rFonts w:ascii="Book Antiqua" w:eastAsia="華康仿宋體W6" w:hAnsi="Book Antiqua" w:hint="eastAsia"/>
          <w:color w:val="000000" w:themeColor="text1"/>
          <w:sz w:val="24"/>
        </w:rPr>
        <w:t>增提數</w:t>
      </w:r>
      <w:r w:rsidRPr="00E224E9">
        <w:rPr>
          <w:rFonts w:ascii="Book Antiqua" w:eastAsia="華康仿宋體W6" w:hAnsi="Book Antiqua"/>
          <w:color w:val="000000" w:themeColor="text1"/>
          <w:sz w:val="24"/>
        </w:rPr>
        <w:t>之餘額。</w:t>
      </w:r>
    </w:p>
    <w:p w14:paraId="6CB3A140" w14:textId="77777777" w:rsidR="00AC1C13" w:rsidRPr="00E224E9" w:rsidRDefault="00AC1C13" w:rsidP="00AC1C13">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2</w:t>
      </w:r>
      <w:r w:rsidR="003F6071" w:rsidRPr="00E224E9">
        <w:rPr>
          <w:rFonts w:ascii="Book Antiqua" w:eastAsia="華康仿宋體W6" w:hAnsi="Book Antiqua" w:hint="eastAsia"/>
          <w:color w:val="000000" w:themeColor="text1"/>
          <w:sz w:val="24"/>
        </w:rPr>
        <w:t>欄</w:t>
      </w:r>
      <w:r w:rsidRPr="00E224E9">
        <w:rPr>
          <w:rFonts w:ascii="Book Antiqua" w:eastAsia="華康仿宋體W6" w:hAnsi="Book Antiqua"/>
          <w:color w:val="000000" w:themeColor="text1"/>
          <w:sz w:val="24"/>
        </w:rPr>
        <w:t>－期初餘額</w:t>
      </w:r>
    </w:p>
    <w:p w14:paraId="423E0CE2" w14:textId="77777777" w:rsidR="00AC1C13" w:rsidRPr="00E224E9" w:rsidRDefault="00AC1C13" w:rsidP="00AC1C13">
      <w:pPr>
        <w:spacing w:line="440" w:lineRule="exact"/>
        <w:ind w:leftChars="276" w:left="718"/>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係指</w:t>
      </w:r>
      <w:r w:rsidR="003F6071" w:rsidRPr="00E224E9">
        <w:rPr>
          <w:rFonts w:ascii="Book Antiqua" w:hAnsi="標楷體"/>
          <w:color w:val="000000" w:themeColor="text1"/>
        </w:rPr>
        <w:t>上年度末</w:t>
      </w:r>
      <w:r w:rsidRPr="00E224E9">
        <w:rPr>
          <w:rFonts w:ascii="Book Antiqua" w:eastAsia="華康仿宋體W6" w:hAnsi="Book Antiqua"/>
          <w:color w:val="000000" w:themeColor="text1"/>
          <w:sz w:val="24"/>
        </w:rPr>
        <w:t>各險種</w:t>
      </w:r>
      <w:r w:rsidRPr="00E224E9">
        <w:rPr>
          <w:rFonts w:ascii="Book Antiqua" w:eastAsia="華康仿宋體W6" w:hAnsi="Book Antiqua" w:hint="eastAsia"/>
          <w:color w:val="000000" w:themeColor="text1"/>
          <w:sz w:val="24"/>
        </w:rPr>
        <w:t>各項</w:t>
      </w:r>
      <w:r w:rsidRPr="00E224E9">
        <w:rPr>
          <w:rFonts w:ascii="Book Antiqua" w:eastAsia="華康仿宋體W6" w:hAnsi="Book Antiqua"/>
          <w:color w:val="000000" w:themeColor="text1"/>
          <w:sz w:val="24"/>
        </w:rPr>
        <w:t>準備金</w:t>
      </w:r>
      <w:r w:rsidRPr="00E224E9">
        <w:rPr>
          <w:rFonts w:ascii="Book Antiqua" w:eastAsia="華康仿宋體W6" w:hAnsi="Book Antiqua" w:hint="eastAsia"/>
          <w:color w:val="000000" w:themeColor="text1"/>
          <w:sz w:val="24"/>
        </w:rPr>
        <w:t>增提數</w:t>
      </w:r>
      <w:r w:rsidRPr="00E224E9">
        <w:rPr>
          <w:rFonts w:ascii="Book Antiqua" w:eastAsia="華康仿宋體W6" w:hAnsi="Book Antiqua"/>
          <w:color w:val="000000" w:themeColor="text1"/>
          <w:sz w:val="24"/>
        </w:rPr>
        <w:t>之餘額。</w:t>
      </w:r>
    </w:p>
    <w:p w14:paraId="61812506" w14:textId="77777777" w:rsidR="00AC1C13" w:rsidRPr="00E224E9" w:rsidRDefault="00AC1C13" w:rsidP="00AC1C13">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3</w:t>
      </w:r>
      <w:r w:rsidR="003F6071" w:rsidRPr="00E224E9">
        <w:rPr>
          <w:rFonts w:ascii="Book Antiqua" w:eastAsia="華康仿宋體W6" w:hAnsi="Book Antiqua" w:hint="eastAsia"/>
          <w:color w:val="000000" w:themeColor="text1"/>
          <w:sz w:val="24"/>
        </w:rPr>
        <w:t>欄</w:t>
      </w:r>
      <w:r w:rsidRPr="00E224E9">
        <w:rPr>
          <w:rFonts w:ascii="Book Antiqua" w:eastAsia="華康仿宋體W6" w:hAnsi="Book Antiqua"/>
          <w:color w:val="000000" w:themeColor="text1"/>
          <w:sz w:val="24"/>
        </w:rPr>
        <w:t>－增減數</w:t>
      </w:r>
    </w:p>
    <w:p w14:paraId="327638BD" w14:textId="77777777" w:rsidR="003F6071" w:rsidRPr="00E224E9" w:rsidRDefault="003F6071" w:rsidP="003F6071">
      <w:pPr>
        <w:spacing w:line="440" w:lineRule="exact"/>
        <w:ind w:leftChars="276" w:left="718"/>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為第</w:t>
      </w:r>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欄減第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欄之差額。</w:t>
      </w:r>
    </w:p>
    <w:p w14:paraId="7C6B712A" w14:textId="77777777" w:rsidR="00AC1C13" w:rsidRPr="00E224E9" w:rsidRDefault="00AC1C13" w:rsidP="00AC1C13">
      <w:pPr>
        <w:pStyle w:val="1"/>
        <w:spacing w:after="120"/>
        <w:rPr>
          <w:color w:val="000000" w:themeColor="text1"/>
        </w:rPr>
      </w:pPr>
      <w:r w:rsidRPr="00E224E9">
        <w:rPr>
          <w:rFonts w:ascii="Book Antiqua" w:eastAsia="華康仿宋體W6" w:hAnsi="Book Antiqua"/>
          <w:color w:val="000000" w:themeColor="text1"/>
          <w:sz w:val="24"/>
        </w:rPr>
        <w:br w:type="page"/>
      </w:r>
      <w:bookmarkStart w:id="107" w:name="_Toc376248182"/>
      <w:bookmarkStart w:id="108" w:name="_Toc200468546"/>
      <w:r w:rsidRPr="00E224E9">
        <w:rPr>
          <w:color w:val="000000" w:themeColor="text1"/>
        </w:rPr>
        <w:lastRenderedPageBreak/>
        <w:t>表25-</w:t>
      </w:r>
      <w:r w:rsidRPr="00E224E9">
        <w:rPr>
          <w:rFonts w:hint="eastAsia"/>
          <w:color w:val="000000" w:themeColor="text1"/>
        </w:rPr>
        <w:t>7-2</w:t>
      </w:r>
      <w:r w:rsidRPr="00E224E9">
        <w:rPr>
          <w:color w:val="000000" w:themeColor="text1"/>
        </w:rPr>
        <w:t>：</w:t>
      </w:r>
      <w:r w:rsidRPr="00E224E9">
        <w:rPr>
          <w:rFonts w:hint="eastAsia"/>
          <w:color w:val="000000" w:themeColor="text1"/>
        </w:rPr>
        <w:t>有效契約負債公平價值準備明細表</w:t>
      </w:r>
      <w:bookmarkEnd w:id="107"/>
      <w:bookmarkEnd w:id="108"/>
    </w:p>
    <w:p w14:paraId="40E1558A" w14:textId="77777777" w:rsidR="009170B5" w:rsidRPr="00E224E9" w:rsidRDefault="009170B5" w:rsidP="009170B5">
      <w:pPr>
        <w:spacing w:beforeLines="100" w:before="240" w:line="440" w:lineRule="exact"/>
        <w:ind w:firstLineChars="200" w:firstLine="480"/>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本報表目的在於表達</w:t>
      </w:r>
      <w:r w:rsidRPr="00E224E9">
        <w:rPr>
          <w:rFonts w:ascii="Book Antiqua" w:eastAsia="華康仿宋體W6" w:hAnsi="Book Antiqua" w:hint="eastAsia"/>
          <w:color w:val="000000" w:themeColor="text1"/>
          <w:sz w:val="24"/>
        </w:rPr>
        <w:t>保險合約負債公平價值準備之各項明細</w:t>
      </w:r>
      <w:r w:rsidRPr="00E224E9">
        <w:rPr>
          <w:rFonts w:ascii="Book Antiqua" w:eastAsia="華康仿宋體W6" w:hAnsi="Book Antiqua"/>
          <w:color w:val="000000" w:themeColor="text1"/>
          <w:sz w:val="24"/>
        </w:rPr>
        <w:t>。本說明</w:t>
      </w:r>
      <w:r w:rsidRPr="00E224E9">
        <w:rPr>
          <w:rFonts w:ascii="Book Antiqua" w:eastAsia="華康仿宋體W6" w:hAnsi="Book Antiqua" w:hint="eastAsia"/>
          <w:color w:val="000000" w:themeColor="text1"/>
          <w:sz w:val="24"/>
        </w:rPr>
        <w:t>之</w:t>
      </w:r>
      <w:r w:rsidRPr="00E224E9">
        <w:rPr>
          <w:rFonts w:ascii="Book Antiqua" w:eastAsia="華康仿宋體W6" w:hAnsi="Book Antiqua"/>
          <w:color w:val="000000" w:themeColor="text1"/>
          <w:sz w:val="24"/>
        </w:rPr>
        <w:t>目的</w:t>
      </w:r>
      <w:r w:rsidRPr="00E224E9">
        <w:rPr>
          <w:rFonts w:ascii="Book Antiqua" w:eastAsia="華康仿宋體W6" w:hAnsi="Book Antiqua" w:hint="eastAsia"/>
          <w:color w:val="000000" w:themeColor="text1"/>
          <w:sz w:val="24"/>
        </w:rPr>
        <w:t>係</w:t>
      </w:r>
      <w:r w:rsidRPr="00E224E9">
        <w:rPr>
          <w:rFonts w:ascii="Book Antiqua" w:eastAsia="華康仿宋體W6" w:hAnsi="Book Antiqua"/>
          <w:color w:val="000000" w:themeColor="text1"/>
          <w:sz w:val="24"/>
        </w:rPr>
        <w:t>為配合相關法令之規定，簡介該表之填列規則，以利保險業者之填報。</w:t>
      </w:r>
    </w:p>
    <w:p w14:paraId="1F9B5D96" w14:textId="4FB946AF" w:rsidR="009170B5" w:rsidRPr="00E224E9" w:rsidRDefault="009170B5" w:rsidP="009170B5">
      <w:pPr>
        <w:spacing w:line="440" w:lineRule="exact"/>
        <w:jc w:val="both"/>
        <w:rPr>
          <w:rFonts w:ascii="Book Antiqua" w:eastAsia="華康仿宋體W6" w:hAnsi="Book Antiqua"/>
          <w:color w:val="000000" w:themeColor="text1"/>
          <w:sz w:val="24"/>
        </w:rPr>
      </w:pPr>
    </w:p>
    <w:p w14:paraId="5E5DE72A" w14:textId="3D28A55C" w:rsidR="009233BB" w:rsidRPr="00E224E9" w:rsidRDefault="009233BB" w:rsidP="009170B5">
      <w:pPr>
        <w:spacing w:line="44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112</w:t>
      </w:r>
      <w:r w:rsidRPr="00E224E9">
        <w:rPr>
          <w:rFonts w:ascii="Book Antiqua" w:eastAsia="華康仿宋體W6" w:hAnsi="Book Antiqua" w:hint="eastAsia"/>
          <w:color w:val="000000" w:themeColor="text1"/>
          <w:sz w:val="24"/>
        </w:rPr>
        <w:t>年度起</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含</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，該表之評價日改為</w:t>
      </w:r>
      <w:r w:rsidRPr="00E224E9">
        <w:rPr>
          <w:rFonts w:ascii="Book Antiqua" w:eastAsia="華康仿宋體W6" w:hAnsi="Book Antiqua" w:hint="eastAsia"/>
          <w:color w:val="000000" w:themeColor="text1"/>
          <w:sz w:val="24"/>
        </w:rPr>
        <w:t>12</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31</w:t>
      </w:r>
      <w:r w:rsidRPr="00E224E9">
        <w:rPr>
          <w:rFonts w:ascii="Book Antiqua" w:eastAsia="華康仿宋體W6" w:hAnsi="Book Antiqua" w:hint="eastAsia"/>
          <w:color w:val="000000" w:themeColor="text1"/>
          <w:sz w:val="24"/>
        </w:rPr>
        <w:t>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配合「壽險業</w:t>
      </w:r>
      <w:r w:rsidR="00C96511" w:rsidRPr="00E224E9">
        <w:rPr>
          <w:rFonts w:ascii="Book Antiqua" w:eastAsia="華康仿宋體W6" w:hAnsi="Book Antiqua" w:hint="eastAsia"/>
          <w:color w:val="000000" w:themeColor="text1"/>
          <w:sz w:val="24"/>
        </w:rPr>
        <w:t>有效契約負債公允價值評估</w:t>
      </w:r>
      <w:r w:rsidRPr="00E224E9">
        <w:rPr>
          <w:rFonts w:ascii="Book Antiqua" w:eastAsia="華康仿宋體W6" w:hAnsi="Book Antiqua" w:hint="eastAsia"/>
          <w:color w:val="000000" w:themeColor="text1"/>
          <w:sz w:val="24"/>
        </w:rPr>
        <w:t>」</w:t>
      </w:r>
      <w:r w:rsidR="00AC18F3" w:rsidRPr="00E224E9">
        <w:rPr>
          <w:rFonts w:ascii="Book Antiqua" w:eastAsia="華康仿宋體W6" w:hAnsi="Book Antiqua" w:hint="eastAsia"/>
          <w:color w:val="000000" w:themeColor="text1"/>
          <w:sz w:val="24"/>
        </w:rPr>
        <w:t>試算</w:t>
      </w:r>
      <w:r w:rsidRPr="00E224E9">
        <w:rPr>
          <w:rFonts w:ascii="Book Antiqua" w:eastAsia="華康仿宋體W6" w:hAnsi="Book Antiqua" w:hint="eastAsia"/>
          <w:color w:val="000000" w:themeColor="text1"/>
          <w:sz w:val="24"/>
        </w:rPr>
        <w:t>)</w:t>
      </w:r>
    </w:p>
    <w:p w14:paraId="2661FDCA"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1</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有效契約負債公平價值</w:t>
      </w:r>
    </w:p>
    <w:p w14:paraId="1851EE00" w14:textId="77777777" w:rsidR="009170B5" w:rsidRPr="00E224E9" w:rsidRDefault="009170B5" w:rsidP="009170B5">
      <w:pPr>
        <w:spacing w:line="440" w:lineRule="exact"/>
        <w:ind w:leftChars="276" w:left="718"/>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日之有效契約負債公平價值</w:t>
      </w:r>
      <w:r w:rsidRPr="00E224E9">
        <w:rPr>
          <w:rFonts w:ascii="Book Antiqua" w:eastAsia="華康仿宋體W6" w:hAnsi="Book Antiqua"/>
          <w:color w:val="000000" w:themeColor="text1"/>
          <w:sz w:val="24"/>
        </w:rPr>
        <w:t>。</w:t>
      </w:r>
    </w:p>
    <w:p w14:paraId="1A2431A5"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2</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帳載準備金餘額</w:t>
      </w:r>
    </w:p>
    <w:p w14:paraId="799150E4" w14:textId="77777777" w:rsidR="009170B5" w:rsidRPr="00E224E9" w:rsidRDefault="009170B5" w:rsidP="009170B5">
      <w:pPr>
        <w:spacing w:line="440" w:lineRule="exact"/>
        <w:ind w:leftChars="276" w:left="718"/>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日之帳載準備金餘額</w:t>
      </w:r>
      <w:r w:rsidRPr="00E224E9">
        <w:rPr>
          <w:rFonts w:ascii="Book Antiqua" w:eastAsia="華康仿宋體W6" w:hAnsi="Book Antiqua"/>
          <w:color w:val="000000" w:themeColor="text1"/>
          <w:sz w:val="24"/>
        </w:rPr>
        <w:t>。</w:t>
      </w:r>
    </w:p>
    <w:p w14:paraId="56D945BE"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3</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準備金不足數</w:t>
      </w:r>
      <w:r w:rsidRPr="00E224E9">
        <w:rPr>
          <w:rFonts w:ascii="Book Antiqua" w:eastAsia="華康仿宋體W6" w:hAnsi="Book Antiqua"/>
          <w:color w:val="000000" w:themeColor="text1"/>
          <w:sz w:val="24"/>
        </w:rPr>
        <w:t>(3)=(1)-(2)</w:t>
      </w:r>
    </w:p>
    <w:p w14:paraId="6855813B"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有效契約負債公平價值與帳載準備金餘額</w:t>
      </w:r>
      <w:r w:rsidRPr="00E224E9">
        <w:rPr>
          <w:rFonts w:ascii="Book Antiqua" w:eastAsia="華康仿宋體W6" w:hAnsi="Book Antiqua"/>
          <w:color w:val="000000" w:themeColor="text1"/>
          <w:sz w:val="24"/>
        </w:rPr>
        <w:t>之差額</w:t>
      </w:r>
      <w:r w:rsidRPr="00E224E9">
        <w:rPr>
          <w:rFonts w:ascii="Book Antiqua" w:eastAsia="華康仿宋體W6" w:hAnsi="Book Antiqua" w:hint="eastAsia"/>
          <w:color w:val="000000" w:themeColor="text1"/>
          <w:sz w:val="24"/>
        </w:rPr>
        <w:t>。</w:t>
      </w:r>
    </w:p>
    <w:p w14:paraId="334BB443"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4</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不動產增值利益特別準備轉列保險合約負債公平價值準備期末餘額</w:t>
      </w:r>
    </w:p>
    <w:p w14:paraId="7A4F4388"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截至</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日止，投資性不動產以公允價值開帳之增值依編製準則第</w:t>
      </w:r>
      <w:r w:rsidRPr="00E224E9">
        <w:rPr>
          <w:rFonts w:ascii="Book Antiqua" w:eastAsia="華康仿宋體W6" w:hAnsi="Book Antiqua" w:hint="eastAsia"/>
          <w:color w:val="000000" w:themeColor="text1"/>
          <w:sz w:val="24"/>
        </w:rPr>
        <w:t>32</w:t>
      </w:r>
      <w:r w:rsidRPr="00E224E9">
        <w:rPr>
          <w:rFonts w:ascii="Book Antiqua" w:eastAsia="華康仿宋體W6" w:hAnsi="Book Antiqua" w:hint="eastAsia"/>
          <w:color w:val="000000" w:themeColor="text1"/>
          <w:sz w:val="24"/>
        </w:rPr>
        <w:t>條第</w:t>
      </w:r>
      <w:r w:rsidRPr="00E224E9">
        <w:rPr>
          <w:rFonts w:ascii="Book Antiqua" w:eastAsia="華康仿宋體W6" w:hAnsi="Book Antiqua" w:hint="eastAsia"/>
          <w:color w:val="000000" w:themeColor="text1"/>
          <w:sz w:val="24"/>
        </w:rPr>
        <w:t>4</w:t>
      </w:r>
      <w:r w:rsidRPr="00E224E9">
        <w:rPr>
          <w:rFonts w:ascii="Book Antiqua" w:eastAsia="華康仿宋體W6" w:hAnsi="Book Antiqua" w:hint="eastAsia"/>
          <w:color w:val="000000" w:themeColor="text1"/>
          <w:sz w:val="24"/>
        </w:rPr>
        <w:t>項規定扣除其他項目不利影響數後提列之特別準備，其轉列至保險合約負債公平價值準備之餘額。</w:t>
      </w:r>
    </w:p>
    <w:p w14:paraId="4DDEA667"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5</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不動產增值利益特別準備轉列保險合約負債公平價值準備期初餘額</w:t>
      </w:r>
    </w:p>
    <w:p w14:paraId="71A289C4"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100</w:t>
      </w:r>
      <w:r w:rsidRPr="00E224E9">
        <w:rPr>
          <w:rFonts w:ascii="Book Antiqua" w:eastAsia="華康仿宋體W6" w:hAnsi="Book Antiqua" w:hint="eastAsia"/>
          <w:color w:val="000000" w:themeColor="text1"/>
          <w:sz w:val="24"/>
        </w:rPr>
        <w:t>年</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投資性不動產以公允價值開帳之增值依編製準則第</w:t>
      </w:r>
      <w:r w:rsidRPr="00E224E9">
        <w:rPr>
          <w:rFonts w:ascii="Book Antiqua" w:eastAsia="華康仿宋體W6" w:hAnsi="Book Antiqua" w:hint="eastAsia"/>
          <w:color w:val="000000" w:themeColor="text1"/>
          <w:sz w:val="24"/>
        </w:rPr>
        <w:t>32</w:t>
      </w:r>
      <w:r w:rsidRPr="00E224E9">
        <w:rPr>
          <w:rFonts w:ascii="Book Antiqua" w:eastAsia="華康仿宋體W6" w:hAnsi="Book Antiqua" w:hint="eastAsia"/>
          <w:color w:val="000000" w:themeColor="text1"/>
          <w:sz w:val="24"/>
        </w:rPr>
        <w:t>條第</w:t>
      </w:r>
      <w:r w:rsidRPr="00E224E9">
        <w:rPr>
          <w:rFonts w:ascii="Book Antiqua" w:eastAsia="華康仿宋體W6" w:hAnsi="Book Antiqua" w:hint="eastAsia"/>
          <w:color w:val="000000" w:themeColor="text1"/>
          <w:sz w:val="24"/>
        </w:rPr>
        <w:t>4</w:t>
      </w:r>
      <w:r w:rsidRPr="00E224E9">
        <w:rPr>
          <w:rFonts w:ascii="Book Antiqua" w:eastAsia="華康仿宋體W6" w:hAnsi="Book Antiqua" w:hint="eastAsia"/>
          <w:color w:val="000000" w:themeColor="text1"/>
          <w:sz w:val="24"/>
        </w:rPr>
        <w:t>項規定扣除其他項目不利影響數後提列之特別準備，其轉列至保險合約負債公平價值準備之餘額。</w:t>
      </w:r>
    </w:p>
    <w:p w14:paraId="038C27EE"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6</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不動產增值利益特別準備轉列保險合約負債公平價值準備</w:t>
      </w:r>
      <w:r w:rsidRPr="00E224E9">
        <w:rPr>
          <w:rFonts w:ascii="Book Antiqua" w:eastAsia="華康仿宋體W6" w:hAnsi="Book Antiqua"/>
          <w:color w:val="000000" w:themeColor="text1"/>
          <w:sz w:val="24"/>
        </w:rPr>
        <w:t>增減數</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6</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4</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5</w:t>
      </w:r>
      <w:r w:rsidRPr="00E224E9">
        <w:rPr>
          <w:rFonts w:ascii="Book Antiqua" w:eastAsia="華康仿宋體W6" w:hAnsi="Book Antiqua"/>
          <w:color w:val="000000" w:themeColor="text1"/>
          <w:sz w:val="24"/>
        </w:rPr>
        <w:t>)</w:t>
      </w:r>
    </w:p>
    <w:p w14:paraId="32E49587"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101</w:t>
      </w:r>
      <w:r w:rsidRPr="00E224E9">
        <w:rPr>
          <w:rFonts w:ascii="Book Antiqua" w:eastAsia="華康仿宋體W6" w:hAnsi="Book Antiqua" w:hint="eastAsia"/>
          <w:color w:val="000000" w:themeColor="text1"/>
          <w:sz w:val="24"/>
        </w:rPr>
        <w:t>年</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日與</w:t>
      </w:r>
      <w:r w:rsidRPr="00E224E9">
        <w:rPr>
          <w:rFonts w:ascii="Book Antiqua" w:eastAsia="華康仿宋體W6" w:hAnsi="Book Antiqua" w:hint="eastAsia"/>
          <w:color w:val="000000" w:themeColor="text1"/>
          <w:sz w:val="24"/>
        </w:rPr>
        <w:t>100</w:t>
      </w:r>
      <w:r w:rsidRPr="00E224E9">
        <w:rPr>
          <w:rFonts w:ascii="Book Antiqua" w:eastAsia="華康仿宋體W6" w:hAnsi="Book Antiqua" w:hint="eastAsia"/>
          <w:color w:val="000000" w:themeColor="text1"/>
          <w:sz w:val="24"/>
        </w:rPr>
        <w:t>年</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日不動產增值利益特別準備轉列保險合約負債公平價值準備</w:t>
      </w:r>
      <w:r w:rsidRPr="00E224E9">
        <w:rPr>
          <w:rFonts w:ascii="Book Antiqua" w:eastAsia="華康仿宋體W6" w:hAnsi="Book Antiqua"/>
          <w:color w:val="000000" w:themeColor="text1"/>
          <w:sz w:val="24"/>
        </w:rPr>
        <w:t>累計餘額之差額</w:t>
      </w:r>
      <w:r w:rsidRPr="00E224E9">
        <w:rPr>
          <w:rFonts w:ascii="Book Antiqua" w:eastAsia="華康仿宋體W6" w:hAnsi="Book Antiqua" w:hint="eastAsia"/>
          <w:color w:val="000000" w:themeColor="text1"/>
          <w:sz w:val="24"/>
        </w:rPr>
        <w:t>。</w:t>
      </w:r>
    </w:p>
    <w:p w14:paraId="06491B23"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7</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自願增提保險合約負債公平價值準備期末餘額</w:t>
      </w:r>
    </w:p>
    <w:p w14:paraId="3DA2BEF1"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截至</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日止，自願增提保險合約負債公平價值準備之餘額。</w:t>
      </w:r>
    </w:p>
    <w:p w14:paraId="27840A5B"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8</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自願增提保險合約負債公平價值準備期初餘額</w:t>
      </w:r>
    </w:p>
    <w:p w14:paraId="0F8E00A1"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100</w:t>
      </w:r>
      <w:r w:rsidRPr="00E224E9">
        <w:rPr>
          <w:rFonts w:ascii="Book Antiqua" w:eastAsia="華康仿宋體W6" w:hAnsi="Book Antiqua" w:hint="eastAsia"/>
          <w:color w:val="000000" w:themeColor="text1"/>
          <w:sz w:val="24"/>
        </w:rPr>
        <w:t>年</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自願增提保險合約負債公平價值準備之餘額。</w:t>
      </w:r>
    </w:p>
    <w:p w14:paraId="55BAE379"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9</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自願增提保險合約負債公平價值準備</w:t>
      </w:r>
      <w:r w:rsidRPr="00E224E9">
        <w:rPr>
          <w:rFonts w:ascii="Book Antiqua" w:eastAsia="華康仿宋體W6" w:hAnsi="Book Antiqua"/>
          <w:color w:val="000000" w:themeColor="text1"/>
          <w:sz w:val="24"/>
        </w:rPr>
        <w:t>增減數</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9</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7</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8</w:t>
      </w:r>
      <w:r w:rsidRPr="00E224E9">
        <w:rPr>
          <w:rFonts w:ascii="Book Antiqua" w:eastAsia="華康仿宋體W6" w:hAnsi="Book Antiqua"/>
          <w:color w:val="000000" w:themeColor="text1"/>
          <w:sz w:val="24"/>
        </w:rPr>
        <w:t>)</w:t>
      </w:r>
    </w:p>
    <w:p w14:paraId="7DB581A1"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101</w:t>
      </w:r>
      <w:r w:rsidRPr="00E224E9">
        <w:rPr>
          <w:rFonts w:ascii="Book Antiqua" w:eastAsia="華康仿宋體W6" w:hAnsi="Book Antiqua" w:hint="eastAsia"/>
          <w:color w:val="000000" w:themeColor="text1"/>
          <w:sz w:val="24"/>
        </w:rPr>
        <w:t>年</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日與</w:t>
      </w:r>
      <w:r w:rsidRPr="00E224E9">
        <w:rPr>
          <w:rFonts w:ascii="Book Antiqua" w:eastAsia="華康仿宋體W6" w:hAnsi="Book Antiqua" w:hint="eastAsia"/>
          <w:color w:val="000000" w:themeColor="text1"/>
          <w:sz w:val="24"/>
        </w:rPr>
        <w:t>100</w:t>
      </w:r>
      <w:r w:rsidRPr="00E224E9">
        <w:rPr>
          <w:rFonts w:ascii="Book Antiqua" w:eastAsia="華康仿宋體W6" w:hAnsi="Book Antiqua" w:hint="eastAsia"/>
          <w:color w:val="000000" w:themeColor="text1"/>
          <w:sz w:val="24"/>
        </w:rPr>
        <w:t>年</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日自願增提保險合約負債公平價值準備</w:t>
      </w:r>
      <w:r w:rsidRPr="00E224E9">
        <w:rPr>
          <w:rFonts w:ascii="Book Antiqua" w:eastAsia="華康仿宋體W6" w:hAnsi="Book Antiqua"/>
          <w:color w:val="000000" w:themeColor="text1"/>
          <w:sz w:val="24"/>
        </w:rPr>
        <w:t>累計餘額之差額</w:t>
      </w:r>
      <w:r w:rsidRPr="00E224E9">
        <w:rPr>
          <w:rFonts w:ascii="Book Antiqua" w:eastAsia="華康仿宋體W6" w:hAnsi="Book Antiqua" w:hint="eastAsia"/>
          <w:color w:val="000000" w:themeColor="text1"/>
          <w:sz w:val="24"/>
        </w:rPr>
        <w:t>。</w:t>
      </w:r>
    </w:p>
    <w:p w14:paraId="373AF42D"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10</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合計期末餘額</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10</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4</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7</w:t>
      </w:r>
      <w:r w:rsidRPr="00E224E9">
        <w:rPr>
          <w:rFonts w:ascii="Book Antiqua" w:eastAsia="華康仿宋體W6" w:hAnsi="Book Antiqua"/>
          <w:color w:val="000000" w:themeColor="text1"/>
          <w:sz w:val="24"/>
        </w:rPr>
        <w:t>)</w:t>
      </w:r>
    </w:p>
    <w:p w14:paraId="6BB63165"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lastRenderedPageBreak/>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不動產增值利益特別準備轉列保險合約負債公平價值準備期末餘額加上自願增提保險合約負債公平價值準備期末餘額。</w:t>
      </w:r>
    </w:p>
    <w:p w14:paraId="4791E1BB"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11</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合計期初餘額</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11</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5</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8</w:t>
      </w:r>
      <w:r w:rsidRPr="00E224E9">
        <w:rPr>
          <w:rFonts w:ascii="Book Antiqua" w:eastAsia="華康仿宋體W6" w:hAnsi="Book Antiqua"/>
          <w:color w:val="000000" w:themeColor="text1"/>
          <w:sz w:val="24"/>
        </w:rPr>
        <w:t>)</w:t>
      </w:r>
    </w:p>
    <w:p w14:paraId="428DAE75"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不動產增值利益特別準備轉列保險合約負債公平價值準備期初餘額加上自願增提保險合約負債公平價值準備期初餘額。</w:t>
      </w:r>
    </w:p>
    <w:p w14:paraId="506A8B14"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12</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合計</w:t>
      </w:r>
      <w:r w:rsidRPr="00E224E9">
        <w:rPr>
          <w:rFonts w:ascii="Book Antiqua" w:eastAsia="華康仿宋體W6" w:hAnsi="Book Antiqua"/>
          <w:color w:val="000000" w:themeColor="text1"/>
          <w:sz w:val="24"/>
        </w:rPr>
        <w:t>增減數</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12</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6</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9</w:t>
      </w:r>
      <w:r w:rsidRPr="00E224E9">
        <w:rPr>
          <w:rFonts w:ascii="Book Antiqua" w:eastAsia="華康仿宋體W6" w:hAnsi="Book Antiqua"/>
          <w:color w:val="000000" w:themeColor="text1"/>
          <w:sz w:val="24"/>
        </w:rPr>
        <w:t>)</w:t>
      </w:r>
    </w:p>
    <w:p w14:paraId="22667089"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不動產增值利益特別準備轉列保險合約負債公平價值準備</w:t>
      </w:r>
      <w:r w:rsidRPr="00E224E9">
        <w:rPr>
          <w:rFonts w:ascii="Book Antiqua" w:eastAsia="華康仿宋體W6" w:hAnsi="Book Antiqua"/>
          <w:color w:val="000000" w:themeColor="text1"/>
          <w:sz w:val="24"/>
        </w:rPr>
        <w:t>增減數</w:t>
      </w:r>
      <w:r w:rsidRPr="00E224E9">
        <w:rPr>
          <w:rFonts w:ascii="Book Antiqua" w:eastAsia="華康仿宋體W6" w:hAnsi="Book Antiqua" w:hint="eastAsia"/>
          <w:color w:val="000000" w:themeColor="text1"/>
          <w:sz w:val="24"/>
        </w:rPr>
        <w:t>加上自願增提保險合約負債公平價值準備</w:t>
      </w:r>
      <w:r w:rsidRPr="00E224E9">
        <w:rPr>
          <w:rFonts w:ascii="Book Antiqua" w:eastAsia="華康仿宋體W6" w:hAnsi="Book Antiqua"/>
          <w:color w:val="000000" w:themeColor="text1"/>
          <w:sz w:val="24"/>
        </w:rPr>
        <w:t>增減數</w:t>
      </w:r>
      <w:r w:rsidRPr="00E224E9">
        <w:rPr>
          <w:rFonts w:ascii="Book Antiqua" w:eastAsia="華康仿宋體W6" w:hAnsi="Book Antiqua" w:hint="eastAsia"/>
          <w:color w:val="000000" w:themeColor="text1"/>
          <w:sz w:val="24"/>
        </w:rPr>
        <w:t>。</w:t>
      </w:r>
    </w:p>
    <w:p w14:paraId="4EF7EB52" w14:textId="77777777" w:rsidR="00AC1C13" w:rsidRPr="00E224E9" w:rsidRDefault="00AC1C13" w:rsidP="00AC1C13">
      <w:pPr>
        <w:spacing w:line="440" w:lineRule="exact"/>
        <w:ind w:leftChars="276" w:left="718"/>
        <w:jc w:val="both"/>
        <w:rPr>
          <w:rFonts w:ascii="Book Antiqua" w:eastAsia="華康仿宋體W6" w:hAnsi="Book Antiqua"/>
          <w:color w:val="000000" w:themeColor="text1"/>
          <w:sz w:val="24"/>
        </w:rPr>
      </w:pPr>
    </w:p>
    <w:p w14:paraId="180B816F" w14:textId="77777777" w:rsidR="00065C53" w:rsidRPr="00E224E9" w:rsidRDefault="00065C53" w:rsidP="00F3152E">
      <w:pPr>
        <w:pStyle w:val="1"/>
        <w:spacing w:after="120" w:line="440" w:lineRule="exact"/>
        <w:jc w:val="both"/>
        <w:rPr>
          <w:color w:val="000000" w:themeColor="text1"/>
        </w:rPr>
      </w:pPr>
      <w:r w:rsidRPr="00E224E9">
        <w:rPr>
          <w:color w:val="000000" w:themeColor="text1"/>
        </w:rPr>
        <w:br w:type="page"/>
      </w:r>
      <w:bookmarkStart w:id="109" w:name="_Toc219262250"/>
      <w:bookmarkStart w:id="110" w:name="_Toc200468547"/>
      <w:bookmarkStart w:id="111" w:name="_Toc7492322"/>
      <w:bookmarkStart w:id="112" w:name="_Toc97104969"/>
      <w:r w:rsidRPr="00E224E9">
        <w:rPr>
          <w:color w:val="000000" w:themeColor="text1"/>
        </w:rPr>
        <w:lastRenderedPageBreak/>
        <w:t>表30-1</w:t>
      </w:r>
      <w:r w:rsidR="006561A0" w:rsidRPr="00E224E9">
        <w:rPr>
          <w:color w:val="000000" w:themeColor="text1"/>
        </w:rPr>
        <w:t>：資本適足</w:t>
      </w:r>
      <w:r w:rsidR="006561A0" w:rsidRPr="00E224E9">
        <w:rPr>
          <w:rFonts w:hint="eastAsia"/>
          <w:color w:val="000000" w:themeColor="text1"/>
        </w:rPr>
        <w:t>性</w:t>
      </w:r>
      <w:r w:rsidRPr="00E224E9">
        <w:rPr>
          <w:color w:val="000000" w:themeColor="text1"/>
        </w:rPr>
        <w:t>分析表</w:t>
      </w:r>
      <w:bookmarkEnd w:id="109"/>
      <w:bookmarkEnd w:id="110"/>
    </w:p>
    <w:p w14:paraId="0C712E3C" w14:textId="77777777" w:rsidR="009538CC" w:rsidRPr="00E224E9" w:rsidRDefault="00065C53" w:rsidP="009538CC">
      <w:pPr>
        <w:spacing w:line="440" w:lineRule="exact"/>
        <w:ind w:firstLineChars="200" w:firstLine="480"/>
        <w:jc w:val="both"/>
        <w:rPr>
          <w:rFonts w:ascii="Book Antiqua" w:hAnsi="Book Antiqua"/>
          <w:color w:val="000000" w:themeColor="text1"/>
          <w:sz w:val="24"/>
        </w:rPr>
      </w:pPr>
      <w:r w:rsidRPr="00E224E9">
        <w:rPr>
          <w:rFonts w:ascii="Book Antiqua" w:hAnsi="Book Antiqua"/>
          <w:color w:val="000000" w:themeColor="text1"/>
          <w:sz w:val="24"/>
        </w:rPr>
        <w:t>本分析報表的目的在於表達人身保險業資本適足</w:t>
      </w:r>
      <w:r w:rsidR="006561A0" w:rsidRPr="00E224E9">
        <w:rPr>
          <w:rFonts w:ascii="Book Antiqua" w:hAnsi="Book Antiqua" w:hint="eastAsia"/>
          <w:color w:val="000000" w:themeColor="text1"/>
          <w:sz w:val="24"/>
        </w:rPr>
        <w:t>性</w:t>
      </w:r>
      <w:r w:rsidRPr="00E224E9">
        <w:rPr>
          <w:rFonts w:ascii="Book Antiqua" w:hAnsi="Book Antiqua"/>
          <w:color w:val="000000" w:themeColor="text1"/>
          <w:sz w:val="24"/>
        </w:rPr>
        <w:t>概況，</w:t>
      </w:r>
      <w:r w:rsidR="006A1745" w:rsidRPr="00E224E9">
        <w:rPr>
          <w:rFonts w:ascii="Book Antiqua" w:hAnsi="Book Antiqua" w:hint="eastAsia"/>
          <w:color w:val="000000" w:themeColor="text1"/>
          <w:sz w:val="24"/>
        </w:rPr>
        <w:t>依</w:t>
      </w:r>
      <w:r w:rsidR="009538CC" w:rsidRPr="00E224E9">
        <w:rPr>
          <w:rFonts w:ascii="Book Antiqua" w:hAnsi="Book Antiqua" w:hint="eastAsia"/>
          <w:color w:val="000000" w:themeColor="text1"/>
          <w:sz w:val="24"/>
        </w:rPr>
        <w:t>照</w:t>
      </w:r>
      <w:r w:rsidR="008D4920" w:rsidRPr="00E224E9">
        <w:rPr>
          <w:rFonts w:ascii="Book Antiqua" w:hAnsi="Book Antiqua" w:hint="eastAsia"/>
          <w:color w:val="000000" w:themeColor="text1"/>
          <w:sz w:val="24"/>
        </w:rPr>
        <w:t>保險業資本適足性管理辦法</w:t>
      </w:r>
      <w:r w:rsidR="009538CC" w:rsidRPr="00E224E9">
        <w:rPr>
          <w:rFonts w:ascii="Book Antiqua" w:hAnsi="Book Antiqua" w:hint="eastAsia"/>
          <w:color w:val="000000" w:themeColor="text1"/>
          <w:sz w:val="24"/>
        </w:rPr>
        <w:t>辦理</w:t>
      </w:r>
      <w:r w:rsidR="006A1745" w:rsidRPr="00E224E9">
        <w:rPr>
          <w:rFonts w:ascii="Book Antiqua" w:hAnsi="Book Antiqua" w:hint="eastAsia"/>
          <w:color w:val="000000" w:themeColor="text1"/>
          <w:sz w:val="24"/>
        </w:rPr>
        <w:t>，</w:t>
      </w:r>
      <w:r w:rsidR="000841AC" w:rsidRPr="00E224E9">
        <w:rPr>
          <w:rFonts w:ascii="Book Antiqua" w:hAnsi="Book Antiqua" w:hint="eastAsia"/>
          <w:color w:val="000000" w:themeColor="text1"/>
          <w:sz w:val="24"/>
        </w:rPr>
        <w:t>揭露資本適足率及</w:t>
      </w:r>
      <w:r w:rsidR="006A1745" w:rsidRPr="00E224E9">
        <w:rPr>
          <w:rFonts w:ascii="Book Antiqua" w:hAnsi="Book Antiqua" w:hint="eastAsia"/>
          <w:color w:val="000000" w:themeColor="text1"/>
          <w:sz w:val="24"/>
        </w:rPr>
        <w:t>淨值比率</w:t>
      </w:r>
      <w:r w:rsidR="000841AC" w:rsidRPr="00E224E9">
        <w:rPr>
          <w:rFonts w:ascii="Book Antiqua" w:hAnsi="Book Antiqua" w:hint="eastAsia"/>
          <w:color w:val="000000" w:themeColor="text1"/>
          <w:sz w:val="24"/>
        </w:rPr>
        <w:t>以作為資本適足等級劃分基礎。</w:t>
      </w:r>
      <w:r w:rsidR="009538CC" w:rsidRPr="00E224E9">
        <w:rPr>
          <w:rFonts w:ascii="Book Antiqua" w:hAnsi="Book Antiqua"/>
          <w:color w:val="000000" w:themeColor="text1"/>
          <w:sz w:val="24"/>
        </w:rPr>
        <w:t xml:space="preserve"> </w:t>
      </w:r>
    </w:p>
    <w:p w14:paraId="6D075C08" w14:textId="77777777" w:rsidR="006A1745" w:rsidRPr="00E224E9" w:rsidRDefault="006A1745">
      <w:pPr>
        <w:spacing w:line="440" w:lineRule="exact"/>
        <w:jc w:val="both"/>
        <w:rPr>
          <w:rFonts w:ascii="Book Antiqua" w:hAnsi="Book Antiqua"/>
          <w:color w:val="000000" w:themeColor="text1"/>
          <w:sz w:val="24"/>
          <w:u w:val="single"/>
        </w:rPr>
      </w:pPr>
    </w:p>
    <w:p w14:paraId="4E628D80" w14:textId="77777777" w:rsidR="00A33512" w:rsidRPr="00E224E9" w:rsidRDefault="00693CCB" w:rsidP="00693CCB">
      <w:pPr>
        <w:spacing w:line="440" w:lineRule="exact"/>
        <w:ind w:left="422" w:hangingChars="176" w:hanging="422"/>
        <w:jc w:val="both"/>
        <w:rPr>
          <w:rFonts w:ascii="Book Antiqua" w:hAnsi="Book Antiqua"/>
          <w:color w:val="000000" w:themeColor="text1"/>
          <w:sz w:val="24"/>
        </w:rPr>
      </w:pPr>
      <w:r w:rsidRPr="00E224E9">
        <w:rPr>
          <w:rFonts w:ascii="Book Antiqua" w:hAnsi="Book Antiqua" w:hint="eastAsia"/>
          <w:color w:val="000000" w:themeColor="text1"/>
          <w:sz w:val="24"/>
        </w:rPr>
        <w:t>一、</w:t>
      </w:r>
      <w:r w:rsidR="000841AC" w:rsidRPr="00E224E9">
        <w:rPr>
          <w:rFonts w:ascii="Book Antiqua" w:hAnsi="Book Antiqua" w:hint="eastAsia"/>
          <w:color w:val="000000" w:themeColor="text1"/>
          <w:sz w:val="24"/>
        </w:rPr>
        <w:t>資本適足率</w:t>
      </w:r>
      <w:r w:rsidR="00A33512" w:rsidRPr="00E224E9">
        <w:rPr>
          <w:rFonts w:ascii="Book Antiqua" w:hAnsi="Book Antiqua" w:hint="eastAsia"/>
          <w:color w:val="000000" w:themeColor="text1"/>
          <w:sz w:val="24"/>
        </w:rPr>
        <w:t>：</w:t>
      </w:r>
    </w:p>
    <w:p w14:paraId="35DB453C" w14:textId="15DE1DFA" w:rsidR="00B14826" w:rsidRPr="00E224E9" w:rsidRDefault="00B14826" w:rsidP="00AE4E06">
      <w:pPr>
        <w:tabs>
          <w:tab w:val="left" w:pos="284"/>
        </w:tabs>
        <w:spacing w:line="440" w:lineRule="exact"/>
        <w:ind w:left="284" w:firstLineChars="177" w:firstLine="425"/>
        <w:jc w:val="both"/>
        <w:rPr>
          <w:rFonts w:ascii="Book Antiqua" w:hAnsi="Book Antiqua"/>
          <w:color w:val="000000" w:themeColor="text1"/>
          <w:sz w:val="24"/>
        </w:rPr>
      </w:pPr>
      <w:r w:rsidRPr="00E224E9">
        <w:rPr>
          <w:rFonts w:ascii="Book Antiqua" w:hAnsi="Book Antiqua"/>
          <w:color w:val="000000" w:themeColor="text1"/>
          <w:sz w:val="24"/>
        </w:rPr>
        <w:t>數據來源係分別自「表</w:t>
      </w:r>
      <w:r w:rsidRPr="00E224E9">
        <w:rPr>
          <w:rFonts w:ascii="Book Antiqua" w:hAnsi="Book Antiqua"/>
          <w:color w:val="000000" w:themeColor="text1"/>
          <w:sz w:val="24"/>
        </w:rPr>
        <w:t>30-2</w:t>
      </w:r>
      <w:r w:rsidRPr="00E224E9">
        <w:rPr>
          <w:rFonts w:ascii="Book Antiqua" w:hAnsi="Book Antiqua"/>
          <w:color w:val="000000" w:themeColor="text1"/>
          <w:sz w:val="24"/>
        </w:rPr>
        <w:t>：</w:t>
      </w:r>
      <w:r w:rsidRPr="00E224E9">
        <w:rPr>
          <w:rFonts w:ascii="Book Antiqua" w:hAnsi="Book Antiqua"/>
          <w:color w:val="000000" w:themeColor="text1"/>
          <w:sz w:val="24"/>
        </w:rPr>
        <w:t>C0</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關係人風險計算表」、「表</w:t>
      </w:r>
      <w:r w:rsidRPr="00E224E9">
        <w:rPr>
          <w:rFonts w:ascii="Book Antiqua" w:hAnsi="Book Antiqua"/>
          <w:color w:val="000000" w:themeColor="text1"/>
          <w:sz w:val="24"/>
        </w:rPr>
        <w:t>30-3</w:t>
      </w:r>
      <w:r w:rsidRPr="00E224E9">
        <w:rPr>
          <w:rFonts w:ascii="Book Antiqua" w:hAnsi="Book Antiqua"/>
          <w:color w:val="000000" w:themeColor="text1"/>
          <w:sz w:val="24"/>
        </w:rPr>
        <w:t>：</w:t>
      </w:r>
      <w:r w:rsidRPr="00E224E9">
        <w:rPr>
          <w:rFonts w:ascii="Book Antiqua" w:hAnsi="Book Antiqua"/>
          <w:color w:val="000000" w:themeColor="text1"/>
          <w:sz w:val="24"/>
        </w:rPr>
        <w:t>C1</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非關係人風險計算表」、「表</w:t>
      </w:r>
      <w:r w:rsidRPr="00E224E9">
        <w:rPr>
          <w:rFonts w:ascii="Book Antiqua" w:hAnsi="Book Antiqua"/>
          <w:color w:val="000000" w:themeColor="text1"/>
          <w:sz w:val="24"/>
        </w:rPr>
        <w:t>30-4</w:t>
      </w:r>
      <w:r w:rsidRPr="00E224E9">
        <w:rPr>
          <w:rFonts w:ascii="Book Antiqua" w:hAnsi="Book Antiqua"/>
          <w:color w:val="000000" w:themeColor="text1"/>
          <w:sz w:val="24"/>
        </w:rPr>
        <w:t>：</w:t>
      </w:r>
      <w:r w:rsidRPr="00E224E9">
        <w:rPr>
          <w:rFonts w:ascii="Book Antiqua" w:hAnsi="Book Antiqua"/>
          <w:color w:val="000000" w:themeColor="text1"/>
          <w:sz w:val="24"/>
        </w:rPr>
        <w:t>C2</w:t>
      </w:r>
      <w:r w:rsidRPr="00E224E9">
        <w:rPr>
          <w:rFonts w:ascii="Book Antiqua" w:hAnsi="Book Antiqua"/>
          <w:color w:val="000000" w:themeColor="text1"/>
          <w:sz w:val="24"/>
        </w:rPr>
        <w:t>：保險風險計算表」、「表</w:t>
      </w:r>
      <w:r w:rsidRPr="00E224E9">
        <w:rPr>
          <w:rFonts w:ascii="Book Antiqua" w:hAnsi="Book Antiqua"/>
          <w:color w:val="000000" w:themeColor="text1"/>
          <w:sz w:val="24"/>
        </w:rPr>
        <w:t>30-5</w:t>
      </w:r>
      <w:r w:rsidRPr="00E224E9">
        <w:rPr>
          <w:rFonts w:ascii="Book Antiqua" w:hAnsi="Book Antiqua"/>
          <w:color w:val="000000" w:themeColor="text1"/>
          <w:sz w:val="24"/>
        </w:rPr>
        <w:t>：</w:t>
      </w:r>
      <w:r w:rsidRPr="00E224E9">
        <w:rPr>
          <w:rFonts w:ascii="Book Antiqua" w:hAnsi="Book Antiqua"/>
          <w:color w:val="000000" w:themeColor="text1"/>
          <w:sz w:val="24"/>
        </w:rPr>
        <w:t>C3</w:t>
      </w:r>
      <w:r w:rsidRPr="00E224E9">
        <w:rPr>
          <w:rFonts w:ascii="Book Antiqua" w:hAnsi="Book Antiqua"/>
          <w:color w:val="000000" w:themeColor="text1"/>
          <w:sz w:val="24"/>
        </w:rPr>
        <w:t>：利率風險計算表」、「表</w:t>
      </w:r>
      <w:r w:rsidRPr="00E224E9">
        <w:rPr>
          <w:rFonts w:ascii="Book Antiqua" w:hAnsi="Book Antiqua"/>
          <w:color w:val="000000" w:themeColor="text1"/>
          <w:sz w:val="24"/>
        </w:rPr>
        <w:t>30-6</w:t>
      </w:r>
      <w:r w:rsidRPr="00E224E9">
        <w:rPr>
          <w:rFonts w:ascii="Book Antiqua" w:hAnsi="Book Antiqua"/>
          <w:color w:val="000000" w:themeColor="text1"/>
          <w:sz w:val="24"/>
        </w:rPr>
        <w:t>：</w:t>
      </w:r>
      <w:r w:rsidRPr="00E224E9">
        <w:rPr>
          <w:rFonts w:ascii="Book Antiqua" w:hAnsi="Book Antiqua"/>
          <w:color w:val="000000" w:themeColor="text1"/>
          <w:sz w:val="24"/>
        </w:rPr>
        <w:t>C4</w:t>
      </w:r>
      <w:r w:rsidRPr="00E224E9">
        <w:rPr>
          <w:rFonts w:ascii="Book Antiqua" w:hAnsi="Book Antiqua"/>
          <w:color w:val="000000" w:themeColor="text1"/>
          <w:sz w:val="24"/>
        </w:rPr>
        <w:t>：其他風險計算表」、</w:t>
      </w:r>
      <w:r w:rsidR="00E9430B" w:rsidRPr="00E224E9">
        <w:rPr>
          <w:rFonts w:ascii="Book Antiqua" w:hAnsi="Book Antiqua" w:hint="eastAsia"/>
          <w:color w:val="000000" w:themeColor="text1"/>
          <w:sz w:val="24"/>
        </w:rPr>
        <w:t>「表</w:t>
      </w:r>
      <w:r w:rsidR="00E9430B" w:rsidRPr="00E224E9">
        <w:rPr>
          <w:rFonts w:ascii="Book Antiqua" w:hAnsi="Book Antiqua" w:hint="eastAsia"/>
          <w:color w:val="000000" w:themeColor="text1"/>
          <w:sz w:val="24"/>
        </w:rPr>
        <w:t>30-6-2</w:t>
      </w:r>
      <w:r w:rsidR="00E9430B" w:rsidRPr="00E224E9">
        <w:rPr>
          <w:rFonts w:ascii="Book Antiqua" w:hAnsi="Book Antiqua" w:hint="eastAsia"/>
          <w:color w:val="000000" w:themeColor="text1"/>
          <w:sz w:val="24"/>
        </w:rPr>
        <w:t>：</w:t>
      </w:r>
      <w:r w:rsidR="00E9430B" w:rsidRPr="00E224E9">
        <w:rPr>
          <w:rFonts w:ascii="Book Antiqua" w:hAnsi="Book Antiqua" w:hint="eastAsia"/>
          <w:color w:val="000000" w:themeColor="text1"/>
          <w:sz w:val="24"/>
        </w:rPr>
        <w:t>C5</w:t>
      </w:r>
      <w:r w:rsidR="00E9430B" w:rsidRPr="00E224E9">
        <w:rPr>
          <w:rFonts w:ascii="Book Antiqua" w:hAnsi="Book Antiqua" w:hint="eastAsia"/>
          <w:color w:val="000000" w:themeColor="text1"/>
          <w:sz w:val="24"/>
        </w:rPr>
        <w:t>：巨災風險資本計算表」、</w:t>
      </w:r>
      <w:r w:rsidRPr="00E224E9">
        <w:rPr>
          <w:rFonts w:ascii="Book Antiqua" w:hAnsi="Book Antiqua"/>
          <w:color w:val="000000" w:themeColor="text1"/>
          <w:sz w:val="24"/>
        </w:rPr>
        <w:t>「表</w:t>
      </w:r>
      <w:r w:rsidRPr="00E224E9">
        <w:rPr>
          <w:rFonts w:ascii="Book Antiqua" w:hAnsi="Book Antiqua"/>
          <w:color w:val="000000" w:themeColor="text1"/>
          <w:sz w:val="24"/>
        </w:rPr>
        <w:t>30-7</w:t>
      </w:r>
      <w:r w:rsidRPr="00E224E9">
        <w:rPr>
          <w:rFonts w:ascii="Book Antiqua" w:hAnsi="Book Antiqua"/>
          <w:color w:val="000000" w:themeColor="text1"/>
          <w:sz w:val="24"/>
        </w:rPr>
        <w:t>：自有資本總額計算表」。</w:t>
      </w:r>
    </w:p>
    <w:p w14:paraId="37FBF18E" w14:textId="77777777" w:rsidR="00AE4E06" w:rsidRPr="00E224E9" w:rsidRDefault="00AE4E06" w:rsidP="00AE4E06">
      <w:pPr>
        <w:tabs>
          <w:tab w:val="left" w:pos="284"/>
        </w:tabs>
        <w:spacing w:line="440" w:lineRule="exact"/>
        <w:ind w:left="284" w:firstLineChars="177" w:firstLine="425"/>
        <w:jc w:val="both"/>
        <w:rPr>
          <w:rFonts w:ascii="Book Antiqua" w:hAnsi="Book Antiqua"/>
          <w:color w:val="000000" w:themeColor="text1"/>
          <w:sz w:val="24"/>
        </w:rPr>
      </w:pPr>
      <w:r w:rsidRPr="00E224E9">
        <w:rPr>
          <w:rFonts w:ascii="Book Antiqua" w:hAnsi="Book Antiqua"/>
          <w:color w:val="000000" w:themeColor="text1"/>
          <w:sz w:val="24"/>
        </w:rPr>
        <w:t>本表需依據經會計師查核</w:t>
      </w:r>
      <w:r w:rsidRPr="00E224E9">
        <w:rPr>
          <w:rFonts w:ascii="Book Antiqua" w:hAnsi="Book Antiqua" w:hint="eastAsia"/>
          <w:color w:val="000000" w:themeColor="text1"/>
          <w:sz w:val="24"/>
        </w:rPr>
        <w:t>或核閱</w:t>
      </w:r>
      <w:r w:rsidRPr="00E224E9">
        <w:rPr>
          <w:rFonts w:ascii="Book Antiqua" w:hAnsi="Book Antiqua"/>
          <w:color w:val="000000" w:themeColor="text1"/>
          <w:sz w:val="24"/>
        </w:rPr>
        <w:t>之財務報表數據，按各風險項目填入其相對應之風險資本額，另配合相關填報規定於下列簡介該表之填列規則，以利保險公司之填報作業。</w:t>
      </w:r>
    </w:p>
    <w:p w14:paraId="576E977F" w14:textId="77777777" w:rsidR="00065C53" w:rsidRPr="00E224E9" w:rsidRDefault="00065C53" w:rsidP="00AE4E06">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主要欄位說明如下</w:t>
      </w:r>
      <w:r w:rsidR="00D005C7" w:rsidRPr="00E224E9">
        <w:rPr>
          <w:rFonts w:ascii="Book Antiqua" w:hAnsi="Book Antiqua" w:hint="eastAsia"/>
          <w:color w:val="000000" w:themeColor="text1"/>
          <w:sz w:val="24"/>
        </w:rPr>
        <w:t>：</w:t>
      </w:r>
    </w:p>
    <w:p w14:paraId="48B6C4D8" w14:textId="77777777" w:rsidR="00E34AD0" w:rsidRPr="00E224E9" w:rsidRDefault="00E34AD0" w:rsidP="00AE4E06">
      <w:pPr>
        <w:tabs>
          <w:tab w:val="left" w:pos="284"/>
        </w:tabs>
        <w:spacing w:line="440" w:lineRule="exact"/>
        <w:ind w:left="284" w:firstLineChars="177" w:firstLine="425"/>
        <w:jc w:val="both"/>
        <w:rPr>
          <w:rFonts w:ascii="Book Antiqua" w:hAnsi="Book Antiqua"/>
          <w:color w:val="000000" w:themeColor="text1"/>
          <w:sz w:val="24"/>
        </w:rPr>
      </w:pPr>
    </w:p>
    <w:p w14:paraId="26AA66EA" w14:textId="77777777" w:rsidR="008D4920" w:rsidRPr="00E224E9" w:rsidRDefault="008D4920" w:rsidP="00AE4E06">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0</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關係人風險</w:t>
      </w:r>
    </w:p>
    <w:p w14:paraId="723AEDAE" w14:textId="77777777" w:rsidR="008D4920" w:rsidRPr="00E224E9" w:rsidRDefault="008D4920" w:rsidP="00EC034D">
      <w:pPr>
        <w:pStyle w:val="a9"/>
        <w:tabs>
          <w:tab w:val="left" w:pos="567"/>
        </w:tabs>
        <w:spacing w:line="440" w:lineRule="exact"/>
        <w:ind w:left="284" w:firstLineChars="177" w:firstLine="425"/>
        <w:rPr>
          <w:rFonts w:ascii="Book Antiqua" w:hAnsi="Book Antiqua"/>
          <w:color w:val="000000" w:themeColor="text1"/>
          <w:sz w:val="24"/>
        </w:rPr>
      </w:pPr>
      <w:r w:rsidRPr="00E224E9">
        <w:rPr>
          <w:rFonts w:ascii="Book Antiqua" w:hAnsi="Book Antiqua"/>
          <w:color w:val="000000" w:themeColor="text1"/>
          <w:sz w:val="24"/>
        </w:rPr>
        <w:t>係指保險業投資於關係人交易所持有之各項資產，可能因其資產價值變動而影響保險業失卻清償能力之風險。</w:t>
      </w:r>
    </w:p>
    <w:p w14:paraId="59BD21C6" w14:textId="77777777" w:rsidR="008D4920" w:rsidRPr="00E224E9" w:rsidRDefault="008D4920" w:rsidP="00410689">
      <w:pPr>
        <w:tabs>
          <w:tab w:val="left" w:pos="284"/>
        </w:tabs>
        <w:spacing w:line="440" w:lineRule="exact"/>
        <w:ind w:leftChars="100" w:left="260" w:firstLineChars="127" w:firstLine="305"/>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0O</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hint="eastAsia"/>
          <w:color w:val="000000" w:themeColor="text1"/>
          <w:sz w:val="24"/>
        </w:rPr>
        <w:t>關係人除匯率以外</w:t>
      </w:r>
      <w:r w:rsidRPr="00E224E9">
        <w:rPr>
          <w:rFonts w:ascii="Book Antiqua" w:hAnsi="Book Antiqua"/>
          <w:color w:val="000000" w:themeColor="text1"/>
          <w:sz w:val="24"/>
        </w:rPr>
        <w:t>之資產風險</w:t>
      </w:r>
    </w:p>
    <w:p w14:paraId="47C5829E" w14:textId="77777777" w:rsidR="008D4920" w:rsidRPr="00E224E9" w:rsidRDefault="008D4920" w:rsidP="00EC034D">
      <w:pPr>
        <w:tabs>
          <w:tab w:val="left" w:pos="284"/>
        </w:tabs>
        <w:spacing w:line="440" w:lineRule="exact"/>
        <w:ind w:leftChars="218" w:left="567" w:firstLine="426"/>
        <w:jc w:val="both"/>
        <w:rPr>
          <w:rFonts w:ascii="Book Antiqua" w:hAnsi="Book Antiqua"/>
          <w:color w:val="000000" w:themeColor="text1"/>
          <w:sz w:val="24"/>
        </w:rPr>
      </w:pPr>
      <w:r w:rsidRPr="00E224E9">
        <w:rPr>
          <w:rFonts w:ascii="Book Antiqua" w:hAnsi="Book Antiqua"/>
          <w:color w:val="000000" w:themeColor="text1"/>
          <w:sz w:val="24"/>
        </w:rPr>
        <w:t>本列為依據前項「</w:t>
      </w:r>
      <w:r w:rsidRPr="00E224E9">
        <w:rPr>
          <w:rFonts w:ascii="Book Antiqua" w:hAnsi="Book Antiqua"/>
          <w:color w:val="000000" w:themeColor="text1"/>
          <w:sz w:val="24"/>
        </w:rPr>
        <w:t>C</w:t>
      </w:r>
      <w:r w:rsidRPr="00E224E9">
        <w:rPr>
          <w:rFonts w:ascii="Book Antiqua" w:hAnsi="Book Antiqua" w:hint="eastAsia"/>
          <w:color w:val="000000" w:themeColor="text1"/>
          <w:sz w:val="24"/>
          <w:vertAlign w:val="subscript"/>
        </w:rPr>
        <w:t>0</w:t>
      </w:r>
      <w:r w:rsidRPr="00E224E9">
        <w:rPr>
          <w:rFonts w:ascii="Book Antiqua" w:hAnsi="Book Antiqua" w:hint="eastAsia"/>
          <w:color w:val="000000" w:themeColor="text1"/>
          <w:sz w:val="24"/>
        </w:rPr>
        <w:t>：</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關係人風險」再細分為關係人</w:t>
      </w:r>
      <w:r w:rsidRPr="00E224E9">
        <w:rPr>
          <w:rFonts w:ascii="Book Antiqua" w:hAnsi="Book Antiqua" w:hint="eastAsia"/>
          <w:color w:val="000000" w:themeColor="text1"/>
          <w:sz w:val="24"/>
        </w:rPr>
        <w:t>除匯率</w:t>
      </w:r>
      <w:r w:rsidRPr="00E224E9">
        <w:rPr>
          <w:rFonts w:ascii="Book Antiqua" w:hAnsi="Book Antiqua"/>
          <w:color w:val="000000" w:themeColor="text1"/>
          <w:sz w:val="24"/>
        </w:rPr>
        <w:t>之資產風險，以調整各項風險之相關程度。</w:t>
      </w:r>
    </w:p>
    <w:p w14:paraId="7F30D17E" w14:textId="77777777" w:rsidR="008D4920" w:rsidRPr="00E224E9" w:rsidRDefault="008D4920" w:rsidP="00410689">
      <w:pPr>
        <w:tabs>
          <w:tab w:val="left" w:pos="284"/>
        </w:tabs>
        <w:spacing w:line="440" w:lineRule="exact"/>
        <w:ind w:leftChars="100" w:left="260" w:firstLineChars="127" w:firstLine="305"/>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0</w:t>
      </w:r>
      <w:r w:rsidRPr="00E224E9">
        <w:rPr>
          <w:rFonts w:ascii="Book Antiqua" w:hAnsi="Book Antiqua" w:hint="eastAsia"/>
          <w:color w:val="000000" w:themeColor="text1"/>
          <w:sz w:val="24"/>
          <w:vertAlign w:val="subscript"/>
        </w:rPr>
        <w:t>C</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hint="eastAsia"/>
          <w:color w:val="000000" w:themeColor="text1"/>
          <w:sz w:val="24"/>
        </w:rPr>
        <w:t>關係人匯率</w:t>
      </w:r>
      <w:r w:rsidRPr="00E224E9">
        <w:rPr>
          <w:rFonts w:ascii="Book Antiqua" w:hAnsi="Book Antiqua"/>
          <w:color w:val="000000" w:themeColor="text1"/>
          <w:sz w:val="24"/>
        </w:rPr>
        <w:t>風險</w:t>
      </w:r>
    </w:p>
    <w:p w14:paraId="0EE1D6C6" w14:textId="77777777" w:rsidR="008D4920" w:rsidRPr="00E224E9"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E224E9">
        <w:rPr>
          <w:rFonts w:ascii="Book Antiqua" w:hAnsi="Book Antiqua"/>
          <w:color w:val="000000" w:themeColor="text1"/>
          <w:sz w:val="24"/>
        </w:rPr>
        <w:t>本列為「</w:t>
      </w:r>
      <w:r w:rsidRPr="00E224E9">
        <w:rPr>
          <w:rFonts w:ascii="Book Antiqua" w:hAnsi="Book Antiqua"/>
          <w:color w:val="000000" w:themeColor="text1"/>
          <w:sz w:val="24"/>
        </w:rPr>
        <w:t>C</w:t>
      </w:r>
      <w:r w:rsidRPr="00E224E9">
        <w:rPr>
          <w:rFonts w:ascii="Book Antiqua" w:hAnsi="Book Antiqua" w:hint="eastAsia"/>
          <w:color w:val="000000" w:themeColor="text1"/>
          <w:sz w:val="24"/>
          <w:vertAlign w:val="subscript"/>
        </w:rPr>
        <w:t>0</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關係人風險」再細分為關係人</w:t>
      </w:r>
      <w:r w:rsidRPr="00E224E9">
        <w:rPr>
          <w:rFonts w:ascii="Book Antiqua" w:hAnsi="Book Antiqua" w:hint="eastAsia"/>
          <w:color w:val="000000" w:themeColor="text1"/>
          <w:sz w:val="24"/>
        </w:rPr>
        <w:t>匯率</w:t>
      </w:r>
      <w:r w:rsidRPr="00E224E9">
        <w:rPr>
          <w:rFonts w:ascii="Book Antiqua" w:hAnsi="Book Antiqua"/>
          <w:color w:val="000000" w:themeColor="text1"/>
          <w:sz w:val="24"/>
        </w:rPr>
        <w:t>之資產風險，以調整各項風險之相關程度。</w:t>
      </w:r>
    </w:p>
    <w:p w14:paraId="08F9111F" w14:textId="77777777" w:rsidR="008D4920" w:rsidRPr="00E224E9" w:rsidRDefault="008D4920" w:rsidP="00AE4E06">
      <w:pPr>
        <w:tabs>
          <w:tab w:val="left" w:pos="284"/>
        </w:tabs>
        <w:spacing w:line="440" w:lineRule="exact"/>
        <w:ind w:left="284" w:firstLineChars="10" w:firstLine="24"/>
        <w:jc w:val="both"/>
        <w:rPr>
          <w:rFonts w:ascii="Book Antiqua" w:hAnsi="Book Antiqua"/>
          <w:color w:val="000000" w:themeColor="text1"/>
          <w:sz w:val="24"/>
        </w:rPr>
      </w:pPr>
    </w:p>
    <w:p w14:paraId="561285A9" w14:textId="77777777" w:rsidR="008D4920" w:rsidRPr="00E224E9" w:rsidRDefault="008D4920" w:rsidP="00AE4E06">
      <w:pPr>
        <w:tabs>
          <w:tab w:val="left" w:pos="284"/>
        </w:tabs>
        <w:spacing w:line="440" w:lineRule="exact"/>
        <w:ind w:left="284" w:firstLineChars="10" w:firstLine="24"/>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1</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非關係人風險</w:t>
      </w:r>
    </w:p>
    <w:p w14:paraId="1F9E9577" w14:textId="77777777" w:rsidR="008D4920" w:rsidRPr="00E224E9" w:rsidRDefault="008D4920" w:rsidP="00EC034D">
      <w:pPr>
        <w:tabs>
          <w:tab w:val="left" w:pos="851"/>
        </w:tabs>
        <w:spacing w:line="440" w:lineRule="exact"/>
        <w:ind w:leftChars="109" w:left="283" w:firstLine="426"/>
        <w:jc w:val="both"/>
        <w:rPr>
          <w:rFonts w:ascii="Book Antiqua" w:hAnsi="Book Antiqua"/>
          <w:color w:val="000000" w:themeColor="text1"/>
          <w:sz w:val="24"/>
        </w:rPr>
      </w:pPr>
      <w:r w:rsidRPr="00E224E9">
        <w:rPr>
          <w:rFonts w:ascii="Book Antiqua" w:hAnsi="Book Antiqua"/>
          <w:color w:val="000000" w:themeColor="text1"/>
          <w:sz w:val="24"/>
        </w:rPr>
        <w:t>係指保險業投資於非關係人交易所持有之各項資產，可能因其資產價值變動而影響保險業失卻清償能力之風險。</w:t>
      </w:r>
    </w:p>
    <w:p w14:paraId="21D8AD61" w14:textId="77777777" w:rsidR="008D4920" w:rsidRPr="00E224E9" w:rsidRDefault="008D4920" w:rsidP="00410689">
      <w:pPr>
        <w:tabs>
          <w:tab w:val="left" w:pos="709"/>
        </w:tabs>
        <w:spacing w:line="440" w:lineRule="exact"/>
        <w:ind w:leftChars="218" w:left="567"/>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1O</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hint="eastAsia"/>
          <w:color w:val="000000" w:themeColor="text1"/>
          <w:sz w:val="24"/>
        </w:rPr>
        <w:t>非關係人除股票及匯率以外</w:t>
      </w:r>
      <w:r w:rsidRPr="00E224E9">
        <w:rPr>
          <w:rFonts w:ascii="Book Antiqua" w:hAnsi="Book Antiqua"/>
          <w:color w:val="000000" w:themeColor="text1"/>
          <w:sz w:val="24"/>
        </w:rPr>
        <w:t>之資產風險</w:t>
      </w:r>
    </w:p>
    <w:p w14:paraId="10803018" w14:textId="77777777" w:rsidR="008D4920" w:rsidRPr="00E224E9"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E224E9">
        <w:rPr>
          <w:rFonts w:ascii="Book Antiqua" w:hAnsi="Book Antiqua"/>
          <w:color w:val="000000" w:themeColor="text1"/>
          <w:sz w:val="24"/>
        </w:rPr>
        <w:t>本列為依據前項「</w:t>
      </w:r>
      <w:r w:rsidRPr="00E224E9">
        <w:rPr>
          <w:rFonts w:ascii="Book Antiqua" w:hAnsi="Book Antiqua"/>
          <w:color w:val="000000" w:themeColor="text1"/>
          <w:sz w:val="24"/>
        </w:rPr>
        <w:t>C1</w:t>
      </w:r>
      <w:r w:rsidRPr="00E224E9">
        <w:rPr>
          <w:rFonts w:ascii="Book Antiqua" w:hAnsi="Book Antiqua" w:hint="eastAsia"/>
          <w:color w:val="000000" w:themeColor="text1"/>
          <w:sz w:val="24"/>
        </w:rPr>
        <w:t>：</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非關係人風險」再細分為非關係人非股票</w:t>
      </w:r>
      <w:r w:rsidRPr="00E224E9">
        <w:rPr>
          <w:rFonts w:ascii="Book Antiqua" w:hAnsi="Book Antiqua" w:hint="eastAsia"/>
          <w:color w:val="000000" w:themeColor="text1"/>
          <w:sz w:val="24"/>
        </w:rPr>
        <w:t>及非匯率</w:t>
      </w:r>
      <w:r w:rsidRPr="00E224E9">
        <w:rPr>
          <w:rFonts w:ascii="Book Antiqua" w:hAnsi="Book Antiqua"/>
          <w:color w:val="000000" w:themeColor="text1"/>
          <w:sz w:val="24"/>
        </w:rPr>
        <w:t>之資產風險，以調整各項風險之相關程度。</w:t>
      </w:r>
    </w:p>
    <w:p w14:paraId="20C1B1A2" w14:textId="77777777" w:rsidR="008D4920" w:rsidRPr="00E224E9" w:rsidRDefault="008D4920" w:rsidP="00410689">
      <w:pPr>
        <w:tabs>
          <w:tab w:val="left" w:pos="709"/>
        </w:tabs>
        <w:spacing w:line="440" w:lineRule="exact"/>
        <w:ind w:leftChars="218" w:left="567"/>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1</w:t>
      </w:r>
      <w:r w:rsidRPr="00E224E9">
        <w:rPr>
          <w:rFonts w:ascii="Book Antiqua" w:hAnsi="Book Antiqua" w:hint="eastAsia"/>
          <w:color w:val="000000" w:themeColor="text1"/>
          <w:sz w:val="24"/>
          <w:vertAlign w:val="subscript"/>
        </w:rPr>
        <w:t>C</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w:t>
      </w:r>
      <w:r w:rsidRPr="00E224E9">
        <w:rPr>
          <w:rFonts w:ascii="Book Antiqua" w:hAnsi="Book Antiqua" w:hint="eastAsia"/>
          <w:color w:val="000000" w:themeColor="text1"/>
          <w:sz w:val="24"/>
        </w:rPr>
        <w:t>關係人匯率</w:t>
      </w:r>
      <w:r w:rsidRPr="00E224E9">
        <w:rPr>
          <w:rFonts w:ascii="Book Antiqua" w:hAnsi="Book Antiqua"/>
          <w:color w:val="000000" w:themeColor="text1"/>
          <w:sz w:val="24"/>
        </w:rPr>
        <w:t>風險</w:t>
      </w:r>
    </w:p>
    <w:p w14:paraId="41C84E12" w14:textId="77777777" w:rsidR="008D4920" w:rsidRPr="00E224E9"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E224E9">
        <w:rPr>
          <w:rFonts w:ascii="Book Antiqua" w:hAnsi="Book Antiqua"/>
          <w:color w:val="000000" w:themeColor="text1"/>
          <w:sz w:val="24"/>
        </w:rPr>
        <w:lastRenderedPageBreak/>
        <w:t>本列為依據前項「</w:t>
      </w:r>
      <w:r w:rsidRPr="00E224E9">
        <w:rPr>
          <w:rFonts w:ascii="Book Antiqua" w:hAnsi="Book Antiqua"/>
          <w:color w:val="000000" w:themeColor="text1"/>
          <w:sz w:val="24"/>
        </w:rPr>
        <w:t>C1</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非關係人風險」再細分為非關係人</w:t>
      </w:r>
      <w:r w:rsidRPr="00E224E9">
        <w:rPr>
          <w:rFonts w:ascii="Book Antiqua" w:hAnsi="Book Antiqua" w:hint="eastAsia"/>
          <w:color w:val="000000" w:themeColor="text1"/>
          <w:sz w:val="24"/>
        </w:rPr>
        <w:t>匯率</w:t>
      </w:r>
      <w:r w:rsidRPr="00E224E9">
        <w:rPr>
          <w:rFonts w:ascii="Book Antiqua" w:hAnsi="Book Antiqua"/>
          <w:color w:val="000000" w:themeColor="text1"/>
          <w:sz w:val="24"/>
        </w:rPr>
        <w:t>之資產風險，以調整各項風險之相關程度。</w:t>
      </w:r>
    </w:p>
    <w:p w14:paraId="3C67E78C" w14:textId="77777777" w:rsidR="008D4920" w:rsidRPr="00E224E9" w:rsidRDefault="008D4920" w:rsidP="00410689">
      <w:pPr>
        <w:tabs>
          <w:tab w:val="left" w:pos="284"/>
        </w:tabs>
        <w:spacing w:line="440" w:lineRule="exact"/>
        <w:ind w:leftChars="219" w:left="708" w:hangingChars="58" w:hanging="139"/>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1S</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非關係人股票風險</w:t>
      </w:r>
    </w:p>
    <w:p w14:paraId="792ACBFC" w14:textId="77777777" w:rsidR="008D4920" w:rsidRPr="00E224E9"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E224E9">
        <w:rPr>
          <w:rFonts w:ascii="Book Antiqua" w:hAnsi="Book Antiqua"/>
          <w:color w:val="000000" w:themeColor="text1"/>
          <w:sz w:val="24"/>
        </w:rPr>
        <w:t>本列為依據前項「</w:t>
      </w:r>
      <w:r w:rsidRPr="00E224E9">
        <w:rPr>
          <w:rFonts w:ascii="Book Antiqua" w:hAnsi="Book Antiqua"/>
          <w:color w:val="000000" w:themeColor="text1"/>
          <w:sz w:val="24"/>
        </w:rPr>
        <w:t>C1</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非關係人風險」再細分為非關係人股票之資產風險，以調整各項風險之相關程度。</w:t>
      </w:r>
    </w:p>
    <w:p w14:paraId="79E0727D" w14:textId="77777777" w:rsidR="008D4920" w:rsidRPr="00E224E9" w:rsidRDefault="008D4920" w:rsidP="00AE4E06">
      <w:pPr>
        <w:tabs>
          <w:tab w:val="left" w:pos="284"/>
        </w:tabs>
        <w:spacing w:line="440" w:lineRule="exact"/>
        <w:ind w:left="284" w:firstLineChars="177" w:firstLine="425"/>
        <w:jc w:val="both"/>
        <w:rPr>
          <w:rFonts w:ascii="Book Antiqua" w:hAnsi="Book Antiqua"/>
          <w:color w:val="000000" w:themeColor="text1"/>
          <w:sz w:val="24"/>
        </w:rPr>
      </w:pPr>
    </w:p>
    <w:p w14:paraId="32950DA3" w14:textId="77777777" w:rsidR="008D4920" w:rsidRPr="00E224E9" w:rsidRDefault="008D4920" w:rsidP="00AE4E06">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2</w:t>
      </w:r>
      <w:r w:rsidRPr="00E224E9">
        <w:rPr>
          <w:rFonts w:ascii="Book Antiqua" w:hAnsi="Book Antiqua"/>
          <w:color w:val="000000" w:themeColor="text1"/>
          <w:sz w:val="24"/>
        </w:rPr>
        <w:t>：保險風險</w:t>
      </w:r>
    </w:p>
    <w:p w14:paraId="1B38F32B" w14:textId="77777777" w:rsidR="008D4920" w:rsidRPr="00E224E9" w:rsidRDefault="008D4920" w:rsidP="00EC034D">
      <w:pPr>
        <w:tabs>
          <w:tab w:val="left" w:pos="851"/>
        </w:tabs>
        <w:spacing w:line="440" w:lineRule="exact"/>
        <w:ind w:leftChars="109" w:left="283" w:firstLine="426"/>
        <w:jc w:val="both"/>
        <w:rPr>
          <w:rFonts w:ascii="Book Antiqua" w:hAnsi="Book Antiqua"/>
          <w:color w:val="000000" w:themeColor="text1"/>
          <w:sz w:val="24"/>
        </w:rPr>
      </w:pPr>
      <w:r w:rsidRPr="00E224E9">
        <w:rPr>
          <w:rFonts w:ascii="Book Antiqua" w:hAnsi="Book Antiqua"/>
          <w:color w:val="000000" w:themeColor="text1"/>
          <w:sz w:val="24"/>
        </w:rPr>
        <w:t>係指保險業經營業務時針對已簽單業務低估負債、或是於未來新簽單契約費率定價不足之風險。</w:t>
      </w:r>
    </w:p>
    <w:p w14:paraId="03C2C8AD" w14:textId="77777777" w:rsidR="008D4920" w:rsidRPr="00E224E9" w:rsidRDefault="008D4920" w:rsidP="00AE4E06">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3</w:t>
      </w:r>
      <w:r w:rsidRPr="00E224E9">
        <w:rPr>
          <w:rFonts w:ascii="Book Antiqua" w:hAnsi="Book Antiqua"/>
          <w:color w:val="000000" w:themeColor="text1"/>
          <w:sz w:val="24"/>
        </w:rPr>
        <w:t>：利率風險</w:t>
      </w:r>
    </w:p>
    <w:p w14:paraId="62994912" w14:textId="77777777" w:rsidR="008D4920" w:rsidRPr="00E224E9" w:rsidRDefault="00EC034D" w:rsidP="00EC034D">
      <w:pPr>
        <w:tabs>
          <w:tab w:val="left" w:pos="851"/>
        </w:tabs>
        <w:spacing w:line="440" w:lineRule="exact"/>
        <w:ind w:leftChars="109" w:left="283" w:firstLine="426"/>
        <w:jc w:val="both"/>
        <w:rPr>
          <w:rFonts w:ascii="Book Antiqua" w:hAnsi="Book Antiqua"/>
          <w:color w:val="000000" w:themeColor="text1"/>
          <w:sz w:val="24"/>
        </w:rPr>
      </w:pPr>
      <w:r w:rsidRPr="00E224E9">
        <w:rPr>
          <w:rFonts w:ascii="Book Antiqua" w:hAnsi="Book Antiqua" w:hint="eastAsia"/>
          <w:color w:val="000000" w:themeColor="text1"/>
          <w:sz w:val="24"/>
        </w:rPr>
        <w:t>係</w:t>
      </w:r>
      <w:r w:rsidR="008D4920" w:rsidRPr="00E224E9">
        <w:rPr>
          <w:rFonts w:ascii="Book Antiqua" w:hAnsi="Book Antiqua"/>
          <w:color w:val="000000" w:themeColor="text1"/>
          <w:sz w:val="24"/>
        </w:rPr>
        <w:t>指保險業因利率變動因素，造成資產與負債價值變動不一致之風險。</w:t>
      </w:r>
    </w:p>
    <w:p w14:paraId="2D952888" w14:textId="77777777" w:rsidR="008D4920" w:rsidRPr="00E224E9" w:rsidRDefault="008D4920" w:rsidP="00AE4E06">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4</w:t>
      </w:r>
      <w:r w:rsidRPr="00E224E9">
        <w:rPr>
          <w:rFonts w:ascii="Book Antiqua" w:hAnsi="Book Antiqua"/>
          <w:color w:val="000000" w:themeColor="text1"/>
          <w:sz w:val="24"/>
        </w:rPr>
        <w:t>：其他風險</w:t>
      </w:r>
    </w:p>
    <w:p w14:paraId="4E40BFF3" w14:textId="77777777" w:rsidR="008D4920" w:rsidRPr="00E224E9" w:rsidRDefault="008D4920" w:rsidP="00EC034D">
      <w:pPr>
        <w:tabs>
          <w:tab w:val="left" w:pos="851"/>
        </w:tabs>
        <w:spacing w:line="440" w:lineRule="exact"/>
        <w:ind w:leftChars="109" w:left="283" w:firstLine="426"/>
        <w:jc w:val="both"/>
        <w:rPr>
          <w:rFonts w:ascii="Book Antiqua" w:hAnsi="Book Antiqua"/>
          <w:color w:val="000000" w:themeColor="text1"/>
          <w:sz w:val="24"/>
        </w:rPr>
      </w:pPr>
      <w:r w:rsidRPr="00E224E9">
        <w:rPr>
          <w:rFonts w:ascii="Book Antiqua" w:hAnsi="Book Antiqua"/>
          <w:color w:val="000000" w:themeColor="text1"/>
          <w:sz w:val="24"/>
        </w:rPr>
        <w:t>係指保險業除上述四項風險外可能面對的其他風險，主要包含項目為</w:t>
      </w:r>
      <w:r w:rsidR="00522FE9" w:rsidRPr="00E224E9">
        <w:rPr>
          <w:rFonts w:ascii="Book Antiqua" w:hAnsi="Book Antiqua" w:hint="eastAsia"/>
          <w:color w:val="000000" w:themeColor="text1"/>
          <w:sz w:val="24"/>
        </w:rPr>
        <w:t>作業</w:t>
      </w:r>
      <w:r w:rsidRPr="00E224E9">
        <w:rPr>
          <w:rFonts w:ascii="Book Antiqua" w:hAnsi="Book Antiqua"/>
          <w:color w:val="000000" w:themeColor="text1"/>
          <w:sz w:val="24"/>
        </w:rPr>
        <w:t>風險，係保險業因營運上各項因素所導致之直接或間接的可能損失。</w:t>
      </w:r>
    </w:p>
    <w:p w14:paraId="71E781CC" w14:textId="2B6A14E3" w:rsidR="00E9430B" w:rsidRPr="00E224E9" w:rsidRDefault="00E9430B" w:rsidP="00E9430B">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hint="eastAsia"/>
          <w:color w:val="000000" w:themeColor="text1"/>
          <w:sz w:val="24"/>
          <w:vertAlign w:val="subscript"/>
        </w:rPr>
        <w:t>5</w:t>
      </w:r>
      <w:r w:rsidRPr="00E224E9">
        <w:rPr>
          <w:rFonts w:ascii="Book Antiqua" w:hAnsi="Book Antiqua"/>
          <w:color w:val="000000" w:themeColor="text1"/>
          <w:sz w:val="24"/>
        </w:rPr>
        <w:t>：</w:t>
      </w:r>
      <w:r w:rsidRPr="00E224E9">
        <w:rPr>
          <w:rFonts w:ascii="Book Antiqua" w:hAnsi="Book Antiqua" w:hint="eastAsia"/>
          <w:color w:val="000000" w:themeColor="text1"/>
          <w:sz w:val="24"/>
        </w:rPr>
        <w:t>巨災風險</w:t>
      </w:r>
    </w:p>
    <w:p w14:paraId="25109F40" w14:textId="2484F3FF" w:rsidR="00065C53" w:rsidRPr="00E224E9" w:rsidRDefault="00E9430B" w:rsidP="00AE4E06">
      <w:pPr>
        <w:tabs>
          <w:tab w:val="left" w:pos="284"/>
        </w:tabs>
        <w:spacing w:line="440" w:lineRule="exact"/>
        <w:ind w:left="284" w:firstLineChars="177" w:firstLine="425"/>
        <w:jc w:val="both"/>
        <w:rPr>
          <w:rFonts w:ascii="Book Antiqua" w:hAnsi="Book Antiqua"/>
          <w:color w:val="000000" w:themeColor="text1"/>
          <w:sz w:val="24"/>
        </w:rPr>
      </w:pPr>
      <w:r w:rsidRPr="00E224E9">
        <w:rPr>
          <w:rFonts w:ascii="Book Antiqua" w:hAnsi="Book Antiqua" w:hint="eastAsia"/>
          <w:color w:val="000000" w:themeColor="text1"/>
          <w:sz w:val="24"/>
        </w:rPr>
        <w:t>係</w:t>
      </w:r>
      <w:r w:rsidRPr="00E224E9">
        <w:rPr>
          <w:rFonts w:ascii="Book Antiqua" w:hAnsi="Book Antiqua"/>
          <w:color w:val="000000" w:themeColor="text1"/>
          <w:sz w:val="24"/>
        </w:rPr>
        <w:t>指</w:t>
      </w:r>
      <w:r w:rsidRPr="00E224E9">
        <w:rPr>
          <w:rFonts w:ascii="Book Antiqua" w:hAnsi="Book Antiqua" w:hint="eastAsia"/>
          <w:color w:val="000000" w:themeColor="text1"/>
          <w:sz w:val="24"/>
        </w:rPr>
        <w:t>「恐怖攻擊」和「傳染病」產生的巨災風險。</w:t>
      </w:r>
    </w:p>
    <w:p w14:paraId="3B85D7D0" w14:textId="77777777" w:rsidR="00E9430B" w:rsidRPr="00E224E9" w:rsidRDefault="00E9430B" w:rsidP="00AE4E06">
      <w:pPr>
        <w:tabs>
          <w:tab w:val="left" w:pos="284"/>
        </w:tabs>
        <w:spacing w:line="440" w:lineRule="exact"/>
        <w:ind w:left="284" w:firstLineChars="177" w:firstLine="425"/>
        <w:jc w:val="both"/>
        <w:rPr>
          <w:rFonts w:ascii="Book Antiqua" w:hAnsi="Book Antiqua"/>
          <w:color w:val="000000" w:themeColor="text1"/>
          <w:sz w:val="24"/>
        </w:rPr>
      </w:pPr>
    </w:p>
    <w:p w14:paraId="09BA2927" w14:textId="77777777" w:rsidR="00065C53" w:rsidRPr="00E224E9" w:rsidRDefault="00065C53" w:rsidP="009B33D2">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調整前風險資本總額</w:t>
      </w:r>
    </w:p>
    <w:p w14:paraId="45C97AE9" w14:textId="086955D3" w:rsidR="00065C53" w:rsidRPr="00E224E9" w:rsidRDefault="00065C53" w:rsidP="00DF09E8">
      <w:pPr>
        <w:tabs>
          <w:tab w:val="left" w:pos="284"/>
        </w:tabs>
        <w:spacing w:line="440" w:lineRule="exact"/>
        <w:ind w:leftChars="109" w:left="283" w:firstLineChars="177" w:firstLine="425"/>
        <w:jc w:val="both"/>
        <w:rPr>
          <w:rFonts w:ascii="Book Antiqua" w:hAnsi="Book Antiqua"/>
          <w:color w:val="000000" w:themeColor="text1"/>
          <w:sz w:val="24"/>
        </w:rPr>
      </w:pPr>
      <w:r w:rsidRPr="00E224E9">
        <w:rPr>
          <w:rFonts w:ascii="Book Antiqua" w:hAnsi="Book Antiqua"/>
          <w:color w:val="000000" w:themeColor="text1"/>
          <w:sz w:val="24"/>
        </w:rPr>
        <w:t>本列為未經風險資本總額計算式計算之金額，加總項目包括</w:t>
      </w:r>
      <w:r w:rsidRPr="00E224E9">
        <w:rPr>
          <w:rFonts w:ascii="Book Antiqua" w:hAnsi="Book Antiqua"/>
          <w:color w:val="000000" w:themeColor="text1"/>
          <w:sz w:val="24"/>
        </w:rPr>
        <w:t>C0</w:t>
      </w:r>
      <w:r w:rsidRPr="00E224E9">
        <w:rPr>
          <w:rFonts w:ascii="Book Antiqua" w:hAnsi="Book Antiqua"/>
          <w:color w:val="000000" w:themeColor="text1"/>
          <w:sz w:val="24"/>
        </w:rPr>
        <w:t>、</w:t>
      </w:r>
      <w:r w:rsidRPr="00E224E9">
        <w:rPr>
          <w:rFonts w:ascii="Book Antiqua" w:hAnsi="Book Antiqua"/>
          <w:color w:val="000000" w:themeColor="text1"/>
          <w:sz w:val="24"/>
        </w:rPr>
        <w:t>C1</w:t>
      </w:r>
      <w:r w:rsidRPr="00E224E9">
        <w:rPr>
          <w:rFonts w:ascii="Book Antiqua" w:hAnsi="Book Antiqua"/>
          <w:color w:val="000000" w:themeColor="text1"/>
          <w:sz w:val="24"/>
        </w:rPr>
        <w:t>、</w:t>
      </w:r>
      <w:r w:rsidRPr="00E224E9">
        <w:rPr>
          <w:rFonts w:ascii="Book Antiqua" w:hAnsi="Book Antiqua"/>
          <w:color w:val="000000" w:themeColor="text1"/>
          <w:sz w:val="24"/>
        </w:rPr>
        <w:t>C2</w:t>
      </w:r>
      <w:r w:rsidRPr="00E224E9">
        <w:rPr>
          <w:rFonts w:ascii="Book Antiqua" w:hAnsi="Book Antiqua"/>
          <w:color w:val="000000" w:themeColor="text1"/>
          <w:sz w:val="24"/>
        </w:rPr>
        <w:t>、</w:t>
      </w:r>
      <w:r w:rsidRPr="00E224E9">
        <w:rPr>
          <w:rFonts w:ascii="Book Antiqua" w:hAnsi="Book Antiqua"/>
          <w:color w:val="000000" w:themeColor="text1"/>
          <w:sz w:val="24"/>
        </w:rPr>
        <w:t>C3</w:t>
      </w:r>
      <w:r w:rsidR="00E9430B" w:rsidRPr="00E224E9">
        <w:rPr>
          <w:rFonts w:ascii="Book Antiqua" w:hAnsi="Book Antiqua"/>
          <w:color w:val="000000" w:themeColor="text1"/>
          <w:sz w:val="24"/>
        </w:rPr>
        <w:t>、</w:t>
      </w:r>
      <w:r w:rsidRPr="00E224E9">
        <w:rPr>
          <w:rFonts w:ascii="Book Antiqua" w:hAnsi="Book Antiqua"/>
          <w:color w:val="000000" w:themeColor="text1"/>
          <w:sz w:val="24"/>
        </w:rPr>
        <w:t>C4</w:t>
      </w:r>
      <w:r w:rsidR="00E9430B" w:rsidRPr="00E224E9">
        <w:rPr>
          <w:rFonts w:ascii="Book Antiqua" w:hAnsi="Book Antiqua" w:hint="eastAsia"/>
          <w:color w:val="000000" w:themeColor="text1"/>
          <w:sz w:val="24"/>
        </w:rPr>
        <w:t>與</w:t>
      </w:r>
      <w:r w:rsidR="00E9430B" w:rsidRPr="00E224E9">
        <w:rPr>
          <w:rFonts w:ascii="Book Antiqua" w:hAnsi="Book Antiqua"/>
          <w:color w:val="000000" w:themeColor="text1"/>
          <w:sz w:val="24"/>
        </w:rPr>
        <w:t>C</w:t>
      </w:r>
      <w:r w:rsidR="00E9430B" w:rsidRPr="00E224E9">
        <w:rPr>
          <w:rFonts w:ascii="Book Antiqua" w:hAnsi="Book Antiqua" w:hint="eastAsia"/>
          <w:color w:val="000000" w:themeColor="text1"/>
          <w:sz w:val="24"/>
        </w:rPr>
        <w:t>5</w:t>
      </w:r>
      <w:r w:rsidRPr="00E224E9">
        <w:rPr>
          <w:rFonts w:ascii="Book Antiqua" w:hAnsi="Book Antiqua"/>
          <w:color w:val="000000" w:themeColor="text1"/>
          <w:sz w:val="24"/>
        </w:rPr>
        <w:t>。</w:t>
      </w:r>
    </w:p>
    <w:p w14:paraId="5D7D09E5" w14:textId="77777777" w:rsidR="00065C53" w:rsidRPr="00E224E9"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14:paraId="20F17A73" w14:textId="77777777" w:rsidR="00065C53" w:rsidRPr="00E224E9" w:rsidRDefault="00065C53" w:rsidP="009B33D2">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風險資本總額</w:t>
      </w:r>
    </w:p>
    <w:p w14:paraId="6AF34299" w14:textId="77777777" w:rsidR="00065C53" w:rsidRPr="00E224E9" w:rsidRDefault="00065C53" w:rsidP="00AE4E06">
      <w:pPr>
        <w:tabs>
          <w:tab w:val="left" w:pos="284"/>
        </w:tabs>
        <w:spacing w:line="440" w:lineRule="exact"/>
        <w:ind w:left="284" w:firstLineChars="177" w:firstLine="425"/>
        <w:jc w:val="both"/>
        <w:rPr>
          <w:rFonts w:ascii="Book Antiqua" w:hAnsi="Book Antiqua"/>
          <w:color w:val="000000" w:themeColor="text1"/>
          <w:sz w:val="24"/>
        </w:rPr>
      </w:pPr>
      <w:r w:rsidRPr="00E224E9">
        <w:rPr>
          <w:rFonts w:ascii="Book Antiqua" w:hAnsi="Book Antiqua"/>
          <w:color w:val="000000" w:themeColor="text1"/>
          <w:sz w:val="24"/>
        </w:rPr>
        <w:t>本列為將各風險項目依風險資本總額計算式計算所得之金額。另針對</w:t>
      </w:r>
      <w:r w:rsidRPr="00E224E9">
        <w:rPr>
          <w:rFonts w:ascii="Book Antiqua" w:hAnsi="Book Antiqua"/>
          <w:color w:val="000000" w:themeColor="text1"/>
          <w:sz w:val="24"/>
        </w:rPr>
        <w:t>K</w:t>
      </w:r>
      <w:r w:rsidRPr="00E224E9">
        <w:rPr>
          <w:rFonts w:ascii="Book Antiqua" w:hAnsi="Book Antiqua"/>
          <w:color w:val="000000" w:themeColor="text1"/>
          <w:sz w:val="24"/>
        </w:rPr>
        <w:t>值或利率風險</w:t>
      </w:r>
      <w:r w:rsidR="00B03FEC" w:rsidRPr="00E224E9">
        <w:rPr>
          <w:rFonts w:ascii="Book Antiqua" w:hAnsi="Book Antiqua" w:hint="eastAsia"/>
          <w:color w:val="000000" w:themeColor="text1"/>
          <w:sz w:val="24"/>
        </w:rPr>
        <w:t>(</w:t>
      </w:r>
      <w:r w:rsidRPr="00E224E9">
        <w:rPr>
          <w:rFonts w:ascii="Book Antiqua" w:hAnsi="Book Antiqua"/>
          <w:color w:val="000000" w:themeColor="text1"/>
          <w:sz w:val="24"/>
        </w:rPr>
        <w:t>C3</w:t>
      </w:r>
      <w:r w:rsidR="00B03FEC" w:rsidRPr="00E224E9">
        <w:rPr>
          <w:rFonts w:ascii="Book Antiqua" w:hAnsi="Book Antiqua" w:hint="eastAsia"/>
          <w:color w:val="000000" w:themeColor="text1"/>
          <w:sz w:val="24"/>
        </w:rPr>
        <w:t>)</w:t>
      </w:r>
      <w:r w:rsidR="00DC3DEE" w:rsidRPr="00E224E9">
        <w:rPr>
          <w:rFonts w:ascii="Book Antiqua" w:hAnsi="Book Antiqua" w:hint="eastAsia"/>
          <w:color w:val="000000" w:themeColor="text1"/>
          <w:sz w:val="24"/>
        </w:rPr>
        <w:t>及自有資本總額</w:t>
      </w:r>
      <w:r w:rsidRPr="00E224E9">
        <w:rPr>
          <w:rFonts w:ascii="Book Antiqua" w:hAnsi="Book Antiqua"/>
          <w:color w:val="000000" w:themeColor="text1"/>
          <w:sz w:val="24"/>
        </w:rPr>
        <w:t>，若經主管機關基於安定保險市場專案核定者另依核定之方式計算。</w:t>
      </w:r>
    </w:p>
    <w:p w14:paraId="114EE9F6" w14:textId="77777777" w:rsidR="00065C53" w:rsidRPr="00E224E9"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14:paraId="1B7237F2" w14:textId="77777777" w:rsidR="00065C53" w:rsidRPr="00E224E9" w:rsidRDefault="00065C53" w:rsidP="009B33D2">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自有資本總額</w:t>
      </w:r>
    </w:p>
    <w:p w14:paraId="07D8ED86" w14:textId="77777777" w:rsidR="00065C53" w:rsidRPr="00E224E9" w:rsidRDefault="00065C53" w:rsidP="00AE4E06">
      <w:pPr>
        <w:tabs>
          <w:tab w:val="left" w:pos="284"/>
        </w:tabs>
        <w:spacing w:line="440" w:lineRule="exact"/>
        <w:ind w:left="284" w:firstLineChars="177" w:firstLine="425"/>
        <w:jc w:val="both"/>
        <w:rPr>
          <w:rFonts w:ascii="Book Antiqua" w:hAnsi="Book Antiqua"/>
          <w:color w:val="000000" w:themeColor="text1"/>
          <w:sz w:val="24"/>
        </w:rPr>
      </w:pPr>
      <w:r w:rsidRPr="00E224E9">
        <w:rPr>
          <w:rFonts w:ascii="Book Antiqua" w:hAnsi="Book Antiqua"/>
          <w:color w:val="000000" w:themeColor="text1"/>
          <w:sz w:val="24"/>
        </w:rPr>
        <w:t>本列為自有資本總額計算表之總金額，加總項目包括業主權益、危險變動特別準備金、股票投資未實現評價利益</w:t>
      </w:r>
      <w:r w:rsidR="009E5ED8" w:rsidRPr="00E224E9">
        <w:rPr>
          <w:rFonts w:ascii="Book Antiqua" w:hAnsi="Book Antiqua" w:hint="eastAsia"/>
          <w:color w:val="000000" w:themeColor="text1"/>
          <w:sz w:val="24"/>
        </w:rPr>
        <w:t>等</w:t>
      </w:r>
      <w:r w:rsidRPr="00E224E9">
        <w:rPr>
          <w:rFonts w:ascii="Book Antiqua" w:hAnsi="Book Antiqua"/>
          <w:color w:val="000000" w:themeColor="text1"/>
          <w:sz w:val="24"/>
        </w:rPr>
        <w:t>。</w:t>
      </w:r>
    </w:p>
    <w:p w14:paraId="281CE068" w14:textId="77777777" w:rsidR="00065C53" w:rsidRPr="00E224E9"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14:paraId="76D9CE7E" w14:textId="77777777" w:rsidR="00065C53" w:rsidRPr="00E224E9" w:rsidRDefault="00065C53" w:rsidP="009B33D2">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資本適足率</w:t>
      </w:r>
    </w:p>
    <w:p w14:paraId="1CD3BA60" w14:textId="77777777" w:rsidR="00065C53" w:rsidRPr="00E224E9" w:rsidRDefault="00065C53" w:rsidP="00EC034D">
      <w:pPr>
        <w:tabs>
          <w:tab w:val="left" w:pos="284"/>
        </w:tabs>
        <w:spacing w:line="440" w:lineRule="exact"/>
        <w:ind w:leftChars="218" w:left="567" w:firstLineChars="59" w:firstLine="142"/>
        <w:jc w:val="both"/>
        <w:rPr>
          <w:rFonts w:ascii="Book Antiqua" w:hAnsi="Book Antiqua"/>
          <w:color w:val="000000" w:themeColor="text1"/>
          <w:sz w:val="24"/>
        </w:rPr>
      </w:pPr>
      <w:r w:rsidRPr="00E224E9">
        <w:rPr>
          <w:rFonts w:ascii="Book Antiqua" w:hAnsi="Book Antiqua"/>
          <w:color w:val="000000" w:themeColor="text1"/>
          <w:sz w:val="24"/>
        </w:rPr>
        <w:lastRenderedPageBreak/>
        <w:t>本列為自有資本總額除以風險資本總額所得之比率。</w:t>
      </w:r>
    </w:p>
    <w:p w14:paraId="01A1BF6F" w14:textId="77777777" w:rsidR="00065C53" w:rsidRPr="00E224E9" w:rsidRDefault="00065C53">
      <w:pPr>
        <w:spacing w:line="440" w:lineRule="exact"/>
        <w:jc w:val="both"/>
        <w:rPr>
          <w:rFonts w:ascii="標楷體" w:hAnsi="標楷體"/>
          <w:color w:val="000000" w:themeColor="text1"/>
          <w:sz w:val="24"/>
        </w:rPr>
      </w:pPr>
    </w:p>
    <w:p w14:paraId="3539AE89" w14:textId="77777777" w:rsidR="00F42305" w:rsidRPr="00E224E9" w:rsidRDefault="00A33512" w:rsidP="000841AC">
      <w:pPr>
        <w:spacing w:line="440" w:lineRule="exact"/>
        <w:jc w:val="both"/>
        <w:rPr>
          <w:rFonts w:ascii="Book Antiqua" w:hAnsi="Book Antiqua"/>
          <w:color w:val="000000" w:themeColor="text1"/>
          <w:sz w:val="24"/>
        </w:rPr>
      </w:pPr>
      <w:r w:rsidRPr="00E224E9">
        <w:rPr>
          <w:rFonts w:ascii="Book Antiqua" w:hAnsi="Book Antiqua" w:hint="eastAsia"/>
          <w:color w:val="000000" w:themeColor="text1"/>
          <w:sz w:val="24"/>
        </w:rPr>
        <w:t>二、</w:t>
      </w:r>
      <w:r w:rsidR="000841AC" w:rsidRPr="00E224E9">
        <w:rPr>
          <w:rFonts w:ascii="Book Antiqua" w:hAnsi="Book Antiqua" w:hint="eastAsia"/>
          <w:color w:val="000000" w:themeColor="text1"/>
          <w:sz w:val="24"/>
        </w:rPr>
        <w:t>淨值比率</w:t>
      </w:r>
      <w:r w:rsidR="00F42305" w:rsidRPr="00E224E9">
        <w:rPr>
          <w:rFonts w:ascii="Book Antiqua" w:hAnsi="Book Antiqua" w:hint="eastAsia"/>
          <w:color w:val="000000" w:themeColor="text1"/>
          <w:sz w:val="24"/>
        </w:rPr>
        <w:t>：</w:t>
      </w:r>
    </w:p>
    <w:p w14:paraId="00E993DE" w14:textId="77777777" w:rsidR="00B14826" w:rsidRPr="00E224E9" w:rsidRDefault="00693CCB" w:rsidP="009776B6">
      <w:pPr>
        <w:spacing w:line="440" w:lineRule="exact"/>
        <w:ind w:leftChars="108" w:left="281" w:firstLine="428"/>
        <w:jc w:val="both"/>
        <w:rPr>
          <w:rFonts w:ascii="Book Antiqua" w:hAnsi="Book Antiqua"/>
          <w:color w:val="000000" w:themeColor="text1"/>
          <w:sz w:val="24"/>
        </w:rPr>
      </w:pPr>
      <w:r w:rsidRPr="00E224E9">
        <w:rPr>
          <w:rFonts w:ascii="Book Antiqua" w:hAnsi="Book Antiqua"/>
          <w:color w:val="000000" w:themeColor="text1"/>
          <w:sz w:val="24"/>
        </w:rPr>
        <w:t>本表依據經會計師查核</w:t>
      </w:r>
      <w:r w:rsidR="00341C38" w:rsidRPr="00E224E9">
        <w:rPr>
          <w:rFonts w:ascii="Book Antiqua" w:hAnsi="Book Antiqua" w:hint="eastAsia"/>
          <w:color w:val="000000" w:themeColor="text1"/>
          <w:sz w:val="24"/>
        </w:rPr>
        <w:t>或核閱</w:t>
      </w:r>
      <w:r w:rsidRPr="00E224E9">
        <w:rPr>
          <w:rFonts w:ascii="Book Antiqua" w:hAnsi="Book Antiqua"/>
          <w:color w:val="000000" w:themeColor="text1"/>
          <w:sz w:val="24"/>
        </w:rPr>
        <w:t>之財務</w:t>
      </w:r>
      <w:r w:rsidR="00341C38" w:rsidRPr="00E224E9">
        <w:rPr>
          <w:rFonts w:ascii="Book Antiqua" w:hAnsi="Book Antiqua" w:hint="eastAsia"/>
          <w:color w:val="000000" w:themeColor="text1"/>
          <w:sz w:val="24"/>
        </w:rPr>
        <w:t>數據，為</w:t>
      </w:r>
      <w:r w:rsidRPr="00E224E9">
        <w:rPr>
          <w:rFonts w:ascii="Book Antiqua" w:hAnsi="Book Antiqua" w:hint="eastAsia"/>
          <w:color w:val="000000" w:themeColor="text1"/>
          <w:sz w:val="24"/>
        </w:rPr>
        <w:t>業主權益除以不含投資型保險專設帳簿之資產總額</w:t>
      </w:r>
      <w:r w:rsidR="00341C38" w:rsidRPr="00E224E9">
        <w:rPr>
          <w:rFonts w:ascii="Book Antiqua" w:hAnsi="Book Antiqua" w:hint="eastAsia"/>
          <w:color w:val="000000" w:themeColor="text1"/>
          <w:sz w:val="24"/>
        </w:rPr>
        <w:t>計算</w:t>
      </w:r>
      <w:r w:rsidR="00FC23D6" w:rsidRPr="00E224E9">
        <w:rPr>
          <w:rFonts w:ascii="Book Antiqua" w:hAnsi="Book Antiqua" w:hint="eastAsia"/>
          <w:color w:val="000000" w:themeColor="text1"/>
          <w:sz w:val="24"/>
        </w:rPr>
        <w:t>，但主管機關另有規定者，從其規定</w:t>
      </w:r>
      <w:r w:rsidR="000841AC" w:rsidRPr="00E224E9">
        <w:rPr>
          <w:rFonts w:ascii="Book Antiqua" w:hAnsi="Book Antiqua"/>
          <w:color w:val="000000" w:themeColor="text1"/>
          <w:sz w:val="24"/>
        </w:rPr>
        <w:t>。</w:t>
      </w:r>
    </w:p>
    <w:p w14:paraId="1BDA5F50" w14:textId="77777777" w:rsidR="00B14826" w:rsidRPr="00E224E9" w:rsidRDefault="00B14826" w:rsidP="009776B6">
      <w:pPr>
        <w:spacing w:line="440" w:lineRule="exact"/>
        <w:ind w:leftChars="109" w:left="283" w:firstLine="426"/>
        <w:jc w:val="both"/>
        <w:rPr>
          <w:rFonts w:ascii="Book Antiqua" w:hAnsi="Book Antiqua"/>
          <w:color w:val="000000" w:themeColor="text1"/>
          <w:sz w:val="24"/>
        </w:rPr>
      </w:pPr>
      <w:r w:rsidRPr="00E224E9">
        <w:rPr>
          <w:rFonts w:ascii="Book Antiqua" w:hAnsi="Book Antiqua"/>
          <w:color w:val="000000" w:themeColor="text1"/>
          <w:sz w:val="24"/>
        </w:rPr>
        <w:t>數據來源係來源自「</w:t>
      </w:r>
      <w:r w:rsidRPr="00E224E9">
        <w:rPr>
          <w:rFonts w:ascii="Book Antiqua" w:hAnsi="Book Antiqua" w:hint="eastAsia"/>
          <w:color w:val="000000" w:themeColor="text1"/>
          <w:sz w:val="24"/>
        </w:rPr>
        <w:t>表</w:t>
      </w:r>
      <w:r w:rsidRPr="00E224E9">
        <w:rPr>
          <w:rFonts w:ascii="Book Antiqua" w:hAnsi="Book Antiqua" w:hint="eastAsia"/>
          <w:color w:val="000000" w:themeColor="text1"/>
          <w:sz w:val="24"/>
        </w:rPr>
        <w:t>03</w:t>
      </w:r>
      <w:r w:rsidRPr="00E224E9">
        <w:rPr>
          <w:rFonts w:ascii="Book Antiqua" w:hAnsi="Book Antiqua" w:hint="eastAsia"/>
          <w:color w:val="000000" w:themeColor="text1"/>
          <w:sz w:val="24"/>
        </w:rPr>
        <w:t>：資產負債表</w:t>
      </w:r>
      <w:r w:rsidRPr="00E224E9">
        <w:rPr>
          <w:rFonts w:ascii="Book Antiqua" w:hAnsi="Book Antiqua"/>
          <w:color w:val="000000" w:themeColor="text1"/>
          <w:sz w:val="24"/>
        </w:rPr>
        <w:t>」</w:t>
      </w:r>
      <w:r w:rsidR="00493095" w:rsidRPr="00E224E9">
        <w:rPr>
          <w:rFonts w:ascii="Book Antiqua" w:hAnsi="Book Antiqua" w:hint="eastAsia"/>
          <w:color w:val="000000" w:themeColor="text1"/>
          <w:sz w:val="24"/>
        </w:rPr>
        <w:t>，及保險業者前期揭露之</w:t>
      </w:r>
      <w:r w:rsidRPr="00E224E9">
        <w:rPr>
          <w:rFonts w:ascii="Book Antiqua" w:hAnsi="Book Antiqua" w:hint="eastAsia"/>
          <w:color w:val="000000" w:themeColor="text1"/>
          <w:sz w:val="24"/>
        </w:rPr>
        <w:t>數字</w:t>
      </w:r>
      <w:r w:rsidRPr="00E224E9">
        <w:rPr>
          <w:rFonts w:ascii="Book Antiqua" w:hAnsi="Book Antiqua"/>
          <w:color w:val="000000" w:themeColor="text1"/>
          <w:sz w:val="24"/>
        </w:rPr>
        <w:t>。</w:t>
      </w:r>
    </w:p>
    <w:p w14:paraId="23874FFA" w14:textId="77777777" w:rsidR="00693CCB" w:rsidRPr="00E224E9" w:rsidRDefault="00693CCB" w:rsidP="00AE4E06">
      <w:pPr>
        <w:spacing w:line="440" w:lineRule="exact"/>
        <w:ind w:leftChars="109" w:left="283" w:firstLine="3"/>
        <w:jc w:val="both"/>
        <w:rPr>
          <w:rFonts w:ascii="Book Antiqua" w:hAnsi="Book Antiqua"/>
          <w:color w:val="000000" w:themeColor="text1"/>
          <w:sz w:val="24"/>
        </w:rPr>
      </w:pPr>
      <w:r w:rsidRPr="00E224E9">
        <w:rPr>
          <w:rFonts w:ascii="Book Antiqua" w:hAnsi="Book Antiqua"/>
          <w:color w:val="000000" w:themeColor="text1"/>
          <w:sz w:val="24"/>
        </w:rPr>
        <w:t>主要欄位說明如下</w:t>
      </w:r>
      <w:r w:rsidRPr="00E224E9">
        <w:rPr>
          <w:rFonts w:ascii="Book Antiqua" w:hAnsi="Book Antiqua" w:hint="eastAsia"/>
          <w:color w:val="000000" w:themeColor="text1"/>
          <w:sz w:val="24"/>
        </w:rPr>
        <w:t>：</w:t>
      </w:r>
    </w:p>
    <w:p w14:paraId="1913F13B" w14:textId="77777777" w:rsidR="00E34AD0" w:rsidRPr="00E224E9" w:rsidRDefault="00E34AD0" w:rsidP="00AE4E06">
      <w:pPr>
        <w:spacing w:line="440" w:lineRule="exact"/>
        <w:ind w:leftChars="109" w:left="283" w:firstLine="3"/>
        <w:jc w:val="both"/>
        <w:rPr>
          <w:rFonts w:ascii="Book Antiqua" w:hAnsi="Book Antiqua"/>
          <w:color w:val="000000" w:themeColor="text1"/>
          <w:sz w:val="24"/>
        </w:rPr>
      </w:pPr>
    </w:p>
    <w:p w14:paraId="2D1A1BE2" w14:textId="77777777" w:rsidR="00B14826" w:rsidRPr="00E224E9" w:rsidRDefault="00B14826" w:rsidP="00AE4E06">
      <w:pPr>
        <w:spacing w:line="440" w:lineRule="exact"/>
        <w:ind w:leftChars="109" w:left="283" w:firstLine="3"/>
        <w:jc w:val="both"/>
        <w:rPr>
          <w:rFonts w:ascii="Book Antiqua" w:hAnsi="Book Antiqua"/>
          <w:color w:val="000000" w:themeColor="text1"/>
          <w:sz w:val="24"/>
        </w:rPr>
      </w:pPr>
      <w:r w:rsidRPr="00E224E9">
        <w:rPr>
          <w:rFonts w:ascii="Book Antiqua" w:hAnsi="Book Antiqua" w:hint="eastAsia"/>
          <w:color w:val="000000" w:themeColor="text1"/>
          <w:sz w:val="24"/>
        </w:rPr>
        <w:t>業主權益</w:t>
      </w:r>
    </w:p>
    <w:p w14:paraId="5DAC7076" w14:textId="77777777" w:rsidR="00B14826" w:rsidRPr="00E224E9" w:rsidRDefault="00E34AD0" w:rsidP="009776B6">
      <w:pPr>
        <w:spacing w:line="440" w:lineRule="exact"/>
        <w:ind w:leftChars="109" w:left="283" w:firstLine="426"/>
        <w:jc w:val="both"/>
        <w:rPr>
          <w:rFonts w:ascii="Book Antiqua" w:hAnsi="Book Antiqua"/>
          <w:color w:val="000000" w:themeColor="text1"/>
          <w:sz w:val="24"/>
        </w:rPr>
      </w:pPr>
      <w:r w:rsidRPr="00E224E9">
        <w:rPr>
          <w:rFonts w:ascii="Book Antiqua" w:hAnsi="Book Antiqua" w:hint="eastAsia"/>
          <w:color w:val="000000" w:themeColor="text1"/>
          <w:sz w:val="24"/>
        </w:rPr>
        <w:t>本列</w:t>
      </w:r>
      <w:r w:rsidR="00EF687F" w:rsidRPr="00E224E9">
        <w:rPr>
          <w:rFonts w:ascii="Book Antiqua" w:hAnsi="Book Antiqua" w:hint="eastAsia"/>
          <w:color w:val="000000" w:themeColor="text1"/>
        </w:rPr>
        <w:t>之本期數字</w:t>
      </w:r>
      <w:r w:rsidRPr="00E224E9">
        <w:rPr>
          <w:rFonts w:ascii="Book Antiqua" w:hAnsi="Book Antiqua" w:hint="eastAsia"/>
          <w:color w:val="000000" w:themeColor="text1"/>
          <w:sz w:val="24"/>
        </w:rPr>
        <w:t>來自</w:t>
      </w:r>
      <w:r w:rsidR="00B14826" w:rsidRPr="00E224E9">
        <w:rPr>
          <w:rFonts w:ascii="Book Antiqua" w:hAnsi="Book Antiqua"/>
          <w:color w:val="000000" w:themeColor="text1"/>
          <w:sz w:val="24"/>
        </w:rPr>
        <w:t>「</w:t>
      </w:r>
      <w:r w:rsidR="00B14826" w:rsidRPr="00E224E9">
        <w:rPr>
          <w:rFonts w:ascii="Book Antiqua" w:hAnsi="Book Antiqua" w:hint="eastAsia"/>
          <w:color w:val="000000" w:themeColor="text1"/>
          <w:sz w:val="24"/>
        </w:rPr>
        <w:t>表</w:t>
      </w:r>
      <w:r w:rsidR="00B14826" w:rsidRPr="00E224E9">
        <w:rPr>
          <w:rFonts w:ascii="Book Antiqua" w:hAnsi="Book Antiqua" w:hint="eastAsia"/>
          <w:color w:val="000000" w:themeColor="text1"/>
          <w:sz w:val="24"/>
        </w:rPr>
        <w:t>03</w:t>
      </w:r>
      <w:r w:rsidR="00B14826" w:rsidRPr="00E224E9">
        <w:rPr>
          <w:rFonts w:ascii="Book Antiqua" w:hAnsi="Book Antiqua" w:hint="eastAsia"/>
          <w:color w:val="000000" w:themeColor="text1"/>
          <w:sz w:val="24"/>
        </w:rPr>
        <w:t>：資產負債表</w:t>
      </w:r>
      <w:r w:rsidR="00B14826" w:rsidRPr="00E224E9">
        <w:rPr>
          <w:rFonts w:ascii="Book Antiqua" w:hAnsi="Book Antiqua"/>
          <w:color w:val="000000" w:themeColor="text1"/>
          <w:sz w:val="24"/>
        </w:rPr>
        <w:t>」</w:t>
      </w:r>
      <w:r w:rsidR="00B14826" w:rsidRPr="00E224E9">
        <w:rPr>
          <w:rFonts w:ascii="Book Antiqua" w:hAnsi="Book Antiqua" w:hint="eastAsia"/>
          <w:color w:val="000000" w:themeColor="text1"/>
          <w:sz w:val="24"/>
        </w:rPr>
        <w:t>第</w:t>
      </w:r>
      <w:r w:rsidR="00B14826" w:rsidRPr="00E224E9">
        <w:rPr>
          <w:rFonts w:ascii="Book Antiqua" w:hAnsi="Book Antiqua" w:hint="eastAsia"/>
          <w:color w:val="000000" w:themeColor="text1"/>
          <w:sz w:val="24"/>
        </w:rPr>
        <w:t>90</w:t>
      </w:r>
      <w:r w:rsidR="00B14826" w:rsidRPr="00E224E9">
        <w:rPr>
          <w:rFonts w:ascii="Book Antiqua" w:hAnsi="Book Antiqua" w:hint="eastAsia"/>
          <w:color w:val="000000" w:themeColor="text1"/>
          <w:sz w:val="24"/>
        </w:rPr>
        <w:t>列第</w:t>
      </w:r>
      <w:r w:rsidR="00B14826" w:rsidRPr="00E224E9">
        <w:rPr>
          <w:rFonts w:ascii="Book Antiqua" w:hAnsi="Book Antiqua" w:hint="eastAsia"/>
          <w:color w:val="000000" w:themeColor="text1"/>
          <w:sz w:val="24"/>
        </w:rPr>
        <w:t>14</w:t>
      </w:r>
      <w:r w:rsidR="00B14826" w:rsidRPr="00E224E9">
        <w:rPr>
          <w:rFonts w:ascii="Book Antiqua" w:hAnsi="Book Antiqua" w:hint="eastAsia"/>
          <w:color w:val="000000" w:themeColor="text1"/>
          <w:sz w:val="24"/>
        </w:rPr>
        <w:t>欄</w:t>
      </w:r>
    </w:p>
    <w:p w14:paraId="3B634405" w14:textId="77777777" w:rsidR="00B14826" w:rsidRPr="00E224E9" w:rsidRDefault="00B14826" w:rsidP="00AE4E06">
      <w:pPr>
        <w:spacing w:line="440" w:lineRule="exact"/>
        <w:ind w:leftChars="109" w:left="283" w:firstLine="3"/>
        <w:jc w:val="both"/>
        <w:rPr>
          <w:rFonts w:ascii="Book Antiqua" w:hAnsi="Book Antiqua"/>
          <w:color w:val="000000" w:themeColor="text1"/>
          <w:sz w:val="24"/>
        </w:rPr>
      </w:pPr>
    </w:p>
    <w:p w14:paraId="6A3555E5" w14:textId="77777777" w:rsidR="00B14826" w:rsidRPr="00E224E9" w:rsidRDefault="00B14826" w:rsidP="00AE4E06">
      <w:pPr>
        <w:spacing w:line="440" w:lineRule="exact"/>
        <w:ind w:leftChars="109" w:left="283" w:firstLine="3"/>
        <w:jc w:val="both"/>
        <w:rPr>
          <w:rFonts w:ascii="Book Antiqua" w:hAnsi="Book Antiqua"/>
          <w:color w:val="000000" w:themeColor="text1"/>
          <w:sz w:val="24"/>
        </w:rPr>
      </w:pPr>
      <w:r w:rsidRPr="00E224E9">
        <w:rPr>
          <w:rFonts w:ascii="Book Antiqua" w:hAnsi="Book Antiqua" w:hint="eastAsia"/>
          <w:color w:val="000000" w:themeColor="text1"/>
          <w:sz w:val="24"/>
        </w:rPr>
        <w:t>不含投資型保險專設帳簿之資產總額</w:t>
      </w:r>
    </w:p>
    <w:p w14:paraId="1B2D297B" w14:textId="77777777" w:rsidR="00E34AD0" w:rsidRPr="00E224E9" w:rsidRDefault="00E34AD0" w:rsidP="009776B6">
      <w:pPr>
        <w:spacing w:line="440" w:lineRule="exact"/>
        <w:ind w:leftChars="109" w:left="283" w:firstLine="426"/>
        <w:jc w:val="both"/>
        <w:rPr>
          <w:rFonts w:ascii="Book Antiqua" w:hAnsi="Book Antiqua"/>
          <w:color w:val="000000" w:themeColor="text1"/>
          <w:sz w:val="24"/>
        </w:rPr>
      </w:pPr>
      <w:r w:rsidRPr="00E224E9">
        <w:rPr>
          <w:rFonts w:ascii="Book Antiqua" w:hAnsi="Book Antiqua" w:hint="eastAsia"/>
          <w:color w:val="000000" w:themeColor="text1"/>
          <w:sz w:val="24"/>
        </w:rPr>
        <w:t>本列</w:t>
      </w:r>
      <w:r w:rsidR="00EF687F" w:rsidRPr="00E224E9">
        <w:rPr>
          <w:rFonts w:ascii="Book Antiqua" w:hAnsi="Book Antiqua" w:hint="eastAsia"/>
          <w:color w:val="000000" w:themeColor="text1"/>
        </w:rPr>
        <w:t>之本期數字</w:t>
      </w:r>
      <w:r w:rsidRPr="00E224E9">
        <w:rPr>
          <w:rFonts w:ascii="Book Antiqua" w:hAnsi="Book Antiqua" w:hint="eastAsia"/>
          <w:color w:val="000000" w:themeColor="text1"/>
          <w:sz w:val="24"/>
        </w:rPr>
        <w:t>來自</w:t>
      </w:r>
      <w:r w:rsidRPr="00E224E9">
        <w:rPr>
          <w:rFonts w:ascii="Book Antiqua" w:hAnsi="Book Antiqua"/>
          <w:color w:val="000000" w:themeColor="text1"/>
          <w:sz w:val="24"/>
        </w:rPr>
        <w:t>「</w:t>
      </w:r>
      <w:r w:rsidRPr="00E224E9">
        <w:rPr>
          <w:rFonts w:ascii="Book Antiqua" w:hAnsi="Book Antiqua" w:hint="eastAsia"/>
          <w:color w:val="000000" w:themeColor="text1"/>
          <w:sz w:val="24"/>
        </w:rPr>
        <w:t>表</w:t>
      </w:r>
      <w:r w:rsidRPr="00E224E9">
        <w:rPr>
          <w:rFonts w:ascii="Book Antiqua" w:hAnsi="Book Antiqua" w:hint="eastAsia"/>
          <w:color w:val="000000" w:themeColor="text1"/>
          <w:sz w:val="24"/>
        </w:rPr>
        <w:t>03</w:t>
      </w:r>
      <w:r w:rsidRPr="00E224E9">
        <w:rPr>
          <w:rFonts w:ascii="Book Antiqua" w:hAnsi="Book Antiqua" w:hint="eastAsia"/>
          <w:color w:val="000000" w:themeColor="text1"/>
          <w:sz w:val="24"/>
        </w:rPr>
        <w:t>：資產負債表</w:t>
      </w:r>
      <w:r w:rsidRPr="00E224E9">
        <w:rPr>
          <w:rFonts w:ascii="Book Antiqua" w:hAnsi="Book Antiqua"/>
          <w:color w:val="000000" w:themeColor="text1"/>
          <w:sz w:val="24"/>
        </w:rPr>
        <w:t>」</w:t>
      </w:r>
      <w:r w:rsidRPr="00E224E9">
        <w:rPr>
          <w:rFonts w:ascii="Book Antiqua" w:hAnsi="Book Antiqua" w:hint="eastAsia"/>
          <w:color w:val="000000" w:themeColor="text1"/>
          <w:sz w:val="24"/>
        </w:rPr>
        <w:t>第</w:t>
      </w:r>
      <w:r w:rsidRPr="00E224E9">
        <w:rPr>
          <w:rFonts w:ascii="Book Antiqua" w:hAnsi="Book Antiqua" w:hint="eastAsia"/>
          <w:color w:val="000000" w:themeColor="text1"/>
          <w:sz w:val="24"/>
        </w:rPr>
        <w:t>98</w:t>
      </w:r>
      <w:r w:rsidRPr="00E224E9">
        <w:rPr>
          <w:rFonts w:ascii="Book Antiqua" w:hAnsi="Book Antiqua" w:hint="eastAsia"/>
          <w:color w:val="000000" w:themeColor="text1"/>
          <w:sz w:val="24"/>
        </w:rPr>
        <w:t>列第</w:t>
      </w:r>
      <w:r w:rsidRPr="00E224E9">
        <w:rPr>
          <w:rFonts w:ascii="Book Antiqua" w:hAnsi="Book Antiqua" w:hint="eastAsia"/>
          <w:color w:val="000000" w:themeColor="text1"/>
          <w:sz w:val="24"/>
        </w:rPr>
        <w:t>4</w:t>
      </w:r>
      <w:r w:rsidRPr="00E224E9">
        <w:rPr>
          <w:rFonts w:ascii="Book Antiqua" w:hAnsi="Book Antiqua" w:hint="eastAsia"/>
          <w:color w:val="000000" w:themeColor="text1"/>
          <w:sz w:val="24"/>
        </w:rPr>
        <w:t>欄</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資產總計帳載金額</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扣除第</w:t>
      </w:r>
      <w:r w:rsidRPr="00E224E9">
        <w:rPr>
          <w:rFonts w:ascii="Book Antiqua" w:hAnsi="Book Antiqua" w:hint="eastAsia"/>
          <w:color w:val="000000" w:themeColor="text1"/>
          <w:sz w:val="24"/>
        </w:rPr>
        <w:t>93</w:t>
      </w:r>
      <w:r w:rsidRPr="00E224E9">
        <w:rPr>
          <w:rFonts w:ascii="Book Antiqua" w:hAnsi="Book Antiqua" w:hint="eastAsia"/>
          <w:color w:val="000000" w:themeColor="text1"/>
          <w:sz w:val="24"/>
        </w:rPr>
        <w:t>列第</w:t>
      </w:r>
      <w:r w:rsidRPr="00E224E9">
        <w:rPr>
          <w:rFonts w:ascii="Book Antiqua" w:hAnsi="Book Antiqua" w:hint="eastAsia"/>
          <w:color w:val="000000" w:themeColor="text1"/>
          <w:sz w:val="24"/>
        </w:rPr>
        <w:t>4</w:t>
      </w:r>
      <w:r w:rsidRPr="00E224E9">
        <w:rPr>
          <w:rFonts w:ascii="Book Antiqua" w:hAnsi="Book Antiqua" w:hint="eastAsia"/>
          <w:color w:val="000000" w:themeColor="text1"/>
          <w:sz w:val="24"/>
        </w:rPr>
        <w:t>欄</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投資型保險商品資產帳載金額</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w:t>
      </w:r>
    </w:p>
    <w:p w14:paraId="2E9D0DC1" w14:textId="77777777" w:rsidR="00E34AD0" w:rsidRPr="00E224E9" w:rsidRDefault="00E34AD0" w:rsidP="00AE4E06">
      <w:pPr>
        <w:spacing w:line="440" w:lineRule="exact"/>
        <w:ind w:leftChars="109" w:left="283" w:firstLine="3"/>
        <w:jc w:val="both"/>
        <w:rPr>
          <w:rFonts w:ascii="Book Antiqua" w:hAnsi="Book Antiqua"/>
          <w:color w:val="000000" w:themeColor="text1"/>
          <w:sz w:val="24"/>
        </w:rPr>
      </w:pPr>
    </w:p>
    <w:p w14:paraId="5A25762F" w14:textId="77777777" w:rsidR="00EF687F" w:rsidRPr="00E224E9" w:rsidRDefault="00EF687F" w:rsidP="00EF687F">
      <w:pPr>
        <w:spacing w:line="440" w:lineRule="exact"/>
        <w:ind w:leftChars="109" w:left="283" w:firstLine="426"/>
        <w:jc w:val="both"/>
        <w:rPr>
          <w:rFonts w:ascii="Book Antiqua" w:hAnsi="Book Antiqua"/>
          <w:color w:val="000000" w:themeColor="text1"/>
        </w:rPr>
      </w:pPr>
      <w:r w:rsidRPr="00E224E9">
        <w:rPr>
          <w:rFonts w:ascii="Book Antiqua" w:hAnsi="Book Antiqua" w:hint="eastAsia"/>
          <w:color w:val="000000" w:themeColor="text1"/>
          <w:sz w:val="24"/>
        </w:rPr>
        <w:t>於填報當年半年度報表時，前期係指前一年度餘額；於填報當年度報表時，前期係指當年半年度餘額。</w:t>
      </w:r>
    </w:p>
    <w:p w14:paraId="6A33D771" w14:textId="77777777" w:rsidR="00065C53" w:rsidRPr="00E224E9" w:rsidRDefault="00065C53" w:rsidP="00F3152E">
      <w:pPr>
        <w:pStyle w:val="1"/>
        <w:spacing w:after="120" w:line="440" w:lineRule="exact"/>
        <w:jc w:val="both"/>
        <w:rPr>
          <w:color w:val="000000" w:themeColor="text1"/>
        </w:rPr>
      </w:pPr>
      <w:r w:rsidRPr="00E224E9">
        <w:rPr>
          <w:b w:val="0"/>
          <w:bCs w:val="0"/>
          <w:color w:val="000000" w:themeColor="text1"/>
          <w:sz w:val="24"/>
          <w:szCs w:val="24"/>
        </w:rPr>
        <w:br w:type="page"/>
      </w:r>
      <w:bookmarkStart w:id="113" w:name="_Toc219262251"/>
      <w:bookmarkStart w:id="114" w:name="_Toc200468548"/>
      <w:r w:rsidRPr="00E224E9">
        <w:rPr>
          <w:color w:val="000000" w:themeColor="text1"/>
        </w:rPr>
        <w:lastRenderedPageBreak/>
        <w:t>表30-2：C0：資產風險－關係人風險</w:t>
      </w:r>
      <w:bookmarkEnd w:id="111"/>
      <w:r w:rsidRPr="00E224E9">
        <w:rPr>
          <w:color w:val="000000" w:themeColor="text1"/>
        </w:rPr>
        <w:t>計算表</w:t>
      </w:r>
      <w:bookmarkEnd w:id="112"/>
      <w:bookmarkEnd w:id="113"/>
      <w:bookmarkEnd w:id="114"/>
    </w:p>
    <w:p w14:paraId="61DCF93E" w14:textId="77777777" w:rsidR="00065C53" w:rsidRPr="00E224E9" w:rsidRDefault="00065C53">
      <w:pPr>
        <w:pStyle w:val="Layer1"/>
        <w:spacing w:line="440" w:lineRule="exact"/>
        <w:rPr>
          <w:rFonts w:ascii="Book Antiqua" w:hAnsi="Book Antiqua"/>
          <w:color w:val="000000" w:themeColor="text1"/>
          <w:sz w:val="24"/>
        </w:rPr>
      </w:pPr>
      <w:r w:rsidRPr="00E224E9">
        <w:rPr>
          <w:rFonts w:ascii="Book Antiqua" w:hAnsi="Book Antiqua"/>
          <w:color w:val="000000" w:themeColor="text1"/>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14:paraId="7552AEA4" w14:textId="77777777" w:rsidR="00065C53" w:rsidRPr="00E224E9" w:rsidRDefault="00065C53">
      <w:pPr>
        <w:spacing w:line="440" w:lineRule="exact"/>
        <w:ind w:firstLineChars="225" w:firstLine="540"/>
        <w:jc w:val="both"/>
        <w:rPr>
          <w:rFonts w:ascii="Book Antiqua" w:hAnsi="Book Antiqua"/>
          <w:color w:val="000000" w:themeColor="text1"/>
          <w:sz w:val="24"/>
        </w:rPr>
      </w:pPr>
      <w:r w:rsidRPr="00E224E9">
        <w:rPr>
          <w:rFonts w:ascii="Book Antiqua" w:hAnsi="Book Antiqua"/>
          <w:color w:val="000000" w:themeColor="text1"/>
          <w:sz w:val="24"/>
        </w:rPr>
        <w:t>本表之關係人風險資本額係「一般帳戶資產」以及「勞退年金分離帳戶資產」之風險資本額加總之和。風險資本額係按人身保險業資本適足性相關填報表格所記載之金額</w:t>
      </w:r>
      <w:r w:rsidRPr="00E224E9">
        <w:rPr>
          <w:rFonts w:ascii="Book Antiqua" w:hAnsi="Book Antiqua"/>
          <w:color w:val="000000" w:themeColor="text1"/>
          <w:sz w:val="24"/>
        </w:rPr>
        <w:t>(</w:t>
      </w:r>
      <w:r w:rsidRPr="00E224E9">
        <w:rPr>
          <w:rFonts w:ascii="Book Antiqua" w:hAnsi="Book Antiqua"/>
          <w:color w:val="000000" w:themeColor="text1"/>
          <w:sz w:val="24"/>
        </w:rPr>
        <w:t>請參見「資料來源」一欄</w:t>
      </w:r>
      <w:r w:rsidRPr="00E224E9">
        <w:rPr>
          <w:rFonts w:ascii="Book Antiqua" w:hAnsi="Book Antiqua"/>
          <w:color w:val="000000" w:themeColor="text1"/>
          <w:sz w:val="24"/>
        </w:rPr>
        <w:t>)</w:t>
      </w:r>
      <w:r w:rsidRPr="00E224E9">
        <w:rPr>
          <w:rFonts w:ascii="Book Antiqua" w:hAnsi="Book Antiqua"/>
          <w:color w:val="000000" w:themeColor="text1"/>
          <w:sz w:val="24"/>
        </w:rPr>
        <w:t>乘以其所對應之風險係數計算而得。</w:t>
      </w:r>
    </w:p>
    <w:p w14:paraId="0002B1BC" w14:textId="77777777" w:rsidR="00065C53" w:rsidRPr="00E224E9" w:rsidRDefault="00065C53">
      <w:pPr>
        <w:spacing w:line="440" w:lineRule="exact"/>
        <w:ind w:firstLineChars="225" w:firstLine="540"/>
        <w:jc w:val="both"/>
        <w:rPr>
          <w:rFonts w:ascii="Book Antiqua" w:hAnsi="Book Antiqua"/>
          <w:color w:val="000000" w:themeColor="text1"/>
          <w:sz w:val="24"/>
        </w:rPr>
      </w:pPr>
    </w:p>
    <w:p w14:paraId="026918FF"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Book Antiqua"/>
          <w:color w:val="000000" w:themeColor="text1"/>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E224E9">
        <w:rPr>
          <w:rFonts w:ascii="Book Antiqua" w:hAnsi="Book Antiqua"/>
          <w:color w:val="000000" w:themeColor="text1"/>
          <w:sz w:val="24"/>
        </w:rPr>
        <w:t>03</w:t>
      </w:r>
      <w:r w:rsidR="0032067D" w:rsidRPr="00E224E9">
        <w:rPr>
          <w:rFonts w:ascii="Book Antiqua" w:hAnsi="Book Antiqua"/>
          <w:color w:val="000000" w:themeColor="text1"/>
          <w:sz w:val="24"/>
        </w:rPr>
        <w:t>：資產負債表「</w:t>
      </w:r>
      <w:r w:rsidR="0032067D" w:rsidRPr="00E224E9">
        <w:rPr>
          <w:rFonts w:ascii="Book Antiqua" w:hAnsi="Book Antiqua" w:hint="eastAsia"/>
          <w:color w:val="000000" w:themeColor="text1"/>
          <w:sz w:val="24"/>
        </w:rPr>
        <w:t>三</w:t>
      </w:r>
      <w:r w:rsidRPr="00E224E9">
        <w:rPr>
          <w:rFonts w:ascii="Book Antiqua" w:hAnsi="Book Antiqua"/>
          <w:color w:val="000000" w:themeColor="text1"/>
          <w:sz w:val="24"/>
        </w:rPr>
        <w:t>、關係人之定義及分類說明」之規定。</w:t>
      </w:r>
    </w:p>
    <w:p w14:paraId="14F09BBF" w14:textId="77777777" w:rsidR="00065C53" w:rsidRPr="00E224E9" w:rsidRDefault="00065C53">
      <w:pPr>
        <w:pStyle w:val="a7"/>
        <w:spacing w:after="0" w:line="440" w:lineRule="exact"/>
        <w:ind w:left="520"/>
        <w:jc w:val="both"/>
        <w:rPr>
          <w:rFonts w:ascii="Book Antiqua" w:hAnsi="Book Antiqua"/>
          <w:color w:val="000000" w:themeColor="text1"/>
          <w:sz w:val="24"/>
        </w:rPr>
      </w:pPr>
    </w:p>
    <w:p w14:paraId="6D93BD09" w14:textId="77777777" w:rsidR="00065C53" w:rsidRPr="00E224E9" w:rsidRDefault="00DB6029">
      <w:pPr>
        <w:pStyle w:val="Layer1"/>
        <w:spacing w:line="440" w:lineRule="exact"/>
        <w:rPr>
          <w:rFonts w:ascii="Book Antiqua" w:hAnsi="Book Antiqua"/>
          <w:color w:val="000000" w:themeColor="text1"/>
          <w:sz w:val="24"/>
        </w:rPr>
      </w:pPr>
      <w:r w:rsidRPr="00E224E9">
        <w:rPr>
          <w:rFonts w:ascii="Book Antiqua" w:hAnsi="Book Antiqua"/>
          <w:color w:val="000000" w:themeColor="text1"/>
          <w:sz w:val="24"/>
        </w:rPr>
        <w:t>本表將關係人分為「</w:t>
      </w:r>
      <w:r w:rsidRPr="00E224E9">
        <w:rPr>
          <w:rFonts w:ascii="Book Antiqua" w:hAnsi="Book Antiqua" w:hint="eastAsia"/>
          <w:color w:val="000000" w:themeColor="text1"/>
          <w:sz w:val="24"/>
        </w:rPr>
        <w:t>0.1</w:t>
      </w:r>
      <w:r w:rsidRPr="00E224E9">
        <w:rPr>
          <w:rFonts w:ascii="Book Antiqua" w:hAnsi="Book Antiqua"/>
          <w:color w:val="000000" w:themeColor="text1"/>
          <w:sz w:val="24"/>
        </w:rPr>
        <w:t>具控制與從屬關係」與「</w:t>
      </w:r>
      <w:r w:rsidRPr="00E224E9">
        <w:rPr>
          <w:rFonts w:ascii="Book Antiqua" w:hAnsi="Book Antiqua" w:hint="eastAsia"/>
          <w:color w:val="000000" w:themeColor="text1"/>
          <w:sz w:val="24"/>
        </w:rPr>
        <w:t>0.2</w:t>
      </w:r>
      <w:r w:rsidRPr="00E224E9">
        <w:rPr>
          <w:rFonts w:ascii="Book Antiqua" w:hAnsi="Book Antiqua"/>
          <w:color w:val="000000" w:themeColor="text1"/>
          <w:sz w:val="24"/>
        </w:rPr>
        <w:t>非控制與從屬關係」二大類，各類別下再依投資標的種類區分為各風險細目，分別按人身保險業資本適足性相關填報表格所記錄的金額及規定之風險係數計算風險資本額。</w:t>
      </w:r>
      <w:r w:rsidRPr="00E224E9">
        <w:rPr>
          <w:rFonts w:ascii="Book Antiqua" w:hAnsi="Book Antiqua" w:hint="eastAsia"/>
          <w:color w:val="000000" w:themeColor="text1"/>
          <w:sz w:val="24"/>
        </w:rPr>
        <w:t>並另於「</w:t>
      </w:r>
      <w:r w:rsidRPr="00E224E9">
        <w:rPr>
          <w:rFonts w:ascii="Book Antiqua" w:hAnsi="Book Antiqua" w:hint="eastAsia"/>
          <w:color w:val="000000" w:themeColor="text1"/>
          <w:sz w:val="24"/>
        </w:rPr>
        <w:t xml:space="preserve">0.3 </w:t>
      </w:r>
      <w:r w:rsidRPr="00E224E9">
        <w:rPr>
          <w:rFonts w:ascii="Book Antiqua" w:hAnsi="Book Antiqua" w:hint="eastAsia"/>
          <w:color w:val="000000" w:themeColor="text1"/>
          <w:sz w:val="24"/>
        </w:rPr>
        <w:t>匯率風險」計算關係人國外資產之匯率風險。</w:t>
      </w:r>
    </w:p>
    <w:p w14:paraId="57C7E10D" w14:textId="77777777" w:rsidR="00065C53" w:rsidRPr="00E224E9" w:rsidRDefault="00065C53">
      <w:pPr>
        <w:pStyle w:val="Layer1"/>
        <w:spacing w:line="440" w:lineRule="exact"/>
        <w:rPr>
          <w:rFonts w:ascii="Book Antiqua" w:hAnsi="Book Antiqua"/>
          <w:color w:val="000000" w:themeColor="text1"/>
          <w:sz w:val="24"/>
        </w:rPr>
      </w:pPr>
    </w:p>
    <w:p w14:paraId="2A11A763" w14:textId="77777777" w:rsidR="00065C53" w:rsidRPr="00E224E9" w:rsidRDefault="00065C53">
      <w:pPr>
        <w:pStyle w:val="Layer1"/>
        <w:spacing w:line="440" w:lineRule="exact"/>
        <w:rPr>
          <w:rFonts w:ascii="Book Antiqua" w:hAnsi="Book Antiqua"/>
          <w:color w:val="000000" w:themeColor="text1"/>
          <w:sz w:val="24"/>
        </w:rPr>
      </w:pPr>
      <w:r w:rsidRPr="00E224E9">
        <w:rPr>
          <w:rFonts w:ascii="Book Antiqua" w:hAnsi="Book Antiqua"/>
          <w:color w:val="000000" w:themeColor="text1"/>
          <w:sz w:val="24"/>
        </w:rPr>
        <w:t>此外，若以相關資產抵充存出保證金者，分別按其存出資產之類型歸類於以下適當分類項目之中。若相關資產係以全權委託投資業務運用者</w:t>
      </w:r>
      <w:r w:rsidRPr="00E224E9">
        <w:rPr>
          <w:rFonts w:ascii="Book Antiqua" w:hAnsi="Book Antiqua"/>
          <w:color w:val="000000" w:themeColor="text1"/>
          <w:sz w:val="24"/>
        </w:rPr>
        <w:t>(</w:t>
      </w:r>
      <w:r w:rsidRPr="00E224E9">
        <w:rPr>
          <w:rFonts w:ascii="Book Antiqua" w:hAnsi="Book Antiqua"/>
          <w:color w:val="000000" w:themeColor="text1"/>
          <w:sz w:val="24"/>
        </w:rPr>
        <w:t>即委外操作</w:t>
      </w:r>
      <w:r w:rsidRPr="00E224E9">
        <w:rPr>
          <w:rFonts w:ascii="Book Antiqua" w:hAnsi="Book Antiqua"/>
          <w:color w:val="000000" w:themeColor="text1"/>
          <w:sz w:val="24"/>
        </w:rPr>
        <w:t>)</w:t>
      </w:r>
      <w:r w:rsidRPr="00E224E9">
        <w:rPr>
          <w:rFonts w:ascii="Book Antiqua" w:hAnsi="Book Antiqua"/>
          <w:color w:val="000000" w:themeColor="text1"/>
          <w:sz w:val="24"/>
        </w:rPr>
        <w:t>，分別按其投資之標的物歸類於以下適當分類項目之中。</w:t>
      </w:r>
    </w:p>
    <w:p w14:paraId="16DF1D79" w14:textId="5FA1F4B8" w:rsidR="00AC7720" w:rsidRPr="00E224E9" w:rsidRDefault="00AC7720">
      <w:pPr>
        <w:pStyle w:val="Layer1"/>
        <w:spacing w:line="440" w:lineRule="exact"/>
        <w:rPr>
          <w:rFonts w:ascii="Book Antiqua" w:hAnsi="Book Antiqua"/>
          <w:color w:val="000000" w:themeColor="text1"/>
          <w:sz w:val="24"/>
        </w:rPr>
      </w:pPr>
      <w:r w:rsidRPr="00E224E9">
        <w:rPr>
          <w:rFonts w:ascii="Book Antiqua" w:hAnsi="Book Antiqua" w:hint="eastAsia"/>
          <w:color w:val="000000" w:themeColor="text1"/>
          <w:sz w:val="24"/>
        </w:rPr>
        <w:t>113.1.1</w:t>
      </w:r>
      <w:r w:rsidRPr="00E224E9">
        <w:rPr>
          <w:rFonts w:ascii="Book Antiqua" w:hAnsi="Book Antiqua" w:hint="eastAsia"/>
          <w:color w:val="000000" w:themeColor="text1"/>
          <w:sz w:val="24"/>
        </w:rPr>
        <w:t>起，投資於關係人且屬於國外保險相關事業，投資金額帳上數已從自有資本扣除，故對應之曝險數不計算風險資本。</w:t>
      </w:r>
    </w:p>
    <w:p w14:paraId="42D5FEEE" w14:textId="77777777" w:rsidR="00AC7720" w:rsidRPr="00E224E9" w:rsidRDefault="00AC7720">
      <w:pPr>
        <w:pStyle w:val="Layer1"/>
        <w:spacing w:line="440" w:lineRule="exact"/>
        <w:rPr>
          <w:rFonts w:ascii="Book Antiqua" w:hAnsi="Book Antiqua"/>
          <w:color w:val="000000" w:themeColor="text1"/>
          <w:sz w:val="24"/>
        </w:rPr>
      </w:pPr>
    </w:p>
    <w:p w14:paraId="024F3784" w14:textId="77777777" w:rsidR="00065C53" w:rsidRPr="00E224E9" w:rsidRDefault="00065C53">
      <w:pPr>
        <w:pStyle w:val="Layer2"/>
        <w:spacing w:line="440" w:lineRule="exact"/>
        <w:jc w:val="both"/>
        <w:rPr>
          <w:rFonts w:ascii="Book Antiqua" w:hAnsi="Book Antiqua"/>
          <w:color w:val="000000" w:themeColor="text1"/>
        </w:rPr>
      </w:pPr>
      <w:bookmarkStart w:id="115" w:name="_Toc7492323"/>
      <w:r w:rsidRPr="00E224E9">
        <w:rPr>
          <w:rFonts w:ascii="Book Antiqua" w:hAnsi="Book Antiqua"/>
          <w:color w:val="000000" w:themeColor="text1"/>
        </w:rPr>
        <w:t>0.1</w:t>
      </w:r>
      <w:r w:rsidRPr="00E224E9">
        <w:rPr>
          <w:rFonts w:ascii="Book Antiqua" w:hAnsi="Book Antiqua"/>
          <w:color w:val="000000" w:themeColor="text1"/>
        </w:rPr>
        <w:t>具控制與從屬關係之關係人交易</w:t>
      </w:r>
      <w:bookmarkEnd w:id="115"/>
    </w:p>
    <w:p w14:paraId="34117F6C" w14:textId="77777777" w:rsidR="00065C53" w:rsidRPr="00E224E9" w:rsidRDefault="00065C53">
      <w:pPr>
        <w:pStyle w:val="Layer3"/>
        <w:spacing w:line="440" w:lineRule="exact"/>
        <w:ind w:leftChars="0" w:left="0" w:firstLineChars="150" w:firstLine="360"/>
        <w:jc w:val="both"/>
        <w:rPr>
          <w:rFonts w:ascii="Book Antiqua" w:hAnsi="Book Antiqua"/>
          <w:color w:val="000000" w:themeColor="text1"/>
        </w:rPr>
      </w:pPr>
      <w:bookmarkStart w:id="116" w:name="_Toc7492324"/>
      <w:r w:rsidRPr="00E224E9">
        <w:rPr>
          <w:rFonts w:ascii="Book Antiqua" w:hAnsi="Book Antiqua"/>
          <w:color w:val="000000" w:themeColor="text1"/>
        </w:rPr>
        <w:t>0.1.1</w:t>
      </w:r>
      <w:r w:rsidRPr="00E224E9">
        <w:rPr>
          <w:rFonts w:ascii="Book Antiqua" w:hAnsi="Book Antiqua"/>
          <w:color w:val="000000" w:themeColor="text1"/>
        </w:rPr>
        <w:t>投資股票</w:t>
      </w:r>
      <w:bookmarkEnd w:id="116"/>
    </w:p>
    <w:p w14:paraId="1E521C1E" w14:textId="77777777" w:rsidR="00065C53" w:rsidRPr="00E224E9" w:rsidRDefault="00065C53">
      <w:pPr>
        <w:pStyle w:val="Item1"/>
        <w:spacing w:line="440" w:lineRule="exact"/>
        <w:ind w:left="1455" w:hangingChars="200" w:hanging="480"/>
        <w:jc w:val="both"/>
        <w:rPr>
          <w:rFonts w:ascii="Book Antiqua" w:hAnsi="Book Antiqua"/>
          <w:color w:val="000000" w:themeColor="text1"/>
          <w:sz w:val="24"/>
        </w:rPr>
      </w:pPr>
      <w:r w:rsidRPr="00E224E9">
        <w:rPr>
          <w:rFonts w:ascii="Book Antiqua" w:hAnsi="Book Antiqua"/>
          <w:color w:val="000000" w:themeColor="text1"/>
          <w:sz w:val="24"/>
        </w:rPr>
        <w:t>一、本項目包含</w:t>
      </w:r>
      <w:r w:rsidRPr="00E224E9">
        <w:rPr>
          <w:rFonts w:ascii="Book Antiqua" w:hAnsi="Book Antiqua"/>
          <w:color w:val="000000" w:themeColor="text1"/>
          <w:sz w:val="24"/>
        </w:rPr>
        <w:t>(1)</w:t>
      </w:r>
      <w:r w:rsidRPr="00E224E9">
        <w:rPr>
          <w:rFonts w:ascii="Book Antiqua" w:hAnsi="Book Antiqua"/>
          <w:color w:val="000000" w:themeColor="text1"/>
          <w:sz w:val="24"/>
        </w:rPr>
        <w:t>人身保險業為母公司持有子公司股份、</w:t>
      </w:r>
      <w:r w:rsidRPr="00E224E9">
        <w:rPr>
          <w:rFonts w:ascii="Book Antiqua" w:hAnsi="Book Antiqua"/>
          <w:color w:val="000000" w:themeColor="text1"/>
          <w:sz w:val="24"/>
        </w:rPr>
        <w:t>(2)</w:t>
      </w:r>
      <w:r w:rsidRPr="00E224E9">
        <w:rPr>
          <w:rFonts w:ascii="Book Antiqua" w:hAnsi="Book Antiqua"/>
          <w:color w:val="000000" w:themeColor="text1"/>
          <w:sz w:val="24"/>
        </w:rPr>
        <w:t>人身保險業為子公司持有母公司股份、</w:t>
      </w:r>
      <w:r w:rsidRPr="00E224E9">
        <w:rPr>
          <w:rFonts w:ascii="Book Antiqua" w:hAnsi="Book Antiqua"/>
          <w:color w:val="000000" w:themeColor="text1"/>
          <w:sz w:val="24"/>
        </w:rPr>
        <w:t>(3)</w:t>
      </w:r>
      <w:r w:rsidRPr="00E224E9">
        <w:rPr>
          <w:rFonts w:ascii="Book Antiqua" w:hAnsi="Book Antiqua"/>
          <w:color w:val="000000" w:themeColor="text1"/>
          <w:sz w:val="24"/>
        </w:rPr>
        <w:t>採權益法評價之創業投資</w:t>
      </w:r>
    </w:p>
    <w:p w14:paraId="4F0D791F" w14:textId="19C794E4" w:rsidR="00065C53" w:rsidRPr="00E224E9" w:rsidRDefault="00065C53">
      <w:pPr>
        <w:pStyle w:val="Item1"/>
        <w:spacing w:line="440" w:lineRule="exact"/>
        <w:ind w:left="1455" w:hangingChars="200" w:hanging="480"/>
        <w:jc w:val="both"/>
        <w:rPr>
          <w:rFonts w:ascii="Book Antiqua" w:hAnsi="Book Antiqua"/>
          <w:color w:val="000000" w:themeColor="text1"/>
          <w:sz w:val="24"/>
        </w:rPr>
      </w:pPr>
      <w:r w:rsidRPr="00E224E9">
        <w:rPr>
          <w:rFonts w:ascii="Book Antiqua" w:hAnsi="Book Antiqua"/>
          <w:color w:val="000000" w:themeColor="text1"/>
          <w:sz w:val="24"/>
        </w:rPr>
        <w:lastRenderedPageBreak/>
        <w:t>二、依據業務相關性，將具控制與從屬關係之關係人交易之投資股票分為二類：第一類</w:t>
      </w:r>
      <w:r w:rsidRPr="00E224E9">
        <w:rPr>
          <w:rFonts w:ascii="Book Antiqua" w:hAnsi="Book Antiqua"/>
          <w:color w:val="000000" w:themeColor="text1"/>
          <w:sz w:val="24"/>
        </w:rPr>
        <w:t>.</w:t>
      </w:r>
      <w:r w:rsidRPr="00E224E9">
        <w:rPr>
          <w:rFonts w:ascii="Book Antiqua" w:hAnsi="Book Antiqua"/>
          <w:color w:val="000000" w:themeColor="text1"/>
          <w:sz w:val="24"/>
        </w:rPr>
        <w:t>投資保險相關事業，其中第一類又分為：</w:t>
      </w:r>
      <w:r w:rsidRPr="00E224E9">
        <w:rPr>
          <w:rFonts w:ascii="Book Antiqua" w:hAnsi="Book Antiqua"/>
          <w:color w:val="000000" w:themeColor="text1"/>
          <w:sz w:val="24"/>
        </w:rPr>
        <w:t>(1)</w:t>
      </w:r>
      <w:r w:rsidRPr="00E224E9">
        <w:rPr>
          <w:rFonts w:ascii="Book Antiqua" w:hAnsi="Book Antiqua"/>
          <w:color w:val="000000" w:themeColor="text1"/>
          <w:sz w:val="24"/>
        </w:rPr>
        <w:t>國內保險相關事業及</w:t>
      </w:r>
      <w:r w:rsidRPr="00E224E9">
        <w:rPr>
          <w:rFonts w:ascii="Book Antiqua" w:hAnsi="Book Antiqua"/>
          <w:color w:val="000000" w:themeColor="text1"/>
          <w:sz w:val="24"/>
        </w:rPr>
        <w:t>(2)</w:t>
      </w:r>
      <w:r w:rsidRPr="00E224E9">
        <w:rPr>
          <w:rFonts w:ascii="Book Antiqua" w:hAnsi="Book Antiqua"/>
          <w:color w:val="000000" w:themeColor="text1"/>
          <w:sz w:val="24"/>
        </w:rPr>
        <w:t>國外保險相關事業。第二類</w:t>
      </w:r>
      <w:r w:rsidRPr="00E224E9">
        <w:rPr>
          <w:rFonts w:ascii="Book Antiqua" w:hAnsi="Book Antiqua"/>
          <w:color w:val="000000" w:themeColor="text1"/>
          <w:sz w:val="24"/>
        </w:rPr>
        <w:t>.</w:t>
      </w:r>
      <w:r w:rsidRPr="00E224E9">
        <w:rPr>
          <w:rFonts w:ascii="Book Antiqua" w:hAnsi="Book Antiqua"/>
          <w:color w:val="000000" w:themeColor="text1"/>
          <w:sz w:val="24"/>
        </w:rPr>
        <w:t>投資非保險相關事業，其中第二類又分為：</w:t>
      </w:r>
      <w:r w:rsidRPr="00E224E9">
        <w:rPr>
          <w:rFonts w:ascii="Book Antiqua" w:hAnsi="Book Antiqua"/>
          <w:color w:val="000000" w:themeColor="text1"/>
          <w:sz w:val="24"/>
        </w:rPr>
        <w:t>(1)</w:t>
      </w:r>
      <w:r w:rsidRPr="00E224E9">
        <w:rPr>
          <w:rFonts w:ascii="Book Antiqua" w:hAnsi="Book Antiqua"/>
          <w:color w:val="000000" w:themeColor="text1"/>
          <w:sz w:val="24"/>
        </w:rPr>
        <w:t>國內非保險相關事業及</w:t>
      </w:r>
      <w:r w:rsidRPr="00E224E9">
        <w:rPr>
          <w:rFonts w:ascii="Book Antiqua" w:hAnsi="Book Antiqua"/>
          <w:color w:val="000000" w:themeColor="text1"/>
          <w:sz w:val="24"/>
        </w:rPr>
        <w:t>(2)</w:t>
      </w:r>
      <w:r w:rsidRPr="00E224E9">
        <w:rPr>
          <w:rFonts w:ascii="Book Antiqua" w:hAnsi="Book Antiqua"/>
          <w:color w:val="000000" w:themeColor="text1"/>
          <w:sz w:val="24"/>
        </w:rPr>
        <w:t>國外非保險相關事業。分別按「表</w:t>
      </w:r>
      <w:r w:rsidRPr="00E224E9">
        <w:rPr>
          <w:rFonts w:ascii="Book Antiqua" w:hAnsi="Book Antiqua"/>
          <w:color w:val="000000" w:themeColor="text1"/>
          <w:sz w:val="24"/>
        </w:rPr>
        <w:t>10-3</w:t>
      </w:r>
      <w:r w:rsidRPr="00E224E9">
        <w:rPr>
          <w:rFonts w:ascii="Book Antiqua" w:hAnsi="Book Antiqua"/>
          <w:color w:val="000000" w:themeColor="text1"/>
          <w:sz w:val="24"/>
        </w:rPr>
        <w:t>：關係人股票投資明細表」之相關欄位金額及其所對應之風險係數計算風險資本額。</w:t>
      </w:r>
    </w:p>
    <w:p w14:paraId="52EC8C60" w14:textId="77777777" w:rsidR="00065C53" w:rsidRPr="00E224E9" w:rsidRDefault="00065C53">
      <w:pPr>
        <w:pStyle w:val="Item1"/>
        <w:spacing w:line="440" w:lineRule="exact"/>
        <w:ind w:leftChars="553" w:left="1452" w:hangingChars="6" w:hanging="14"/>
        <w:jc w:val="both"/>
        <w:rPr>
          <w:rFonts w:ascii="Book Antiqua" w:hAnsi="Book Antiqua"/>
          <w:color w:val="000000" w:themeColor="text1"/>
          <w:sz w:val="24"/>
        </w:rPr>
      </w:pPr>
      <w:r w:rsidRPr="00E224E9">
        <w:rPr>
          <w:rFonts w:ascii="Book Antiqua" w:hAnsi="Book Antiqua"/>
          <w:color w:val="000000" w:themeColor="text1"/>
          <w:sz w:val="24"/>
        </w:rPr>
        <w:t>有關上述各業別之股票投資定義說明如下：</w:t>
      </w:r>
    </w:p>
    <w:p w14:paraId="57D23137" w14:textId="77777777" w:rsidR="00065C53" w:rsidRPr="00E224E9" w:rsidRDefault="00065C53" w:rsidP="004373AD">
      <w:pPr>
        <w:pStyle w:val="Item1"/>
        <w:numPr>
          <w:ilvl w:val="0"/>
          <w:numId w:val="15"/>
        </w:numPr>
        <w:tabs>
          <w:tab w:val="clear" w:pos="1022"/>
          <w:tab w:val="num" w:pos="1980"/>
        </w:tabs>
        <w:spacing w:line="440" w:lineRule="exact"/>
        <w:ind w:leftChars="0" w:left="1980" w:firstLineChars="0" w:hanging="540"/>
        <w:jc w:val="both"/>
        <w:rPr>
          <w:rFonts w:ascii="Book Antiqua" w:hAnsi="Book Antiqua"/>
          <w:color w:val="000000" w:themeColor="text1"/>
          <w:sz w:val="24"/>
        </w:rPr>
      </w:pPr>
      <w:r w:rsidRPr="00E224E9">
        <w:rPr>
          <w:rFonts w:ascii="Book Antiqua" w:hAnsi="Book Antiqua"/>
          <w:color w:val="000000" w:themeColor="text1"/>
          <w:sz w:val="24"/>
        </w:rPr>
        <w:t>0.1.1.1</w:t>
      </w:r>
      <w:r w:rsidRPr="00E224E9">
        <w:rPr>
          <w:rFonts w:ascii="Book Antiqua" w:hAnsi="Book Antiqua"/>
          <w:color w:val="000000" w:themeColor="text1"/>
          <w:sz w:val="24"/>
        </w:rPr>
        <w:t>投資保險相關事業：係指</w:t>
      </w:r>
      <w:r w:rsidRPr="00E224E9">
        <w:rPr>
          <w:rFonts w:ascii="Book Antiqua" w:hAnsi="Book Antiqua"/>
          <w:color w:val="000000" w:themeColor="text1"/>
          <w:sz w:val="24"/>
        </w:rPr>
        <w:t>(1)</w:t>
      </w:r>
      <w:r w:rsidRPr="00E224E9">
        <w:rPr>
          <w:rFonts w:ascii="Book Antiqua" w:hAnsi="Book Antiqua"/>
          <w:color w:val="000000" w:themeColor="text1"/>
          <w:sz w:val="24"/>
        </w:rPr>
        <w:t>、依保險法組織登記，以經營人身保險為業之機構。所稱「人身保險」包括人壽保險、健康保險、傷害保險及年金保險。</w:t>
      </w:r>
      <w:r w:rsidRPr="00E224E9">
        <w:rPr>
          <w:rFonts w:ascii="Book Antiqua" w:hAnsi="Book Antiqua"/>
          <w:color w:val="000000" w:themeColor="text1"/>
          <w:sz w:val="24"/>
        </w:rPr>
        <w:t>(2)</w:t>
      </w:r>
      <w:r w:rsidRPr="00E224E9">
        <w:rPr>
          <w:rFonts w:ascii="Book Antiqua" w:hAnsi="Book Antiqua"/>
          <w:color w:val="000000" w:themeColor="text1"/>
          <w:sz w:val="24"/>
        </w:rPr>
        <w:t>、產險：係指依保險法組織登記，以經營財產保險為業之機構。所稱「財產保險」包括火災保險、海上保險、陸空保險、責任保險、保證保險及經主管機關核准之其他保險。</w:t>
      </w:r>
      <w:r w:rsidRPr="00E224E9">
        <w:rPr>
          <w:rFonts w:ascii="Book Antiqua" w:hAnsi="Book Antiqua"/>
          <w:color w:val="000000" w:themeColor="text1"/>
          <w:sz w:val="24"/>
        </w:rPr>
        <w:t>(3)</w:t>
      </w:r>
      <w:r w:rsidRPr="00E224E9">
        <w:rPr>
          <w:rFonts w:ascii="Book Antiqua" w:hAnsi="Book Antiqua"/>
          <w:color w:val="000000" w:themeColor="text1"/>
          <w:sz w:val="24"/>
        </w:rPr>
        <w:t>、專業再保險：依保險法第六條規定設立，專以經營保險法第三十九條所稱再保險為業之專業再保險業。</w:t>
      </w:r>
      <w:r w:rsidRPr="00E224E9">
        <w:rPr>
          <w:rFonts w:ascii="Book Antiqua" w:hAnsi="Book Antiqua"/>
          <w:color w:val="000000" w:themeColor="text1"/>
          <w:sz w:val="24"/>
        </w:rPr>
        <w:t>(4)</w:t>
      </w:r>
      <w:r w:rsidRPr="00E224E9">
        <w:rPr>
          <w:rFonts w:ascii="Book Antiqua" w:hAnsi="Book Antiqua"/>
          <w:color w:val="000000" w:themeColor="text1"/>
          <w:sz w:val="24"/>
        </w:rPr>
        <w:t>、其他。</w:t>
      </w:r>
    </w:p>
    <w:p w14:paraId="35B6EBDD" w14:textId="77777777" w:rsidR="00065C53" w:rsidRPr="00E224E9" w:rsidRDefault="00065C53" w:rsidP="004373AD">
      <w:pPr>
        <w:pStyle w:val="Item1"/>
        <w:numPr>
          <w:ilvl w:val="0"/>
          <w:numId w:val="15"/>
        </w:numPr>
        <w:tabs>
          <w:tab w:val="clear" w:pos="1022"/>
          <w:tab w:val="num" w:pos="1800"/>
          <w:tab w:val="left" w:pos="1980"/>
        </w:tabs>
        <w:spacing w:line="440" w:lineRule="exact"/>
        <w:ind w:leftChars="0" w:left="1980" w:firstLineChars="0" w:hanging="540"/>
        <w:jc w:val="both"/>
        <w:rPr>
          <w:rFonts w:ascii="Book Antiqua" w:hAnsi="Book Antiqua"/>
          <w:color w:val="000000" w:themeColor="text1"/>
          <w:sz w:val="24"/>
        </w:rPr>
      </w:pPr>
      <w:r w:rsidRPr="00E224E9">
        <w:rPr>
          <w:rFonts w:ascii="Book Antiqua" w:hAnsi="Book Antiqua"/>
          <w:color w:val="000000" w:themeColor="text1"/>
          <w:sz w:val="24"/>
        </w:rPr>
        <w:t>0.1.1.2</w:t>
      </w:r>
      <w:r w:rsidRPr="00E224E9">
        <w:rPr>
          <w:rFonts w:ascii="Book Antiqua" w:hAnsi="Book Antiqua"/>
          <w:color w:val="000000" w:themeColor="text1"/>
          <w:sz w:val="24"/>
        </w:rPr>
        <w:t>投資非保險相關事業：分為</w:t>
      </w:r>
      <w:r w:rsidRPr="00E224E9">
        <w:rPr>
          <w:rFonts w:ascii="Book Antiqua" w:hAnsi="Book Antiqua"/>
          <w:color w:val="000000" w:themeColor="text1"/>
          <w:sz w:val="24"/>
        </w:rPr>
        <w:t>(1)</w:t>
      </w:r>
      <w:r w:rsidRPr="00E224E9">
        <w:rPr>
          <w:rFonts w:ascii="Book Antiqua" w:hAnsi="Book Antiqua"/>
          <w:color w:val="000000" w:themeColor="text1"/>
          <w:sz w:val="24"/>
        </w:rPr>
        <w:t>、國內非保險相關事業及</w:t>
      </w:r>
      <w:r w:rsidRPr="00E224E9">
        <w:rPr>
          <w:rFonts w:ascii="Book Antiqua" w:hAnsi="Book Antiqua"/>
          <w:color w:val="000000" w:themeColor="text1"/>
          <w:sz w:val="24"/>
        </w:rPr>
        <w:t>(2)</w:t>
      </w:r>
      <w:r w:rsidRPr="00E224E9">
        <w:rPr>
          <w:rFonts w:ascii="Book Antiqua" w:hAnsi="Book Antiqua"/>
          <w:color w:val="000000" w:themeColor="text1"/>
          <w:sz w:val="24"/>
        </w:rPr>
        <w:t>、國外非保險相關事業。</w:t>
      </w:r>
    </w:p>
    <w:p w14:paraId="458351CE" w14:textId="77777777" w:rsidR="00D50B42" w:rsidRPr="00E224E9" w:rsidRDefault="00065C53">
      <w:pPr>
        <w:pStyle w:val="Item1"/>
        <w:tabs>
          <w:tab w:val="left" w:pos="1980"/>
        </w:tabs>
        <w:spacing w:line="440" w:lineRule="exact"/>
        <w:ind w:leftChars="0" w:left="1440" w:firstLineChars="0" w:firstLine="0"/>
        <w:jc w:val="both"/>
        <w:rPr>
          <w:rFonts w:ascii="Book Antiqua" w:hAnsi="Book Antiqua"/>
          <w:color w:val="000000" w:themeColor="text1"/>
          <w:sz w:val="24"/>
        </w:rPr>
      </w:pPr>
      <w:r w:rsidRPr="00E224E9">
        <w:rPr>
          <w:rFonts w:ascii="Book Antiqua" w:hAnsi="Book Antiqua"/>
          <w:color w:val="000000" w:themeColor="text1"/>
          <w:sz w:val="24"/>
        </w:rPr>
        <w:t>(</w:t>
      </w:r>
      <w:r w:rsidRPr="00E224E9">
        <w:rPr>
          <w:rFonts w:ascii="Book Antiqua" w:hAnsi="Book Antiqua"/>
          <w:color w:val="000000" w:themeColor="text1"/>
          <w:sz w:val="24"/>
        </w:rPr>
        <w:t>註</w:t>
      </w:r>
      <w:r w:rsidR="00D50B42" w:rsidRPr="00E224E9">
        <w:rPr>
          <w:rFonts w:ascii="Book Antiqua" w:hAnsi="Book Antiqua"/>
          <w:color w:val="000000" w:themeColor="text1"/>
          <w:sz w:val="24"/>
        </w:rPr>
        <w:t>)</w:t>
      </w:r>
    </w:p>
    <w:p w14:paraId="59E6217A" w14:textId="77777777" w:rsidR="00065C53" w:rsidRPr="00E224E9" w:rsidRDefault="00065C53" w:rsidP="004373AD">
      <w:pPr>
        <w:pStyle w:val="Item1"/>
        <w:numPr>
          <w:ilvl w:val="1"/>
          <w:numId w:val="34"/>
        </w:numPr>
        <w:tabs>
          <w:tab w:val="left" w:pos="1980"/>
        </w:tabs>
        <w:spacing w:line="440" w:lineRule="exact"/>
        <w:ind w:leftChars="0" w:left="2268" w:firstLineChars="0" w:hanging="283"/>
        <w:jc w:val="both"/>
        <w:rPr>
          <w:rFonts w:ascii="Book Antiqua" w:hAnsi="Book Antiqua"/>
          <w:color w:val="000000" w:themeColor="text1"/>
          <w:sz w:val="24"/>
        </w:rPr>
      </w:pPr>
      <w:r w:rsidRPr="00E224E9">
        <w:rPr>
          <w:rFonts w:ascii="Book Antiqua" w:hAnsi="Book Antiqua"/>
          <w:color w:val="000000" w:themeColor="text1"/>
          <w:sz w:val="24"/>
        </w:rPr>
        <w:t>投資於非採權益法評價之創業投資事業不論是否為保險業之關係人，均係屬「表</w:t>
      </w:r>
      <w:r w:rsidRPr="00E224E9">
        <w:rPr>
          <w:rFonts w:ascii="Book Antiqua" w:hAnsi="Book Antiqua"/>
          <w:color w:val="000000" w:themeColor="text1"/>
          <w:sz w:val="24"/>
        </w:rPr>
        <w:t>30-3</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非關係人風險計算表」之計算範疇。</w:t>
      </w:r>
    </w:p>
    <w:p w14:paraId="6C9F36C2" w14:textId="77777777" w:rsidR="00D50B42" w:rsidRPr="00E224E9" w:rsidRDefault="00D50B42" w:rsidP="004373AD">
      <w:pPr>
        <w:pStyle w:val="Item1"/>
        <w:numPr>
          <w:ilvl w:val="1"/>
          <w:numId w:val="34"/>
        </w:numPr>
        <w:tabs>
          <w:tab w:val="left" w:pos="1980"/>
        </w:tabs>
        <w:spacing w:line="440" w:lineRule="exact"/>
        <w:ind w:leftChars="0" w:left="2268" w:firstLineChars="0" w:hanging="283"/>
        <w:jc w:val="both"/>
        <w:rPr>
          <w:rFonts w:ascii="Book Antiqua" w:hAnsi="Book Antiqua"/>
          <w:color w:val="000000" w:themeColor="text1"/>
          <w:sz w:val="24"/>
        </w:rPr>
      </w:pPr>
      <w:r w:rsidRPr="00E224E9">
        <w:rPr>
          <w:rFonts w:ascii="Book Antiqua" w:hAnsi="Book Antiqua"/>
          <w:color w:val="000000" w:themeColor="text1"/>
          <w:sz w:val="24"/>
        </w:rPr>
        <w:t>大陸地區設立之分公司、子公司或參股投資之大陸地區保險業，雖非屬於保險法第</w:t>
      </w:r>
      <w:r w:rsidRPr="00E224E9">
        <w:rPr>
          <w:rFonts w:ascii="Book Antiqua" w:hAnsi="Book Antiqua"/>
          <w:color w:val="000000" w:themeColor="text1"/>
          <w:sz w:val="24"/>
        </w:rPr>
        <w:t>146</w:t>
      </w:r>
      <w:r w:rsidRPr="00E224E9">
        <w:rPr>
          <w:rFonts w:ascii="Book Antiqua" w:hAnsi="Book Antiqua"/>
          <w:color w:val="000000" w:themeColor="text1"/>
          <w:sz w:val="24"/>
        </w:rPr>
        <w:t>條之</w:t>
      </w:r>
      <w:r w:rsidRPr="00E224E9">
        <w:rPr>
          <w:rFonts w:ascii="Book Antiqua" w:hAnsi="Book Antiqua"/>
          <w:color w:val="000000" w:themeColor="text1"/>
          <w:sz w:val="24"/>
        </w:rPr>
        <w:t>4</w:t>
      </w:r>
      <w:r w:rsidRPr="00E224E9">
        <w:rPr>
          <w:rFonts w:ascii="Book Antiqua" w:hAnsi="Book Antiqua"/>
          <w:color w:val="000000" w:themeColor="text1"/>
          <w:sz w:val="24"/>
        </w:rPr>
        <w:t>規定及同條第</w:t>
      </w:r>
      <w:r w:rsidRPr="00E224E9">
        <w:rPr>
          <w:rFonts w:ascii="Book Antiqua" w:hAnsi="Book Antiqua"/>
          <w:color w:val="000000" w:themeColor="text1"/>
          <w:sz w:val="24"/>
        </w:rPr>
        <w:t>3</w:t>
      </w:r>
      <w:r w:rsidRPr="00E224E9">
        <w:rPr>
          <w:rFonts w:ascii="Book Antiqua" w:hAnsi="Book Antiqua"/>
          <w:color w:val="000000" w:themeColor="text1"/>
          <w:sz w:val="24"/>
        </w:rPr>
        <w:t>項授權訂定之國外投資管理辦法所稱「國外保險相關事業」，惟於填報</w:t>
      </w:r>
      <w:r w:rsidRPr="00E224E9">
        <w:rPr>
          <w:rFonts w:ascii="Book Antiqua" w:hAnsi="Book Antiqua"/>
          <w:color w:val="000000" w:themeColor="text1"/>
          <w:sz w:val="24"/>
        </w:rPr>
        <w:t>RBC</w:t>
      </w:r>
      <w:r w:rsidRPr="00E224E9">
        <w:rPr>
          <w:rFonts w:ascii="Book Antiqua" w:hAnsi="Book Antiqua"/>
          <w:color w:val="000000" w:themeColor="text1"/>
          <w:sz w:val="24"/>
        </w:rPr>
        <w:t>報表時，大陸地區之分公司、子公司或參股投資之大陸地區保險業應填列於「國外保險相關事業」相關欄位。</w:t>
      </w:r>
    </w:p>
    <w:p w14:paraId="3304B0D4" w14:textId="77777777" w:rsidR="00D50B42" w:rsidRPr="00E224E9" w:rsidRDefault="00D50B42" w:rsidP="00D50B42">
      <w:pPr>
        <w:pStyle w:val="Item1"/>
        <w:tabs>
          <w:tab w:val="left" w:pos="1980"/>
        </w:tabs>
        <w:spacing w:line="440" w:lineRule="exact"/>
        <w:ind w:leftChars="754" w:left="1960" w:firstLineChars="0" w:firstLine="0"/>
        <w:jc w:val="both"/>
        <w:rPr>
          <w:rFonts w:ascii="Book Antiqua" w:hAnsi="Book Antiqua"/>
          <w:color w:val="000000" w:themeColor="text1"/>
          <w:sz w:val="24"/>
        </w:rPr>
      </w:pPr>
    </w:p>
    <w:p w14:paraId="560094B3" w14:textId="77777777" w:rsidR="00065C53" w:rsidRPr="00E224E9" w:rsidRDefault="00065C53">
      <w:pPr>
        <w:pStyle w:val="Item1"/>
        <w:spacing w:line="440" w:lineRule="exact"/>
        <w:ind w:left="1455" w:hangingChars="200" w:hanging="480"/>
        <w:jc w:val="both"/>
        <w:rPr>
          <w:rFonts w:ascii="Book Antiqua" w:hAnsi="Book Antiqua"/>
          <w:color w:val="000000" w:themeColor="text1"/>
          <w:sz w:val="24"/>
        </w:rPr>
      </w:pPr>
    </w:p>
    <w:p w14:paraId="6F556F24" w14:textId="77777777" w:rsidR="00065C53" w:rsidRPr="00E224E9" w:rsidRDefault="00065C53">
      <w:pPr>
        <w:pStyle w:val="Layer3"/>
        <w:spacing w:line="440" w:lineRule="exact"/>
        <w:ind w:leftChars="0" w:left="0" w:firstLineChars="150" w:firstLine="360"/>
        <w:jc w:val="both"/>
        <w:rPr>
          <w:rFonts w:ascii="Book Antiqua" w:hAnsi="Book Antiqua"/>
          <w:color w:val="000000" w:themeColor="text1"/>
        </w:rPr>
      </w:pPr>
      <w:bookmarkStart w:id="117" w:name="_Toc7492325"/>
      <w:r w:rsidRPr="00E224E9">
        <w:rPr>
          <w:rFonts w:ascii="Book Antiqua" w:hAnsi="Book Antiqua"/>
          <w:color w:val="000000" w:themeColor="text1"/>
        </w:rPr>
        <w:t>0.1.2</w:t>
      </w:r>
      <w:r w:rsidRPr="00E224E9">
        <w:rPr>
          <w:rFonts w:ascii="Book Antiqua" w:hAnsi="Book Antiqua"/>
          <w:color w:val="000000" w:themeColor="text1"/>
        </w:rPr>
        <w:t>投資</w:t>
      </w:r>
      <w:bookmarkEnd w:id="117"/>
      <w:r w:rsidRPr="00E224E9">
        <w:rPr>
          <w:rFonts w:ascii="Book Antiqua" w:hAnsi="Book Antiqua"/>
          <w:color w:val="000000" w:themeColor="text1"/>
        </w:rPr>
        <w:t>其他資產</w:t>
      </w:r>
    </w:p>
    <w:p w14:paraId="3B95A94C"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此風險主要衡量對具控制與從屬關係除股權投資外之關係人交易。</w:t>
      </w:r>
    </w:p>
    <w:p w14:paraId="778C8DC4" w14:textId="77777777" w:rsidR="00065C53" w:rsidRPr="00E224E9" w:rsidRDefault="00065C53">
      <w:pPr>
        <w:pStyle w:val="Item1"/>
        <w:spacing w:line="440" w:lineRule="exact"/>
        <w:ind w:left="1455" w:hangingChars="200" w:hanging="480"/>
        <w:jc w:val="both"/>
        <w:rPr>
          <w:rFonts w:ascii="Book Antiqua" w:hAnsi="Book Antiqua"/>
          <w:color w:val="000000" w:themeColor="text1"/>
          <w:sz w:val="24"/>
        </w:rPr>
      </w:pPr>
      <w:r w:rsidRPr="00E224E9">
        <w:rPr>
          <w:rFonts w:ascii="Book Antiqua" w:hAnsi="Book Antiqua"/>
          <w:color w:val="000000" w:themeColor="text1"/>
          <w:sz w:val="24"/>
        </w:rPr>
        <w:t>一、投資具控制與從屬關係之其他資產係指具控制與從屬關係除股權投資外透過交易或其他事項所獲得之經濟資源，能以貨幣衡量並預期未來能提供經濟效益者。</w:t>
      </w:r>
    </w:p>
    <w:p w14:paraId="66278B24" w14:textId="77777777" w:rsidR="00065C53" w:rsidRPr="00E224E9" w:rsidRDefault="00065C53">
      <w:pPr>
        <w:pStyle w:val="Item1"/>
        <w:spacing w:line="440" w:lineRule="exact"/>
        <w:ind w:left="1455" w:hangingChars="200" w:hanging="480"/>
        <w:jc w:val="both"/>
        <w:rPr>
          <w:rFonts w:ascii="Book Antiqua" w:hAnsi="Book Antiqua"/>
          <w:color w:val="000000" w:themeColor="text1"/>
          <w:sz w:val="24"/>
        </w:rPr>
      </w:pPr>
      <w:r w:rsidRPr="00E224E9">
        <w:rPr>
          <w:rFonts w:ascii="Book Antiqua" w:hAnsi="Book Antiqua"/>
          <w:color w:val="000000" w:themeColor="text1"/>
          <w:sz w:val="24"/>
        </w:rPr>
        <w:lastRenderedPageBreak/>
        <w:t>二、依據一般業務往來，將此項資產區分為</w:t>
      </w:r>
      <w:r w:rsidRPr="00E224E9">
        <w:rPr>
          <w:rFonts w:ascii="Book Antiqua" w:hAnsi="Book Antiqua"/>
          <w:color w:val="000000" w:themeColor="text1"/>
          <w:sz w:val="24"/>
        </w:rPr>
        <w:t>(1)</w:t>
      </w:r>
      <w:r w:rsidRPr="00E224E9">
        <w:rPr>
          <w:rFonts w:ascii="Book Antiqua" w:hAnsi="Book Antiqua"/>
          <w:color w:val="000000" w:themeColor="text1"/>
          <w:sz w:val="24"/>
        </w:rPr>
        <w:t>存款、</w:t>
      </w:r>
      <w:r w:rsidRPr="00E224E9">
        <w:rPr>
          <w:rFonts w:ascii="Book Antiqua" w:hAnsi="Book Antiqua"/>
          <w:color w:val="000000" w:themeColor="text1"/>
          <w:sz w:val="24"/>
        </w:rPr>
        <w:t>(2)</w:t>
      </w:r>
      <w:r w:rsidRPr="00E224E9">
        <w:rPr>
          <w:rFonts w:ascii="Book Antiqua" w:hAnsi="Book Antiqua"/>
          <w:color w:val="000000" w:themeColor="text1"/>
          <w:sz w:val="24"/>
        </w:rPr>
        <w:t>債券、票券、不動產受益證劵及金融資產受益證券</w:t>
      </w:r>
      <w:r w:rsidRPr="00E224E9">
        <w:rPr>
          <w:rFonts w:ascii="Book Antiqua" w:hAnsi="Book Antiqua"/>
          <w:color w:val="000000" w:themeColor="text1"/>
          <w:sz w:val="24"/>
        </w:rPr>
        <w:t>(</w:t>
      </w:r>
      <w:r w:rsidRPr="00E224E9">
        <w:rPr>
          <w:rFonts w:ascii="Book Antiqua" w:hAnsi="Book Antiqua"/>
          <w:color w:val="000000" w:themeColor="text1"/>
          <w:sz w:val="24"/>
        </w:rPr>
        <w:t>含資產基礎證券</w:t>
      </w:r>
      <w:r w:rsidRPr="00E224E9">
        <w:rPr>
          <w:rFonts w:ascii="Book Antiqua" w:hAnsi="Book Antiqua"/>
          <w:color w:val="000000" w:themeColor="text1"/>
          <w:sz w:val="24"/>
        </w:rPr>
        <w:t>)</w:t>
      </w:r>
      <w:r w:rsidRPr="00E224E9">
        <w:rPr>
          <w:rFonts w:ascii="Book Antiqua" w:hAnsi="Book Antiqua"/>
          <w:color w:val="000000" w:themeColor="text1"/>
          <w:sz w:val="24"/>
        </w:rPr>
        <w:t>、</w:t>
      </w:r>
      <w:r w:rsidRPr="00E224E9">
        <w:rPr>
          <w:rFonts w:ascii="Book Antiqua" w:hAnsi="Book Antiqua"/>
          <w:color w:val="000000" w:themeColor="text1"/>
          <w:sz w:val="24"/>
        </w:rPr>
        <w:t>(3)</w:t>
      </w:r>
      <w:r w:rsidRPr="00E224E9">
        <w:rPr>
          <w:rFonts w:ascii="Book Antiqua" w:hAnsi="Book Antiqua"/>
          <w:color w:val="000000" w:themeColor="text1"/>
          <w:sz w:val="24"/>
        </w:rPr>
        <w:t>受益憑證、</w:t>
      </w:r>
      <w:r w:rsidRPr="00E224E9">
        <w:rPr>
          <w:rFonts w:ascii="Book Antiqua" w:hAnsi="Book Antiqua"/>
          <w:color w:val="000000" w:themeColor="text1"/>
          <w:sz w:val="24"/>
        </w:rPr>
        <w:t>(4)</w:t>
      </w:r>
      <w:r w:rsidRPr="00E224E9">
        <w:rPr>
          <w:rFonts w:ascii="Book Antiqua" w:hAnsi="Book Antiqua"/>
          <w:color w:val="000000" w:themeColor="text1"/>
          <w:sz w:val="24"/>
        </w:rPr>
        <w:t>不動產、</w:t>
      </w:r>
      <w:r w:rsidRPr="00E224E9">
        <w:rPr>
          <w:rFonts w:ascii="Book Antiqua" w:hAnsi="Book Antiqua"/>
          <w:color w:val="000000" w:themeColor="text1"/>
          <w:sz w:val="24"/>
        </w:rPr>
        <w:t>(5)</w:t>
      </w:r>
      <w:r w:rsidRPr="00E224E9">
        <w:rPr>
          <w:rFonts w:ascii="Book Antiqua" w:hAnsi="Book Antiqua"/>
          <w:color w:val="000000" w:themeColor="text1"/>
          <w:sz w:val="24"/>
        </w:rPr>
        <w:t>放款、</w:t>
      </w:r>
      <w:r w:rsidRPr="00E224E9">
        <w:rPr>
          <w:rFonts w:ascii="Book Antiqua" w:hAnsi="Book Antiqua"/>
          <w:color w:val="000000" w:themeColor="text1"/>
          <w:sz w:val="24"/>
        </w:rPr>
        <w:t>(6)</w:t>
      </w:r>
      <w:r w:rsidRPr="00E224E9">
        <w:rPr>
          <w:rFonts w:ascii="Book Antiqua" w:hAnsi="Book Antiqua"/>
          <w:color w:val="000000" w:themeColor="text1"/>
          <w:sz w:val="24"/>
        </w:rPr>
        <w:t>應收票據及</w:t>
      </w:r>
      <w:r w:rsidRPr="00E224E9">
        <w:rPr>
          <w:rFonts w:ascii="Book Antiqua" w:hAnsi="Book Antiqua"/>
          <w:color w:val="000000" w:themeColor="text1"/>
          <w:sz w:val="24"/>
        </w:rPr>
        <w:t>(7)</w:t>
      </w:r>
      <w:r w:rsidRPr="00E224E9">
        <w:rPr>
          <w:rFonts w:ascii="Book Antiqua" w:hAnsi="Book Antiqua"/>
          <w:color w:val="000000" w:themeColor="text1"/>
          <w:sz w:val="24"/>
        </w:rPr>
        <w:t>其他投資等七個項目，分別按人身保險業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E224E9">
        <w:rPr>
          <w:rFonts w:ascii="Book Antiqua" w:hAnsi="Book Antiqua"/>
          <w:color w:val="000000" w:themeColor="text1"/>
          <w:sz w:val="24"/>
        </w:rPr>
        <w:t>β</w:t>
      </w:r>
      <w:r w:rsidRPr="00E224E9">
        <w:rPr>
          <w:rFonts w:ascii="Book Antiqua" w:hAnsi="Book Antiqua"/>
          <w:color w:val="000000" w:themeColor="text1"/>
          <w:sz w:val="24"/>
        </w:rPr>
        <w:t>值計算係數之受益憑證。</w:t>
      </w:r>
    </w:p>
    <w:p w14:paraId="1611D67F" w14:textId="77777777" w:rsidR="0052588C" w:rsidRPr="00E224E9" w:rsidRDefault="0052588C" w:rsidP="0052588C">
      <w:pPr>
        <w:pStyle w:val="Item1"/>
        <w:spacing w:line="440" w:lineRule="exact"/>
        <w:ind w:leftChars="553" w:left="1438" w:firstLineChars="1" w:firstLine="2"/>
        <w:jc w:val="both"/>
        <w:rPr>
          <w:rFonts w:ascii="Book Antiqua" w:hAnsi="標楷體"/>
          <w:color w:val="000000" w:themeColor="text1"/>
          <w:sz w:val="24"/>
        </w:rPr>
      </w:pPr>
      <w:r w:rsidRPr="00E224E9">
        <w:rPr>
          <w:rFonts w:ascii="Book Antiqua" w:hAnsi="標楷體" w:hint="eastAsia"/>
          <w:color w:val="000000" w:themeColor="text1"/>
          <w:sz w:val="24"/>
        </w:rPr>
        <w:t>受益憑證依該基金之投資組合內容再細分為「股票型共同基金」、「債券型共同基金」及「平衡型共同基金</w:t>
      </w:r>
      <w:r w:rsidR="007E441A" w:rsidRPr="00E224E9">
        <w:rPr>
          <w:rFonts w:ascii="Book Antiqua" w:hAnsi="標楷體" w:hint="eastAsia"/>
          <w:color w:val="000000" w:themeColor="text1"/>
          <w:sz w:val="24"/>
        </w:rPr>
        <w:t>及多重資產型基金</w:t>
      </w:r>
      <w:r w:rsidRPr="00E224E9">
        <w:rPr>
          <w:rFonts w:ascii="Book Antiqua" w:hAnsi="標楷體" w:hint="eastAsia"/>
          <w:color w:val="000000" w:themeColor="text1"/>
          <w:sz w:val="24"/>
        </w:rPr>
        <w:t>」、「貨幣型共同基金」、</w:t>
      </w:r>
      <w:r w:rsidR="00796948" w:rsidRPr="00E224E9">
        <w:rPr>
          <w:rFonts w:ascii="Book Antiqua" w:hAnsi="標楷體" w:hint="eastAsia"/>
          <w:color w:val="000000" w:themeColor="text1"/>
          <w:sz w:val="24"/>
        </w:rPr>
        <w:t>「私募基金」、</w:t>
      </w:r>
      <w:r w:rsidRPr="00E224E9">
        <w:rPr>
          <w:rFonts w:ascii="Book Antiqua" w:hAnsi="標楷體" w:hint="eastAsia"/>
          <w:color w:val="000000" w:themeColor="text1"/>
          <w:sz w:val="24"/>
        </w:rPr>
        <w:t>「</w:t>
      </w:r>
      <w:r w:rsidR="00796948" w:rsidRPr="00E224E9">
        <w:rPr>
          <w:rFonts w:ascii="Book Antiqua" w:hAnsi="標楷體" w:hint="eastAsia"/>
          <w:color w:val="000000" w:themeColor="text1"/>
          <w:sz w:val="24"/>
        </w:rPr>
        <w:t>國外投資受益憑證</w:t>
      </w:r>
      <w:r w:rsidRPr="00E224E9">
        <w:rPr>
          <w:rFonts w:ascii="Book Antiqua" w:hAnsi="標楷體" w:hint="eastAsia"/>
          <w:color w:val="000000" w:themeColor="text1"/>
          <w:sz w:val="24"/>
        </w:rPr>
        <w:t>」等細項。另，各類受益憑證風險資本額之計算方式分別說明如下：</w:t>
      </w:r>
    </w:p>
    <w:p w14:paraId="455E87A0" w14:textId="77777777" w:rsidR="00796948" w:rsidRPr="00E224E9" w:rsidRDefault="00796948" w:rsidP="004373AD">
      <w:pPr>
        <w:pStyle w:val="Item1"/>
        <w:numPr>
          <w:ilvl w:val="1"/>
          <w:numId w:val="33"/>
        </w:numPr>
        <w:tabs>
          <w:tab w:val="left" w:pos="1985"/>
        </w:tabs>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「股票型共同基金」</w:t>
      </w:r>
    </w:p>
    <w:p w14:paraId="5685D586" w14:textId="77777777" w:rsidR="00796948" w:rsidRPr="00E224E9" w:rsidRDefault="00796948" w:rsidP="00796948">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值計算表」國內發行其投資區域包含國外之股票型共同基金帳載價值後之數額，乘以「表</w:t>
      </w:r>
      <w:r w:rsidRPr="00E224E9">
        <w:rPr>
          <w:rFonts w:ascii="Book Antiqua" w:hAnsi="Book Antiqua"/>
          <w:color w:val="000000" w:themeColor="text1"/>
          <w:sz w:val="24"/>
        </w:rPr>
        <w:t>30-14</w:t>
      </w:r>
      <w:r w:rsidRPr="00E224E9">
        <w:rPr>
          <w:rFonts w:ascii="Book Antiqua" w:hAnsi="Book Antiqua"/>
          <w:color w:val="000000" w:themeColor="text1"/>
          <w:sz w:val="24"/>
        </w:rPr>
        <w:t>：公司</w:t>
      </w:r>
      <w:r w:rsidRPr="00E224E9">
        <w:rPr>
          <w:rFonts w:ascii="Book Antiqua" w:hAnsi="Book Antiqua"/>
          <w:color w:val="000000" w:themeColor="text1"/>
          <w:sz w:val="24"/>
        </w:rPr>
        <w:t>β</w:t>
      </w:r>
      <w:r w:rsidRPr="00E224E9">
        <w:rPr>
          <w:rFonts w:ascii="Book Antiqua" w:hAnsi="Book Antiqua"/>
          <w:color w:val="000000" w:themeColor="text1"/>
          <w:sz w:val="24"/>
        </w:rPr>
        <w:t>值及</w:t>
      </w:r>
      <w:r w:rsidR="007E12AD" w:rsidRPr="00E224E9">
        <w:rPr>
          <w:rFonts w:ascii="Book Antiqua" w:hAnsi="Book Antiqua" w:hint="eastAsia"/>
          <w:color w:val="000000" w:themeColor="text1"/>
          <w:sz w:val="24"/>
        </w:rPr>
        <w:t>股票逆景氣循環</w:t>
      </w:r>
      <w:r w:rsidRPr="00E224E9">
        <w:rPr>
          <w:rFonts w:ascii="Book Antiqua" w:hAnsi="Book Antiqua"/>
          <w:color w:val="000000" w:themeColor="text1"/>
          <w:sz w:val="24"/>
        </w:rPr>
        <w:t>資產風險係數計算表」所對應之風險係數計算風險資本額。</w:t>
      </w:r>
    </w:p>
    <w:p w14:paraId="675D4BB2" w14:textId="77777777" w:rsidR="007E12AD" w:rsidRPr="00E224E9" w:rsidRDefault="007E12AD" w:rsidP="004373AD">
      <w:pPr>
        <w:pStyle w:val="Item1"/>
        <w:numPr>
          <w:ilvl w:val="1"/>
          <w:numId w:val="33"/>
        </w:numPr>
        <w:tabs>
          <w:tab w:val="left" w:pos="1985"/>
        </w:tabs>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w:t>
      </w:r>
      <w:r w:rsidRPr="00E224E9">
        <w:rPr>
          <w:rFonts w:ascii="Book Antiqua" w:hAnsi="Book Antiqua" w:hint="eastAsia"/>
          <w:color w:val="000000" w:themeColor="text1"/>
          <w:sz w:val="24"/>
        </w:rPr>
        <w:t>債券</w:t>
      </w:r>
      <w:r w:rsidRPr="00E224E9">
        <w:rPr>
          <w:rFonts w:ascii="Book Antiqua" w:hAnsi="Book Antiqua"/>
          <w:color w:val="000000" w:themeColor="text1"/>
          <w:sz w:val="24"/>
        </w:rPr>
        <w:t>型共同基金」</w:t>
      </w:r>
    </w:p>
    <w:p w14:paraId="012DD997" w14:textId="77777777" w:rsidR="007E12AD" w:rsidRPr="00E224E9" w:rsidRDefault="007E12AD" w:rsidP="00796948">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hint="eastAsia"/>
          <w:color w:val="000000" w:themeColor="text1"/>
          <w:sz w:val="24"/>
        </w:rPr>
        <w:t>債券</w:t>
      </w:r>
      <w:r w:rsidRPr="00E224E9">
        <w:rPr>
          <w:rFonts w:ascii="Book Antiqua" w:hAnsi="Book Antiqua"/>
          <w:color w:val="000000" w:themeColor="text1"/>
          <w:sz w:val="24"/>
        </w:rPr>
        <w:t>型共同基金帳載價值後之數額，乘以對應之風險係數計算風險資本額。</w:t>
      </w:r>
    </w:p>
    <w:p w14:paraId="570114E0" w14:textId="77777777" w:rsidR="00796948" w:rsidRPr="00E224E9" w:rsidRDefault="00796948" w:rsidP="004373AD">
      <w:pPr>
        <w:pStyle w:val="Item1"/>
        <w:numPr>
          <w:ilvl w:val="1"/>
          <w:numId w:val="33"/>
        </w:numPr>
        <w:tabs>
          <w:tab w:val="left" w:pos="1985"/>
        </w:tabs>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「平衡型共同基金</w:t>
      </w:r>
      <w:r w:rsidR="00693F57"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w:t>
      </w:r>
    </w:p>
    <w:p w14:paraId="5F8AB6DB" w14:textId="77777777" w:rsidR="00796948" w:rsidRPr="00E224E9" w:rsidRDefault="00796948" w:rsidP="00796948">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值計算表」國內發行其投資區域包含國外之平衡型共同基金</w:t>
      </w:r>
      <w:r w:rsidR="0049273A"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帳載價值後之數額，乘以「表</w:t>
      </w:r>
      <w:r w:rsidRPr="00E224E9">
        <w:rPr>
          <w:rFonts w:ascii="Book Antiqua" w:hAnsi="Book Antiqua"/>
          <w:color w:val="000000" w:themeColor="text1"/>
          <w:sz w:val="24"/>
        </w:rPr>
        <w:t>30-14</w:t>
      </w:r>
      <w:r w:rsidRPr="00E224E9">
        <w:rPr>
          <w:rFonts w:ascii="Book Antiqua" w:hAnsi="Book Antiqua"/>
          <w:color w:val="000000" w:themeColor="text1"/>
          <w:sz w:val="24"/>
        </w:rPr>
        <w:t>：公司</w:t>
      </w:r>
      <w:r w:rsidRPr="00E224E9">
        <w:rPr>
          <w:rFonts w:ascii="Book Antiqua" w:hAnsi="Book Antiqua"/>
          <w:color w:val="000000" w:themeColor="text1"/>
          <w:sz w:val="24"/>
        </w:rPr>
        <w:t>β</w:t>
      </w:r>
      <w:r w:rsidRPr="00E224E9">
        <w:rPr>
          <w:rFonts w:ascii="Book Antiqua" w:hAnsi="Book Antiqua"/>
          <w:color w:val="000000" w:themeColor="text1"/>
          <w:sz w:val="24"/>
        </w:rPr>
        <w:t>值及</w:t>
      </w:r>
      <w:r w:rsidR="007E12AD" w:rsidRPr="00E224E9">
        <w:rPr>
          <w:rFonts w:ascii="Book Antiqua" w:hAnsi="Book Antiqua" w:hint="eastAsia"/>
          <w:color w:val="000000" w:themeColor="text1"/>
          <w:sz w:val="24"/>
        </w:rPr>
        <w:t>股票逆景氣循環</w:t>
      </w:r>
      <w:r w:rsidRPr="00E224E9">
        <w:rPr>
          <w:rFonts w:ascii="Book Antiqua" w:hAnsi="Book Antiqua"/>
          <w:color w:val="000000" w:themeColor="text1"/>
          <w:sz w:val="24"/>
        </w:rPr>
        <w:t>資產風險係數計算表」所對應之風險係數計算風險資本額。</w:t>
      </w:r>
    </w:p>
    <w:p w14:paraId="6795E0EC" w14:textId="0DBA870A" w:rsidR="0052588C" w:rsidRPr="00E224E9" w:rsidRDefault="0052588C" w:rsidP="004373AD">
      <w:pPr>
        <w:pStyle w:val="Item1"/>
        <w:numPr>
          <w:ilvl w:val="1"/>
          <w:numId w:val="33"/>
        </w:numPr>
        <w:tabs>
          <w:tab w:val="left" w:pos="1985"/>
        </w:tabs>
        <w:spacing w:line="440" w:lineRule="exact"/>
        <w:ind w:leftChars="0" w:firstLineChars="0"/>
        <w:jc w:val="both"/>
        <w:rPr>
          <w:rFonts w:ascii="Book Antiqua" w:hAnsi="標楷體"/>
          <w:color w:val="000000" w:themeColor="text1"/>
          <w:sz w:val="24"/>
        </w:rPr>
      </w:pPr>
      <w:r w:rsidRPr="00E224E9">
        <w:rPr>
          <w:rFonts w:ascii="Book Antiqua" w:hAnsi="標楷體" w:hint="eastAsia"/>
          <w:color w:val="000000" w:themeColor="text1"/>
          <w:sz w:val="24"/>
        </w:rPr>
        <w:t>「</w:t>
      </w:r>
      <w:r w:rsidR="00343AD7" w:rsidRPr="00E224E9">
        <w:rPr>
          <w:rFonts w:ascii="Book Antiqua" w:hAnsi="標楷體" w:hint="eastAsia"/>
          <w:color w:val="000000" w:themeColor="text1"/>
          <w:sz w:val="24"/>
        </w:rPr>
        <w:t>私募</w:t>
      </w:r>
      <w:r w:rsidRPr="00E224E9">
        <w:rPr>
          <w:rFonts w:ascii="Book Antiqua" w:hAnsi="標楷體" w:hint="eastAsia"/>
          <w:color w:val="000000" w:themeColor="text1"/>
          <w:sz w:val="24"/>
        </w:rPr>
        <w:t>基金」</w:t>
      </w:r>
    </w:p>
    <w:p w14:paraId="7BE2B71D" w14:textId="660D4FF5" w:rsidR="0052588C" w:rsidRPr="00E224E9" w:rsidRDefault="0052588C" w:rsidP="0052588C">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標楷體" w:hint="eastAsia"/>
          <w:color w:val="000000" w:themeColor="text1"/>
          <w:sz w:val="24"/>
        </w:rPr>
        <w:t>按</w:t>
      </w:r>
      <w:r w:rsidR="00343AD7" w:rsidRPr="00E224E9">
        <w:rPr>
          <w:rFonts w:ascii="Book Antiqua" w:hAnsi="標楷體" w:hint="eastAsia"/>
          <w:color w:val="000000" w:themeColor="text1"/>
          <w:sz w:val="24"/>
        </w:rPr>
        <w:t>「表</w:t>
      </w:r>
      <w:r w:rsidR="00343AD7" w:rsidRPr="00E224E9">
        <w:rPr>
          <w:rFonts w:ascii="Book Antiqua" w:hAnsi="標楷體" w:hint="eastAsia"/>
          <w:color w:val="000000" w:themeColor="text1"/>
          <w:sz w:val="24"/>
        </w:rPr>
        <w:t>05-1</w:t>
      </w:r>
      <w:r w:rsidR="00343AD7" w:rsidRPr="00E224E9">
        <w:rPr>
          <w:rFonts w:ascii="Book Antiqua" w:hAnsi="標楷體" w:hint="eastAsia"/>
          <w:color w:val="000000" w:themeColor="text1"/>
          <w:sz w:val="24"/>
        </w:rPr>
        <w:t>：資金運用表」相關欄位金額減除「表</w:t>
      </w:r>
      <w:r w:rsidR="00343AD7" w:rsidRPr="00E224E9">
        <w:rPr>
          <w:rFonts w:ascii="Book Antiqua" w:hAnsi="標楷體" w:hint="eastAsia"/>
          <w:color w:val="000000" w:themeColor="text1"/>
          <w:sz w:val="24"/>
        </w:rPr>
        <w:t>30-14-1</w:t>
      </w:r>
      <w:r w:rsidR="00343AD7" w:rsidRPr="00E224E9">
        <w:rPr>
          <w:rFonts w:ascii="Book Antiqua" w:hAnsi="標楷體" w:hint="eastAsia"/>
          <w:color w:val="000000" w:themeColor="text1"/>
          <w:sz w:val="24"/>
        </w:rPr>
        <w:t>：公司上市股票及基金β值計算表」國內發行其投資區域包含國外之私募基金</w:t>
      </w:r>
      <w:r w:rsidRPr="00E224E9">
        <w:rPr>
          <w:rFonts w:ascii="Book Antiqua" w:hAnsi="標楷體" w:hint="eastAsia"/>
          <w:color w:val="000000" w:themeColor="text1"/>
          <w:sz w:val="24"/>
        </w:rPr>
        <w:t>後之數額，乘以其所對應之風險係數計算風險資本額。</w:t>
      </w:r>
    </w:p>
    <w:p w14:paraId="4AB461BC" w14:textId="77777777" w:rsidR="0094458E" w:rsidRPr="00E224E9" w:rsidRDefault="0094458E" w:rsidP="004373AD">
      <w:pPr>
        <w:pStyle w:val="Item1"/>
        <w:numPr>
          <w:ilvl w:val="1"/>
          <w:numId w:val="33"/>
        </w:numPr>
        <w:tabs>
          <w:tab w:val="left" w:pos="1985"/>
        </w:tabs>
        <w:spacing w:line="440" w:lineRule="exact"/>
        <w:ind w:leftChars="0" w:firstLineChars="0"/>
        <w:jc w:val="both"/>
        <w:rPr>
          <w:rFonts w:ascii="Book Antiqua" w:hAnsi="標楷體"/>
          <w:color w:val="000000" w:themeColor="text1"/>
          <w:sz w:val="24"/>
        </w:rPr>
      </w:pPr>
      <w:r w:rsidRPr="00E224E9">
        <w:rPr>
          <w:rFonts w:ascii="Book Antiqua" w:hAnsi="標楷體" w:hint="eastAsia"/>
          <w:color w:val="000000" w:themeColor="text1"/>
          <w:sz w:val="24"/>
        </w:rPr>
        <w:t>「國外投資受益憑證</w:t>
      </w:r>
      <w:r w:rsidRPr="00E224E9">
        <w:rPr>
          <w:rFonts w:ascii="Book Antiqua" w:hAnsi="標楷體" w:hint="eastAsia"/>
          <w:color w:val="000000" w:themeColor="text1"/>
          <w:sz w:val="24"/>
        </w:rPr>
        <w:t xml:space="preserve"> -</w:t>
      </w:r>
      <w:r w:rsidRPr="00E224E9">
        <w:rPr>
          <w:rFonts w:ascii="Book Antiqua" w:hAnsi="標楷體"/>
          <w:color w:val="000000" w:themeColor="text1"/>
          <w:sz w:val="24"/>
        </w:rPr>
        <w:t xml:space="preserve"> </w:t>
      </w:r>
      <w:r w:rsidRPr="00E224E9">
        <w:rPr>
          <w:rFonts w:ascii="Book Antiqua" w:hAnsi="標楷體" w:hint="eastAsia"/>
          <w:color w:val="000000" w:themeColor="text1"/>
          <w:sz w:val="24"/>
        </w:rPr>
        <w:t xml:space="preserve">1.2.3.6.1 </w:t>
      </w:r>
      <w:r w:rsidRPr="00E224E9">
        <w:rPr>
          <w:rFonts w:ascii="Book Antiqua" w:hAnsi="標楷體" w:hint="eastAsia"/>
          <w:color w:val="000000" w:themeColor="text1"/>
          <w:sz w:val="24"/>
        </w:rPr>
        <w:t>股票型共同基金」</w:t>
      </w:r>
    </w:p>
    <w:p w14:paraId="05165246" w14:textId="77777777" w:rsidR="0094458E" w:rsidRPr="00E224E9" w:rsidRDefault="0094458E" w:rsidP="0094458E">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標楷體" w:hint="eastAsia"/>
          <w:color w:val="000000" w:themeColor="text1"/>
          <w:sz w:val="24"/>
        </w:rPr>
        <w:lastRenderedPageBreak/>
        <w:t>按「表</w:t>
      </w:r>
      <w:r w:rsidRPr="00E224E9">
        <w:rPr>
          <w:rFonts w:ascii="Book Antiqua" w:hAnsi="標楷體" w:hint="eastAsia"/>
          <w:color w:val="000000" w:themeColor="text1"/>
          <w:sz w:val="24"/>
        </w:rPr>
        <w:t>12-2</w:t>
      </w:r>
      <w:r w:rsidRPr="00E224E9">
        <w:rPr>
          <w:rFonts w:ascii="Book Antiqua" w:hAnsi="標楷體" w:hint="eastAsia"/>
          <w:color w:val="000000" w:themeColor="text1"/>
          <w:sz w:val="24"/>
        </w:rPr>
        <w:t>：受益憑證及國外表彰基金餘額明細表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總計</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」相關欄位金額加計「表</w:t>
      </w:r>
      <w:r w:rsidRPr="00E224E9">
        <w:rPr>
          <w:rFonts w:ascii="Book Antiqua" w:hAnsi="標楷體" w:hint="eastAsia"/>
          <w:color w:val="000000" w:themeColor="text1"/>
          <w:sz w:val="24"/>
        </w:rPr>
        <w:t>30-14-1</w:t>
      </w:r>
      <w:r w:rsidRPr="00E224E9">
        <w:rPr>
          <w:rFonts w:ascii="Book Antiqua" w:hAnsi="標楷體" w:hint="eastAsia"/>
          <w:color w:val="000000" w:themeColor="text1"/>
          <w:sz w:val="24"/>
        </w:rPr>
        <w:t>：公司上市股票及基金β值計算表」國內發行其投資區域包含國外之股票型共同基金帳載價值後之數額，乘以其所對應之風險係數計算風險資本額。</w:t>
      </w:r>
    </w:p>
    <w:p w14:paraId="4397DDA1" w14:textId="77777777" w:rsidR="007E12AD" w:rsidRPr="00E224E9" w:rsidRDefault="007E12AD" w:rsidP="004373AD">
      <w:pPr>
        <w:pStyle w:val="Item1"/>
        <w:numPr>
          <w:ilvl w:val="1"/>
          <w:numId w:val="33"/>
        </w:numPr>
        <w:tabs>
          <w:tab w:val="left" w:pos="1985"/>
        </w:tabs>
        <w:spacing w:line="440" w:lineRule="exact"/>
        <w:ind w:leftChars="0" w:firstLineChars="0"/>
        <w:jc w:val="both"/>
        <w:rPr>
          <w:rFonts w:ascii="Book Antiqua" w:hAnsi="標楷體"/>
          <w:color w:val="000000" w:themeColor="text1"/>
          <w:sz w:val="24"/>
        </w:rPr>
      </w:pPr>
      <w:r w:rsidRPr="00E224E9">
        <w:rPr>
          <w:rFonts w:ascii="Book Antiqua" w:hAnsi="標楷體" w:hint="eastAsia"/>
          <w:color w:val="000000" w:themeColor="text1"/>
          <w:sz w:val="24"/>
        </w:rPr>
        <w:t>「國外投資受益憑證</w:t>
      </w:r>
      <w:r w:rsidRPr="00E224E9">
        <w:rPr>
          <w:rFonts w:ascii="Book Antiqua" w:hAnsi="標楷體" w:hint="eastAsia"/>
          <w:color w:val="000000" w:themeColor="text1"/>
          <w:sz w:val="24"/>
        </w:rPr>
        <w:t xml:space="preserve"> -</w:t>
      </w:r>
      <w:r w:rsidRPr="00E224E9">
        <w:rPr>
          <w:rFonts w:ascii="Book Antiqua" w:hAnsi="標楷體"/>
          <w:color w:val="000000" w:themeColor="text1"/>
          <w:sz w:val="24"/>
        </w:rPr>
        <w:t xml:space="preserve"> </w:t>
      </w:r>
      <w:r w:rsidRPr="00E224E9">
        <w:rPr>
          <w:rFonts w:ascii="Book Antiqua" w:hAnsi="標楷體" w:hint="eastAsia"/>
          <w:color w:val="000000" w:themeColor="text1"/>
          <w:sz w:val="24"/>
        </w:rPr>
        <w:t>1.2.3.6.2</w:t>
      </w:r>
      <w:r w:rsidRPr="00E224E9">
        <w:rPr>
          <w:rFonts w:ascii="Book Antiqua" w:hAnsi="標楷體" w:hint="eastAsia"/>
          <w:color w:val="000000" w:themeColor="text1"/>
          <w:sz w:val="24"/>
        </w:rPr>
        <w:t>債券型共同基金」</w:t>
      </w:r>
    </w:p>
    <w:p w14:paraId="341E3A56" w14:textId="77777777" w:rsidR="007E12AD" w:rsidRPr="00E224E9" w:rsidRDefault="007E12AD" w:rsidP="007E12AD">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標楷體" w:hint="eastAsia"/>
          <w:color w:val="000000" w:themeColor="text1"/>
          <w:sz w:val="24"/>
        </w:rPr>
        <w:t>按「表</w:t>
      </w:r>
      <w:r w:rsidRPr="00E224E9">
        <w:rPr>
          <w:rFonts w:ascii="Book Antiqua" w:hAnsi="標楷體" w:hint="eastAsia"/>
          <w:color w:val="000000" w:themeColor="text1"/>
          <w:sz w:val="24"/>
        </w:rPr>
        <w:t>12-2</w:t>
      </w:r>
      <w:r w:rsidRPr="00E224E9">
        <w:rPr>
          <w:rFonts w:ascii="Book Antiqua" w:hAnsi="標楷體" w:hint="eastAsia"/>
          <w:color w:val="000000" w:themeColor="text1"/>
          <w:sz w:val="24"/>
        </w:rPr>
        <w:t>：受益憑證及國外表彰基金餘額明細表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總計</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」相關欄位金額加計「表</w:t>
      </w:r>
      <w:r w:rsidRPr="00E224E9">
        <w:rPr>
          <w:rFonts w:ascii="Book Antiqua" w:hAnsi="標楷體" w:hint="eastAsia"/>
          <w:color w:val="000000" w:themeColor="text1"/>
          <w:sz w:val="24"/>
        </w:rPr>
        <w:t>30-14-1</w:t>
      </w:r>
      <w:r w:rsidRPr="00E224E9">
        <w:rPr>
          <w:rFonts w:ascii="Book Antiqua" w:hAnsi="標楷體" w:hint="eastAsia"/>
          <w:color w:val="000000" w:themeColor="text1"/>
          <w:sz w:val="24"/>
        </w:rPr>
        <w:t>：公司上市股票及基金β值計算表」國內發行其投資區域包含國外之債券型共同基金帳載價值後之數額，乘以其所對應之風險係數計算風險資本額。</w:t>
      </w:r>
    </w:p>
    <w:p w14:paraId="06B0CEB6" w14:textId="77777777" w:rsidR="0052588C" w:rsidRPr="00E224E9" w:rsidRDefault="0052588C" w:rsidP="004373AD">
      <w:pPr>
        <w:pStyle w:val="Item1"/>
        <w:numPr>
          <w:ilvl w:val="1"/>
          <w:numId w:val="33"/>
        </w:numPr>
        <w:tabs>
          <w:tab w:val="left" w:pos="1985"/>
        </w:tabs>
        <w:spacing w:line="440" w:lineRule="exact"/>
        <w:ind w:leftChars="0" w:firstLineChars="0"/>
        <w:jc w:val="both"/>
        <w:rPr>
          <w:rFonts w:ascii="Book Antiqua" w:hAnsi="標楷體"/>
          <w:color w:val="000000" w:themeColor="text1"/>
          <w:sz w:val="24"/>
        </w:rPr>
      </w:pPr>
      <w:r w:rsidRPr="00E224E9">
        <w:rPr>
          <w:rFonts w:ascii="Book Antiqua" w:hAnsi="標楷體" w:hint="eastAsia"/>
          <w:color w:val="000000" w:themeColor="text1"/>
          <w:sz w:val="24"/>
        </w:rPr>
        <w:t>「</w:t>
      </w:r>
      <w:r w:rsidR="00796948" w:rsidRPr="00E224E9">
        <w:rPr>
          <w:rFonts w:ascii="Book Antiqua" w:hAnsi="標楷體" w:hint="eastAsia"/>
          <w:color w:val="000000" w:themeColor="text1"/>
          <w:sz w:val="24"/>
        </w:rPr>
        <w:t>國外投資受益憑證</w:t>
      </w:r>
      <w:r w:rsidR="00796948" w:rsidRPr="00E224E9">
        <w:rPr>
          <w:rFonts w:ascii="Book Antiqua" w:hAnsi="標楷體" w:hint="eastAsia"/>
          <w:color w:val="000000" w:themeColor="text1"/>
          <w:sz w:val="24"/>
        </w:rPr>
        <w:t xml:space="preserve"> -</w:t>
      </w:r>
      <w:r w:rsidR="00796948" w:rsidRPr="00E224E9">
        <w:rPr>
          <w:rFonts w:ascii="Book Antiqua" w:hAnsi="標楷體"/>
          <w:color w:val="000000" w:themeColor="text1"/>
          <w:sz w:val="24"/>
        </w:rPr>
        <w:t xml:space="preserve"> </w:t>
      </w:r>
      <w:r w:rsidR="00796948" w:rsidRPr="00E224E9">
        <w:rPr>
          <w:rFonts w:ascii="Book Antiqua" w:hAnsi="標楷體" w:hint="eastAsia"/>
          <w:color w:val="000000" w:themeColor="text1"/>
          <w:sz w:val="24"/>
        </w:rPr>
        <w:t>1.2.3.6.</w:t>
      </w:r>
      <w:r w:rsidR="00796948" w:rsidRPr="00E224E9">
        <w:rPr>
          <w:rFonts w:ascii="Book Antiqua" w:hAnsi="標楷體"/>
          <w:color w:val="000000" w:themeColor="text1"/>
          <w:sz w:val="24"/>
        </w:rPr>
        <w:t>3</w:t>
      </w:r>
      <w:r w:rsidRPr="00E224E9">
        <w:rPr>
          <w:rFonts w:ascii="Book Antiqua" w:hAnsi="標楷體" w:hint="eastAsia"/>
          <w:color w:val="000000" w:themeColor="text1"/>
          <w:sz w:val="24"/>
        </w:rPr>
        <w:t>平衡型共同基金</w:t>
      </w:r>
      <w:r w:rsidR="0049273A" w:rsidRPr="00E224E9">
        <w:rPr>
          <w:rFonts w:ascii="Book Antiqua" w:hAnsi="標楷體" w:hint="eastAsia"/>
          <w:color w:val="000000" w:themeColor="text1"/>
          <w:sz w:val="24"/>
        </w:rPr>
        <w:t>及多重資產型基金</w:t>
      </w:r>
      <w:r w:rsidRPr="00E224E9">
        <w:rPr>
          <w:rFonts w:ascii="Book Antiqua" w:hAnsi="標楷體" w:hint="eastAsia"/>
          <w:color w:val="000000" w:themeColor="text1"/>
          <w:sz w:val="24"/>
        </w:rPr>
        <w:t>」</w:t>
      </w:r>
    </w:p>
    <w:p w14:paraId="47F6CAF2" w14:textId="38CBECE2" w:rsidR="0052588C" w:rsidRPr="00E224E9" w:rsidRDefault="0052588C" w:rsidP="0052588C">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標楷體" w:hint="eastAsia"/>
          <w:color w:val="000000" w:themeColor="text1"/>
          <w:sz w:val="24"/>
        </w:rPr>
        <w:t>按「表</w:t>
      </w:r>
      <w:r w:rsidRPr="00E224E9">
        <w:rPr>
          <w:rFonts w:ascii="Book Antiqua" w:hAnsi="標楷體" w:hint="eastAsia"/>
          <w:color w:val="000000" w:themeColor="text1"/>
          <w:sz w:val="24"/>
        </w:rPr>
        <w:t>12-2</w:t>
      </w:r>
      <w:r w:rsidRPr="00E224E9">
        <w:rPr>
          <w:rFonts w:ascii="Book Antiqua" w:hAnsi="標楷體" w:hint="eastAsia"/>
          <w:color w:val="000000" w:themeColor="text1"/>
          <w:sz w:val="24"/>
        </w:rPr>
        <w:t>：受益憑證及國外表彰基金餘額明細表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總計</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」相關欄位金額加計「表</w:t>
      </w:r>
      <w:r w:rsidRPr="00E224E9">
        <w:rPr>
          <w:rFonts w:ascii="Book Antiqua" w:hAnsi="標楷體" w:hint="eastAsia"/>
          <w:color w:val="000000" w:themeColor="text1"/>
          <w:sz w:val="24"/>
        </w:rPr>
        <w:t>30-14-1</w:t>
      </w:r>
      <w:r w:rsidRPr="00E224E9">
        <w:rPr>
          <w:rFonts w:ascii="Book Antiqua" w:hAnsi="標楷體" w:hint="eastAsia"/>
          <w:color w:val="000000" w:themeColor="text1"/>
          <w:sz w:val="24"/>
        </w:rPr>
        <w:t>：公司上市股票及基金β值計算表」國內發行其投資區域包含國外之</w:t>
      </w:r>
      <w:r w:rsidR="007E12AD" w:rsidRPr="00E224E9">
        <w:rPr>
          <w:rFonts w:ascii="Book Antiqua" w:hAnsi="標楷體" w:hint="eastAsia"/>
          <w:color w:val="000000" w:themeColor="text1"/>
          <w:sz w:val="24"/>
        </w:rPr>
        <w:t>平衡</w:t>
      </w:r>
      <w:r w:rsidRPr="00E224E9">
        <w:rPr>
          <w:rFonts w:ascii="Book Antiqua" w:hAnsi="標楷體" w:hint="eastAsia"/>
          <w:color w:val="000000" w:themeColor="text1"/>
          <w:sz w:val="24"/>
        </w:rPr>
        <w:t>型共同基金</w:t>
      </w:r>
      <w:r w:rsidR="0049273A" w:rsidRPr="00E224E9">
        <w:rPr>
          <w:rFonts w:ascii="Book Antiqua" w:hAnsi="標楷體" w:hint="eastAsia"/>
          <w:color w:val="000000" w:themeColor="text1"/>
          <w:sz w:val="24"/>
        </w:rPr>
        <w:t>及多重資產型基金</w:t>
      </w:r>
      <w:r w:rsidRPr="00E224E9">
        <w:rPr>
          <w:rFonts w:ascii="Book Antiqua" w:hAnsi="標楷體" w:hint="eastAsia"/>
          <w:color w:val="000000" w:themeColor="text1"/>
          <w:sz w:val="24"/>
        </w:rPr>
        <w:t>帳載價值後之數額，乘以其所對應之風險係數計算風險資本額。</w:t>
      </w:r>
    </w:p>
    <w:p w14:paraId="243B6FC2" w14:textId="39192537" w:rsidR="00BB48EA" w:rsidRPr="00E224E9" w:rsidRDefault="00BB48EA" w:rsidP="004373AD">
      <w:pPr>
        <w:pStyle w:val="Item1"/>
        <w:numPr>
          <w:ilvl w:val="1"/>
          <w:numId w:val="33"/>
        </w:numPr>
        <w:tabs>
          <w:tab w:val="left" w:pos="1985"/>
        </w:tabs>
        <w:spacing w:line="440" w:lineRule="exact"/>
        <w:ind w:leftChars="0" w:firstLineChars="0"/>
        <w:jc w:val="both"/>
        <w:rPr>
          <w:rFonts w:ascii="Book Antiqua" w:hAnsi="標楷體"/>
          <w:color w:val="000000" w:themeColor="text1"/>
          <w:sz w:val="24"/>
        </w:rPr>
      </w:pPr>
      <w:r w:rsidRPr="00E224E9">
        <w:rPr>
          <w:rFonts w:ascii="Book Antiqua" w:hAnsi="標楷體" w:hint="eastAsia"/>
          <w:color w:val="000000" w:themeColor="text1"/>
          <w:sz w:val="24"/>
        </w:rPr>
        <w:t>「國外投資受益憑證</w:t>
      </w:r>
      <w:r w:rsidRPr="00E224E9">
        <w:rPr>
          <w:rFonts w:ascii="Book Antiqua" w:hAnsi="標楷體" w:hint="eastAsia"/>
          <w:color w:val="000000" w:themeColor="text1"/>
          <w:sz w:val="24"/>
        </w:rPr>
        <w:t xml:space="preserve"> -</w:t>
      </w:r>
      <w:r w:rsidRPr="00E224E9">
        <w:rPr>
          <w:rFonts w:ascii="Book Antiqua" w:hAnsi="標楷體"/>
          <w:color w:val="000000" w:themeColor="text1"/>
          <w:sz w:val="24"/>
        </w:rPr>
        <w:t xml:space="preserve"> </w:t>
      </w:r>
      <w:r w:rsidRPr="00E224E9">
        <w:rPr>
          <w:rFonts w:ascii="Book Antiqua" w:hAnsi="標楷體" w:hint="eastAsia"/>
          <w:color w:val="000000" w:themeColor="text1"/>
          <w:sz w:val="24"/>
        </w:rPr>
        <w:t>1.2.3.6.5</w:t>
      </w:r>
      <w:r w:rsidRPr="00E224E9">
        <w:rPr>
          <w:rFonts w:ascii="Book Antiqua" w:hAnsi="標楷體" w:hint="eastAsia"/>
          <w:color w:val="000000" w:themeColor="text1"/>
          <w:sz w:val="24"/>
        </w:rPr>
        <w:t>私募基金」</w:t>
      </w:r>
    </w:p>
    <w:p w14:paraId="173B30A3" w14:textId="301991F9" w:rsidR="00BB48EA" w:rsidRPr="00E224E9" w:rsidRDefault="00BB48EA" w:rsidP="00BB48EA">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標楷體" w:hint="eastAsia"/>
          <w:color w:val="000000" w:themeColor="text1"/>
          <w:sz w:val="24"/>
        </w:rPr>
        <w:t>按「表</w:t>
      </w:r>
      <w:r w:rsidRPr="00E224E9">
        <w:rPr>
          <w:rFonts w:ascii="Book Antiqua" w:hAnsi="標楷體" w:hint="eastAsia"/>
          <w:color w:val="000000" w:themeColor="text1"/>
          <w:sz w:val="24"/>
        </w:rPr>
        <w:t>12-2</w:t>
      </w:r>
      <w:r w:rsidRPr="00E224E9">
        <w:rPr>
          <w:rFonts w:ascii="Book Antiqua" w:hAnsi="標楷體" w:hint="eastAsia"/>
          <w:color w:val="000000" w:themeColor="text1"/>
          <w:sz w:val="24"/>
        </w:rPr>
        <w:t>：受益憑證及國外表彰基金餘額明細表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總計</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」相關欄位金額加計「表</w:t>
      </w:r>
      <w:r w:rsidRPr="00E224E9">
        <w:rPr>
          <w:rFonts w:ascii="Book Antiqua" w:hAnsi="標楷體" w:hint="eastAsia"/>
          <w:color w:val="000000" w:themeColor="text1"/>
          <w:sz w:val="24"/>
        </w:rPr>
        <w:t>30-14-1</w:t>
      </w:r>
      <w:r w:rsidRPr="00E224E9">
        <w:rPr>
          <w:rFonts w:ascii="Book Antiqua" w:hAnsi="標楷體" w:hint="eastAsia"/>
          <w:color w:val="000000" w:themeColor="text1"/>
          <w:sz w:val="24"/>
        </w:rPr>
        <w:t>：公司上市股票及基金β值計算表」國內發行其投資區域包含國外之</w:t>
      </w:r>
      <w:r w:rsidR="004A6AC7" w:rsidRPr="00E224E9">
        <w:rPr>
          <w:rFonts w:ascii="Book Antiqua" w:hAnsi="標楷體" w:hint="eastAsia"/>
          <w:color w:val="000000" w:themeColor="text1"/>
          <w:sz w:val="24"/>
        </w:rPr>
        <w:t>私募</w:t>
      </w:r>
      <w:r w:rsidRPr="00E224E9">
        <w:rPr>
          <w:rFonts w:ascii="Book Antiqua" w:hAnsi="標楷體" w:hint="eastAsia"/>
          <w:color w:val="000000" w:themeColor="text1"/>
          <w:sz w:val="24"/>
        </w:rPr>
        <w:t>基金帳載價值後之數額，乘以其所對應之風險係數計算風險資本額。</w:t>
      </w:r>
    </w:p>
    <w:p w14:paraId="61D493E8" w14:textId="0DA5032B" w:rsidR="0052588C" w:rsidRPr="00E224E9" w:rsidRDefault="0052588C" w:rsidP="004373AD">
      <w:pPr>
        <w:pStyle w:val="Item1"/>
        <w:numPr>
          <w:ilvl w:val="1"/>
          <w:numId w:val="33"/>
        </w:numPr>
        <w:tabs>
          <w:tab w:val="left" w:pos="1985"/>
        </w:tabs>
        <w:spacing w:line="440" w:lineRule="exact"/>
        <w:ind w:leftChars="0" w:firstLineChars="0"/>
        <w:jc w:val="both"/>
        <w:rPr>
          <w:rFonts w:ascii="Book Antiqua" w:hAnsi="標楷體"/>
          <w:color w:val="000000" w:themeColor="text1"/>
          <w:sz w:val="24"/>
        </w:rPr>
      </w:pPr>
      <w:r w:rsidRPr="00E224E9">
        <w:rPr>
          <w:rFonts w:ascii="Book Antiqua" w:hAnsi="標楷體"/>
          <w:color w:val="000000" w:themeColor="text1"/>
          <w:sz w:val="24"/>
        </w:rPr>
        <w:t>除上述</w:t>
      </w:r>
      <w:r w:rsidR="00796948" w:rsidRPr="00E224E9">
        <w:rPr>
          <w:rFonts w:ascii="Book Antiqua" w:hAnsi="標楷體" w:hint="eastAsia"/>
          <w:color w:val="000000" w:themeColor="text1"/>
          <w:sz w:val="24"/>
        </w:rPr>
        <w:t>(</w:t>
      </w:r>
      <w:r w:rsidR="00796948" w:rsidRPr="00E224E9">
        <w:rPr>
          <w:rFonts w:ascii="Book Antiqua" w:hAnsi="標楷體" w:hint="eastAsia"/>
          <w:color w:val="000000" w:themeColor="text1"/>
          <w:sz w:val="24"/>
        </w:rPr>
        <w:t>一</w:t>
      </w:r>
      <w:r w:rsidR="00796948" w:rsidRPr="00E224E9">
        <w:rPr>
          <w:rFonts w:ascii="Book Antiqua" w:hAnsi="標楷體" w:hint="eastAsia"/>
          <w:color w:val="000000" w:themeColor="text1"/>
          <w:sz w:val="24"/>
        </w:rPr>
        <w:t>)</w:t>
      </w:r>
      <w:r w:rsidR="00B305AB" w:rsidRPr="00E224E9">
        <w:rPr>
          <w:rFonts w:ascii="Book Antiqua" w:hAnsi="標楷體" w:hint="eastAsia"/>
          <w:color w:val="000000" w:themeColor="text1"/>
          <w:sz w:val="24"/>
        </w:rPr>
        <w:t>~</w:t>
      </w:r>
      <w:r w:rsidR="00796948" w:rsidRPr="00E224E9">
        <w:rPr>
          <w:rFonts w:ascii="Book Antiqua" w:hAnsi="標楷體" w:hint="eastAsia"/>
          <w:color w:val="000000" w:themeColor="text1"/>
          <w:sz w:val="24"/>
        </w:rPr>
        <w:t>(</w:t>
      </w:r>
      <w:r w:rsidR="00BB48EA" w:rsidRPr="00E224E9">
        <w:rPr>
          <w:rFonts w:ascii="Book Antiqua" w:hAnsi="標楷體" w:hint="eastAsia"/>
          <w:color w:val="000000" w:themeColor="text1"/>
          <w:sz w:val="24"/>
        </w:rPr>
        <w:t>八</w:t>
      </w:r>
      <w:r w:rsidR="00796948" w:rsidRPr="00E224E9">
        <w:rPr>
          <w:rFonts w:ascii="Book Antiqua" w:hAnsi="標楷體" w:hint="eastAsia"/>
          <w:color w:val="000000" w:themeColor="text1"/>
          <w:sz w:val="24"/>
        </w:rPr>
        <w:t>)</w:t>
      </w:r>
      <w:r w:rsidRPr="00E224E9">
        <w:rPr>
          <w:rFonts w:ascii="Book Antiqua" w:hAnsi="標楷體"/>
          <w:color w:val="000000" w:themeColor="text1"/>
          <w:sz w:val="24"/>
        </w:rPr>
        <w:t>以外之</w:t>
      </w:r>
      <w:r w:rsidR="008559F3" w:rsidRPr="00E224E9">
        <w:rPr>
          <w:rFonts w:ascii="Book Antiqua" w:hAnsi="標楷體" w:hint="eastAsia"/>
          <w:color w:val="000000" w:themeColor="text1"/>
          <w:sz w:val="24"/>
        </w:rPr>
        <w:t>受益憑證及國外表彰</w:t>
      </w:r>
      <w:r w:rsidRPr="00E224E9">
        <w:rPr>
          <w:rFonts w:ascii="Book Antiqua" w:hAnsi="標楷體"/>
          <w:color w:val="000000" w:themeColor="text1"/>
          <w:sz w:val="24"/>
        </w:rPr>
        <w:t>基金</w:t>
      </w:r>
    </w:p>
    <w:p w14:paraId="333B1DFF" w14:textId="77777777" w:rsidR="0052588C" w:rsidRPr="00E224E9" w:rsidRDefault="0052588C" w:rsidP="0052588C">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標楷體"/>
          <w:color w:val="000000" w:themeColor="text1"/>
          <w:sz w:val="24"/>
        </w:rPr>
        <w:t>按</w:t>
      </w:r>
      <w:r w:rsidR="008559F3" w:rsidRPr="00E224E9">
        <w:rPr>
          <w:rFonts w:ascii="Book Antiqua" w:hAnsi="標楷體" w:hint="eastAsia"/>
          <w:color w:val="000000" w:themeColor="text1"/>
          <w:sz w:val="24"/>
        </w:rPr>
        <w:t>「表</w:t>
      </w:r>
      <w:r w:rsidR="008559F3" w:rsidRPr="00E224E9">
        <w:rPr>
          <w:rFonts w:ascii="Book Antiqua" w:hAnsi="標楷體" w:hint="eastAsia"/>
          <w:color w:val="000000" w:themeColor="text1"/>
          <w:sz w:val="24"/>
        </w:rPr>
        <w:t>05-1</w:t>
      </w:r>
      <w:r w:rsidR="008559F3" w:rsidRPr="00E224E9">
        <w:rPr>
          <w:rFonts w:ascii="Book Antiqua" w:hAnsi="標楷體" w:hint="eastAsia"/>
          <w:color w:val="000000" w:themeColor="text1"/>
          <w:sz w:val="24"/>
        </w:rPr>
        <w:t>：資金運用表」</w:t>
      </w:r>
      <w:r w:rsidR="00944AD4" w:rsidRPr="00E224E9">
        <w:rPr>
          <w:rFonts w:ascii="Book Antiqua" w:hAnsi="標楷體" w:hint="eastAsia"/>
          <w:color w:val="000000" w:themeColor="text1"/>
          <w:sz w:val="24"/>
        </w:rPr>
        <w:t>及</w:t>
      </w:r>
      <w:r w:rsidRPr="00E224E9">
        <w:rPr>
          <w:rFonts w:ascii="Book Antiqua" w:hAnsi="標楷體"/>
          <w:color w:val="000000" w:themeColor="text1"/>
          <w:sz w:val="24"/>
        </w:rPr>
        <w:t>「</w:t>
      </w:r>
      <w:r w:rsidRPr="00E224E9">
        <w:rPr>
          <w:rFonts w:ascii="Book Antiqua" w:hAnsi="標楷體" w:hint="eastAsia"/>
          <w:color w:val="000000" w:themeColor="text1"/>
          <w:sz w:val="24"/>
        </w:rPr>
        <w:t>表</w:t>
      </w:r>
      <w:r w:rsidRPr="00E224E9">
        <w:rPr>
          <w:rFonts w:ascii="Book Antiqua" w:hAnsi="標楷體" w:hint="eastAsia"/>
          <w:color w:val="000000" w:themeColor="text1"/>
          <w:sz w:val="24"/>
        </w:rPr>
        <w:t>12-2</w:t>
      </w:r>
      <w:r w:rsidRPr="00E224E9">
        <w:rPr>
          <w:rFonts w:ascii="Book Antiqua" w:hAnsi="標楷體" w:hint="eastAsia"/>
          <w:color w:val="000000" w:themeColor="text1"/>
          <w:sz w:val="24"/>
        </w:rPr>
        <w:t>：受益憑證及國外表彰基金餘額明細表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總計</w:t>
      </w:r>
      <w:r w:rsidRPr="00E224E9">
        <w:rPr>
          <w:rFonts w:ascii="Book Antiqua" w:hAnsi="標楷體" w:hint="eastAsia"/>
          <w:color w:val="000000" w:themeColor="text1"/>
          <w:sz w:val="24"/>
        </w:rPr>
        <w:t>)</w:t>
      </w:r>
      <w:r w:rsidRPr="00E224E9">
        <w:rPr>
          <w:rFonts w:ascii="Book Antiqua" w:hAnsi="標楷體"/>
          <w:color w:val="000000" w:themeColor="text1"/>
          <w:sz w:val="24"/>
        </w:rPr>
        <w:t>」之相關欄位金額，乘以其所對應之風險係數計算風險資本額。</w:t>
      </w:r>
    </w:p>
    <w:p w14:paraId="7DFA9CFE" w14:textId="77777777" w:rsidR="00065C53" w:rsidRPr="00E224E9" w:rsidRDefault="00065C53">
      <w:pPr>
        <w:pStyle w:val="Item1"/>
        <w:spacing w:line="440" w:lineRule="exact"/>
        <w:ind w:left="1455" w:hangingChars="200" w:hanging="480"/>
        <w:jc w:val="both"/>
        <w:rPr>
          <w:rFonts w:ascii="Book Antiqua" w:hAnsi="Book Antiqua"/>
          <w:color w:val="000000" w:themeColor="text1"/>
          <w:sz w:val="24"/>
        </w:rPr>
      </w:pPr>
      <w:r w:rsidRPr="00E224E9">
        <w:rPr>
          <w:rFonts w:ascii="Book Antiqua" w:hAnsi="Book Antiqua"/>
          <w:color w:val="000000" w:themeColor="text1"/>
          <w:sz w:val="24"/>
        </w:rPr>
        <w:t>三、以專案運用公共及社會福利事業投資之資金運用承做放款部分（非政策性），歸屬於上述之放款項目之中。</w:t>
      </w:r>
    </w:p>
    <w:p w14:paraId="1265C8EB" w14:textId="2363FCC8" w:rsidR="00065C53" w:rsidRPr="00E224E9" w:rsidRDefault="00065C53" w:rsidP="00CB43FB">
      <w:pPr>
        <w:pStyle w:val="Item1"/>
        <w:spacing w:line="440" w:lineRule="exact"/>
        <w:ind w:left="1495" w:hangingChars="200" w:hanging="520"/>
        <w:jc w:val="both"/>
        <w:rPr>
          <w:rFonts w:ascii="Book Antiqua" w:hAnsi="Book Antiqua"/>
          <w:color w:val="000000" w:themeColor="text1"/>
          <w:spacing w:val="10"/>
          <w:sz w:val="24"/>
        </w:rPr>
      </w:pPr>
      <w:r w:rsidRPr="00E224E9">
        <w:rPr>
          <w:rFonts w:ascii="Book Antiqua" w:hAnsi="Book Antiqua"/>
          <w:color w:val="000000" w:themeColor="text1"/>
          <w:spacing w:val="10"/>
          <w:sz w:val="24"/>
        </w:rPr>
        <w:t>四、前項</w:t>
      </w:r>
      <w:r w:rsidRPr="00E224E9">
        <w:rPr>
          <w:rFonts w:ascii="Book Antiqua" w:hAnsi="Book Antiqua"/>
          <w:color w:val="000000" w:themeColor="text1"/>
          <w:sz w:val="24"/>
        </w:rPr>
        <w:t>不動產項目</w:t>
      </w:r>
      <w:r w:rsidRPr="00E224E9">
        <w:rPr>
          <w:rFonts w:ascii="Book Antiqua" w:hAnsi="Book Antiqua"/>
          <w:color w:val="000000" w:themeColor="text1"/>
          <w:spacing w:val="10"/>
          <w:sz w:val="24"/>
        </w:rPr>
        <w:t>之填報，以過去五年內取得者為依據。其填報金額需與「表</w:t>
      </w:r>
      <w:r w:rsidRPr="00E224E9">
        <w:rPr>
          <w:rFonts w:ascii="Book Antiqua" w:hAnsi="Book Antiqua"/>
          <w:color w:val="000000" w:themeColor="text1"/>
          <w:spacing w:val="10"/>
          <w:sz w:val="24"/>
        </w:rPr>
        <w:t>13-2</w:t>
      </w:r>
      <w:r w:rsidRPr="00E224E9">
        <w:rPr>
          <w:rFonts w:ascii="Book Antiqua" w:hAnsi="Book Antiqua"/>
          <w:color w:val="000000" w:themeColor="text1"/>
          <w:spacing w:val="10"/>
          <w:sz w:val="24"/>
        </w:rPr>
        <w:t>：不動產餘額明細表</w:t>
      </w:r>
      <w:r w:rsidRPr="00E224E9">
        <w:rPr>
          <w:rFonts w:ascii="Book Antiqua" w:hAnsi="Book Antiqua"/>
          <w:color w:val="000000" w:themeColor="text1"/>
          <w:spacing w:val="10"/>
          <w:sz w:val="24"/>
        </w:rPr>
        <w:t>(</w:t>
      </w:r>
      <w:r w:rsidRPr="00E224E9">
        <w:rPr>
          <w:rFonts w:ascii="Book Antiqua" w:hAnsi="Book Antiqua"/>
          <w:color w:val="000000" w:themeColor="text1"/>
          <w:spacing w:val="10"/>
          <w:sz w:val="24"/>
        </w:rPr>
        <w:t>總計</w:t>
      </w:r>
      <w:r w:rsidRPr="00E224E9">
        <w:rPr>
          <w:rFonts w:ascii="Book Antiqua" w:hAnsi="Book Antiqua"/>
          <w:color w:val="000000" w:themeColor="text1"/>
          <w:spacing w:val="10"/>
          <w:sz w:val="24"/>
        </w:rPr>
        <w:t>)</w:t>
      </w:r>
      <w:r w:rsidRPr="00E224E9">
        <w:rPr>
          <w:rFonts w:ascii="Book Antiqua" w:hAnsi="Book Antiqua"/>
          <w:color w:val="000000" w:themeColor="text1"/>
          <w:spacing w:val="10"/>
          <w:sz w:val="24"/>
        </w:rPr>
        <w:t>」中「五年內取自關係人之不動產總計」加計「表</w:t>
      </w:r>
      <w:r w:rsidRPr="00E224E9">
        <w:rPr>
          <w:rFonts w:ascii="Book Antiqua" w:hAnsi="Book Antiqua"/>
          <w:color w:val="000000" w:themeColor="text1"/>
          <w:spacing w:val="10"/>
          <w:sz w:val="24"/>
        </w:rPr>
        <w:t>30-7-3</w:t>
      </w:r>
      <w:r w:rsidRPr="00E224E9">
        <w:rPr>
          <w:rFonts w:ascii="Book Antiqua" w:hAnsi="Book Antiqua"/>
          <w:color w:val="000000" w:themeColor="text1"/>
          <w:spacing w:val="10"/>
          <w:sz w:val="24"/>
        </w:rPr>
        <w:t>：不動產投資採</w:t>
      </w:r>
      <w:r w:rsidR="00A65DB4" w:rsidRPr="00E224E9">
        <w:rPr>
          <w:rFonts w:ascii="Book Antiqua" w:hAnsi="Book Antiqua"/>
          <w:color w:val="000000" w:themeColor="text1"/>
          <w:spacing w:val="10"/>
          <w:sz w:val="24"/>
        </w:rPr>
        <w:t>公允價值</w:t>
      </w:r>
      <w:r w:rsidRPr="00E224E9">
        <w:rPr>
          <w:rFonts w:ascii="Book Antiqua" w:hAnsi="Book Antiqua"/>
          <w:color w:val="000000" w:themeColor="text1"/>
          <w:spacing w:val="10"/>
          <w:sz w:val="24"/>
        </w:rPr>
        <w:t>評價計入自有資本調整計算表」中「五年內取自關係人之不動產總計」及</w:t>
      </w:r>
      <w:r w:rsidRPr="00E224E9">
        <w:rPr>
          <w:rFonts w:ascii="Book Antiqua" w:eastAsia="新細明體" w:hAnsi="Book Antiqua"/>
          <w:color w:val="000000" w:themeColor="text1"/>
          <w:spacing w:val="10"/>
          <w:sz w:val="24"/>
        </w:rPr>
        <w:t>「</w:t>
      </w:r>
      <w:r w:rsidRPr="00E224E9">
        <w:rPr>
          <w:rFonts w:ascii="Book Antiqua" w:hAnsi="Book Antiqua"/>
          <w:color w:val="000000" w:themeColor="text1"/>
          <w:spacing w:val="10"/>
          <w:sz w:val="24"/>
        </w:rPr>
        <w:t>表</w:t>
      </w:r>
      <w:r w:rsidRPr="00E224E9">
        <w:rPr>
          <w:rFonts w:ascii="Book Antiqua" w:hAnsi="Book Antiqua"/>
          <w:color w:val="000000" w:themeColor="text1"/>
          <w:spacing w:val="10"/>
          <w:sz w:val="24"/>
        </w:rPr>
        <w:t>30-7-4</w:t>
      </w:r>
      <w:r w:rsidRPr="00E224E9">
        <w:rPr>
          <w:rFonts w:ascii="Book Antiqua" w:hAnsi="Book Antiqua"/>
          <w:color w:val="000000" w:themeColor="text1"/>
          <w:spacing w:val="10"/>
          <w:sz w:val="24"/>
        </w:rPr>
        <w:t>：</w:t>
      </w:r>
      <w:r w:rsidR="003064C1" w:rsidRPr="00E224E9">
        <w:rPr>
          <w:rFonts w:ascii="Book Antiqua" w:hAnsi="Book Antiqua"/>
          <w:color w:val="000000" w:themeColor="text1"/>
          <w:spacing w:val="10"/>
          <w:sz w:val="24"/>
        </w:rPr>
        <w:t>投資性不動產</w:t>
      </w:r>
      <w:r w:rsidRPr="00E224E9">
        <w:rPr>
          <w:rFonts w:ascii="Book Antiqua" w:hAnsi="Book Antiqua"/>
          <w:color w:val="000000" w:themeColor="text1"/>
          <w:spacing w:val="10"/>
          <w:sz w:val="24"/>
        </w:rPr>
        <w:t>為素地或未能符合即時利用並有收益認定</w:t>
      </w:r>
      <w:r w:rsidR="00773B71" w:rsidRPr="00E224E9">
        <w:rPr>
          <w:rFonts w:ascii="Book Antiqua" w:hAnsi="Book Antiqua" w:hint="eastAsia"/>
          <w:color w:val="000000" w:themeColor="text1"/>
          <w:spacing w:val="10"/>
          <w:sz w:val="24"/>
        </w:rPr>
        <w:t>基</w:t>
      </w:r>
      <w:r w:rsidRPr="00E224E9">
        <w:rPr>
          <w:rFonts w:ascii="Book Antiqua" w:hAnsi="Book Antiqua"/>
          <w:color w:val="000000" w:themeColor="text1"/>
          <w:spacing w:val="10"/>
          <w:sz w:val="24"/>
        </w:rPr>
        <w:t>準者加計風險資本額調整計算表」中「五年內取自關係人之不動產」之金額</w:t>
      </w:r>
      <w:r w:rsidRPr="00E224E9">
        <w:rPr>
          <w:rFonts w:ascii="Book Antiqua" w:hAnsi="Book Antiqua"/>
          <w:color w:val="000000" w:themeColor="text1"/>
          <w:spacing w:val="10"/>
          <w:sz w:val="24"/>
        </w:rPr>
        <w:lastRenderedPageBreak/>
        <w:t>合計數一致。</w:t>
      </w:r>
    </w:p>
    <w:p w14:paraId="65D99099" w14:textId="77777777" w:rsidR="008559F3" w:rsidRPr="00E224E9" w:rsidRDefault="00917922">
      <w:pPr>
        <w:pStyle w:val="Item1"/>
        <w:spacing w:line="440" w:lineRule="exact"/>
        <w:ind w:left="1495" w:hangingChars="200" w:hanging="520"/>
        <w:jc w:val="both"/>
        <w:rPr>
          <w:rFonts w:ascii="Book Antiqua" w:hAnsi="Book Antiqua"/>
          <w:color w:val="000000" w:themeColor="text1"/>
          <w:spacing w:val="10"/>
          <w:sz w:val="24"/>
        </w:rPr>
      </w:pPr>
      <w:r w:rsidRPr="00E224E9">
        <w:rPr>
          <w:rFonts w:ascii="Book Antiqua" w:hAnsi="Book Antiqua"/>
          <w:color w:val="000000" w:themeColor="text1"/>
          <w:spacing w:val="10"/>
          <w:sz w:val="24"/>
        </w:rPr>
        <w:t>五、「其他投資」</w:t>
      </w:r>
      <w:r w:rsidR="008559F3" w:rsidRPr="00E224E9">
        <w:rPr>
          <w:rFonts w:ascii="Book Antiqua" w:hAnsi="Book Antiqua"/>
          <w:color w:val="000000" w:themeColor="text1"/>
          <w:spacing w:val="10"/>
          <w:sz w:val="24"/>
        </w:rPr>
        <w:t>：</w:t>
      </w:r>
    </w:p>
    <w:p w14:paraId="668D2462" w14:textId="77777777" w:rsidR="008559F3" w:rsidRPr="00E224E9" w:rsidRDefault="00917922" w:rsidP="004373AD">
      <w:pPr>
        <w:pStyle w:val="Item1"/>
        <w:numPr>
          <w:ilvl w:val="0"/>
          <w:numId w:val="39"/>
        </w:numPr>
        <w:tabs>
          <w:tab w:val="left" w:pos="1985"/>
        </w:tabs>
        <w:spacing w:line="440" w:lineRule="exact"/>
        <w:ind w:leftChars="0" w:firstLineChars="0"/>
        <w:jc w:val="both"/>
        <w:rPr>
          <w:rFonts w:ascii="Book Antiqua" w:hAnsi="Book Antiqua"/>
          <w:color w:val="000000" w:themeColor="text1"/>
          <w:spacing w:val="10"/>
          <w:sz w:val="24"/>
        </w:rPr>
      </w:pPr>
      <w:r w:rsidRPr="00E224E9">
        <w:rPr>
          <w:rFonts w:ascii="Book Antiqua" w:hAnsi="Book Antiqua"/>
          <w:color w:val="000000" w:themeColor="text1"/>
          <w:spacing w:val="10"/>
          <w:sz w:val="24"/>
        </w:rPr>
        <w:t>「專案運用、公共及社會福利事業與其他主管機關核准項目」</w:t>
      </w:r>
    </w:p>
    <w:p w14:paraId="4FB9A588" w14:textId="77777777" w:rsidR="00917922" w:rsidRPr="00E224E9" w:rsidRDefault="00917922" w:rsidP="008559F3">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E224E9">
        <w:rPr>
          <w:rFonts w:ascii="Book Antiqua" w:hAnsi="Book Antiqua"/>
          <w:color w:val="000000" w:themeColor="text1"/>
          <w:spacing w:val="10"/>
          <w:sz w:val="24"/>
        </w:rPr>
        <w:t>適用各類型資產，適用範圍包括依「保險業資金辦理專案運用公共及社會福利事業投資管理辦法」第</w:t>
      </w:r>
      <w:r w:rsidRPr="00E224E9">
        <w:rPr>
          <w:rFonts w:ascii="Book Antiqua" w:hAnsi="Book Antiqua"/>
          <w:color w:val="000000" w:themeColor="text1"/>
          <w:spacing w:val="10"/>
          <w:sz w:val="24"/>
        </w:rPr>
        <w:t>3</w:t>
      </w:r>
      <w:r w:rsidRPr="00E224E9">
        <w:rPr>
          <w:rFonts w:ascii="Book Antiqua" w:hAnsi="Book Antiqua"/>
          <w:color w:val="000000" w:themeColor="text1"/>
          <w:spacing w:val="10"/>
          <w:sz w:val="24"/>
        </w:rPr>
        <w:t>條及第</w:t>
      </w:r>
      <w:r w:rsidRPr="00E224E9">
        <w:rPr>
          <w:rFonts w:ascii="Book Antiqua" w:hAnsi="Book Antiqua"/>
          <w:color w:val="000000" w:themeColor="text1"/>
          <w:spacing w:val="10"/>
          <w:sz w:val="24"/>
        </w:rPr>
        <w:t>4</w:t>
      </w:r>
      <w:r w:rsidRPr="00E224E9">
        <w:rPr>
          <w:rFonts w:ascii="Book Antiqua" w:hAnsi="Book Antiqua"/>
          <w:color w:val="000000" w:themeColor="text1"/>
          <w:spacing w:val="10"/>
          <w:sz w:val="24"/>
        </w:rPr>
        <w:t>條規定或依「保險業投資保險相關事業管理辦法」申請核准辦理之公共建設或社會福利事業</w:t>
      </w:r>
      <w:r w:rsidRPr="00E224E9">
        <w:rPr>
          <w:rFonts w:ascii="Book Antiqua" w:hAnsi="Book Antiqua"/>
          <w:color w:val="000000" w:themeColor="text1"/>
          <w:spacing w:val="10"/>
          <w:sz w:val="24"/>
        </w:rPr>
        <w:t>(</w:t>
      </w:r>
      <w:r w:rsidRPr="00E224E9">
        <w:rPr>
          <w:rFonts w:ascii="Book Antiqua" w:hAnsi="Book Antiqua"/>
          <w:color w:val="000000" w:themeColor="text1"/>
          <w:spacing w:val="10"/>
          <w:sz w:val="24"/>
        </w:rPr>
        <w:t>含長期照護產業</w:t>
      </w:r>
      <w:r w:rsidRPr="00E224E9">
        <w:rPr>
          <w:rFonts w:ascii="Book Antiqua" w:hAnsi="Book Antiqua"/>
          <w:color w:val="000000" w:themeColor="text1"/>
          <w:spacing w:val="10"/>
          <w:sz w:val="24"/>
        </w:rPr>
        <w:t>)</w:t>
      </w:r>
      <w:r w:rsidRPr="00E224E9">
        <w:rPr>
          <w:rFonts w:ascii="Book Antiqua" w:hAnsi="Book Antiqua"/>
          <w:color w:val="000000" w:themeColor="text1"/>
          <w:spacing w:val="10"/>
          <w:sz w:val="24"/>
        </w:rPr>
        <w:t>投資。</w:t>
      </w:r>
    </w:p>
    <w:p w14:paraId="20103BC2" w14:textId="4582031B" w:rsidR="008559F3" w:rsidRPr="00E224E9" w:rsidRDefault="008559F3" w:rsidP="004373AD">
      <w:pPr>
        <w:pStyle w:val="Item1"/>
        <w:numPr>
          <w:ilvl w:val="0"/>
          <w:numId w:val="39"/>
        </w:numPr>
        <w:tabs>
          <w:tab w:val="left" w:pos="1985"/>
        </w:tabs>
        <w:spacing w:line="440" w:lineRule="exact"/>
        <w:ind w:leftChars="0" w:firstLineChars="0"/>
        <w:jc w:val="both"/>
        <w:rPr>
          <w:rFonts w:ascii="Book Antiqua" w:hAnsi="Book Antiqua"/>
          <w:color w:val="000000" w:themeColor="text1"/>
          <w:spacing w:val="10"/>
          <w:sz w:val="24"/>
        </w:rPr>
      </w:pPr>
      <w:r w:rsidRPr="00E224E9">
        <w:rPr>
          <w:rFonts w:ascii="Book Antiqua" w:hAnsi="Book Antiqua" w:hint="eastAsia"/>
          <w:color w:val="000000" w:themeColor="text1"/>
          <w:spacing w:val="10"/>
          <w:sz w:val="24"/>
        </w:rPr>
        <w:t>「公共投資</w:t>
      </w:r>
      <w:r w:rsidR="00142A68" w:rsidRPr="00E224E9">
        <w:rPr>
          <w:rFonts w:ascii="Book Antiqua" w:hAnsi="Book Antiqua" w:hint="eastAsia"/>
          <w:color w:val="000000" w:themeColor="text1"/>
          <w:spacing w:val="10"/>
          <w:sz w:val="24"/>
        </w:rPr>
        <w:t>、</w:t>
      </w:r>
      <w:r w:rsidRPr="00E224E9">
        <w:rPr>
          <w:rFonts w:ascii="Book Antiqua" w:hAnsi="Book Antiqua" w:hint="eastAsia"/>
          <w:color w:val="000000" w:themeColor="text1"/>
          <w:spacing w:val="10"/>
          <w:sz w:val="24"/>
        </w:rPr>
        <w:t>5+2</w:t>
      </w:r>
      <w:r w:rsidR="00142A68" w:rsidRPr="00E224E9">
        <w:rPr>
          <w:rFonts w:ascii="Book Antiqua" w:hAnsi="標楷體" w:hint="eastAsia"/>
          <w:color w:val="000000" w:themeColor="text1"/>
          <w:sz w:val="24"/>
        </w:rPr>
        <w:t>及六大核心</w:t>
      </w:r>
      <w:r w:rsidRPr="00E224E9">
        <w:rPr>
          <w:rFonts w:ascii="Book Antiqua" w:hAnsi="Book Antiqua" w:hint="eastAsia"/>
          <w:color w:val="000000" w:themeColor="text1"/>
          <w:spacing w:val="10"/>
          <w:sz w:val="24"/>
        </w:rPr>
        <w:t>產業」</w:t>
      </w:r>
    </w:p>
    <w:p w14:paraId="29D143CA" w14:textId="3DC57B96" w:rsidR="008559F3" w:rsidRPr="00E224E9" w:rsidRDefault="0095056D" w:rsidP="008559F3">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E224E9">
        <w:rPr>
          <w:rFonts w:ascii="Book Antiqua" w:hAnsi="Book Antiqua" w:hint="eastAsia"/>
          <w:color w:val="000000" w:themeColor="text1"/>
          <w:spacing w:val="10"/>
          <w:sz w:val="24"/>
        </w:rPr>
        <w:t>同表「</w:t>
      </w:r>
      <w:r w:rsidRPr="00E224E9">
        <w:rPr>
          <w:rFonts w:ascii="Book Antiqua" w:hAnsi="Book Antiqua"/>
          <w:color w:val="000000" w:themeColor="text1"/>
          <w:spacing w:val="10"/>
          <w:sz w:val="24"/>
        </w:rPr>
        <w:t>05-1</w:t>
      </w:r>
      <w:r w:rsidRPr="00E224E9">
        <w:rPr>
          <w:rFonts w:ascii="Book Antiqua" w:hAnsi="Book Antiqua" w:hint="eastAsia"/>
          <w:color w:val="000000" w:themeColor="text1"/>
          <w:spacing w:val="10"/>
          <w:sz w:val="24"/>
        </w:rPr>
        <w:t>」的「公共投資、</w:t>
      </w:r>
      <w:r w:rsidRPr="00E224E9">
        <w:rPr>
          <w:rFonts w:ascii="Book Antiqua" w:hAnsi="Book Antiqua"/>
          <w:color w:val="000000" w:themeColor="text1"/>
          <w:spacing w:val="10"/>
          <w:sz w:val="24"/>
        </w:rPr>
        <w:t>5+2</w:t>
      </w:r>
      <w:r w:rsidRPr="00E224E9">
        <w:rPr>
          <w:rFonts w:ascii="Book Antiqua" w:hAnsi="標楷體" w:hint="eastAsia"/>
          <w:color w:val="000000" w:themeColor="text1"/>
          <w:sz w:val="24"/>
        </w:rPr>
        <w:t>及六大核心</w:t>
      </w:r>
      <w:r w:rsidRPr="00E224E9">
        <w:rPr>
          <w:rFonts w:ascii="Book Antiqua" w:hAnsi="Book Antiqua" w:hint="eastAsia"/>
          <w:color w:val="000000" w:themeColor="text1"/>
          <w:spacing w:val="10"/>
          <w:sz w:val="24"/>
        </w:rPr>
        <w:t>產業」定義</w:t>
      </w:r>
      <w:r w:rsidR="008559F3" w:rsidRPr="00E224E9">
        <w:rPr>
          <w:rFonts w:ascii="Book Antiqua" w:hAnsi="Book Antiqua" w:hint="eastAsia"/>
          <w:color w:val="000000" w:themeColor="text1"/>
          <w:spacing w:val="10"/>
          <w:sz w:val="24"/>
        </w:rPr>
        <w:t>。</w:t>
      </w:r>
    </w:p>
    <w:p w14:paraId="5C226CB4" w14:textId="77777777" w:rsidR="00065C53" w:rsidRPr="00E224E9" w:rsidRDefault="00065C53">
      <w:pPr>
        <w:pStyle w:val="Item1"/>
        <w:spacing w:line="440" w:lineRule="exact"/>
        <w:ind w:left="1455" w:hangingChars="200" w:hanging="480"/>
        <w:jc w:val="both"/>
        <w:rPr>
          <w:rFonts w:ascii="Book Antiqua" w:hAnsi="Book Antiqua"/>
          <w:color w:val="000000" w:themeColor="text1"/>
          <w:sz w:val="24"/>
        </w:rPr>
      </w:pPr>
    </w:p>
    <w:p w14:paraId="2FB12ACE" w14:textId="77777777" w:rsidR="00065C53" w:rsidRPr="00E224E9" w:rsidRDefault="00065C53">
      <w:pPr>
        <w:pStyle w:val="Layer2"/>
        <w:spacing w:line="440" w:lineRule="exact"/>
        <w:jc w:val="both"/>
        <w:rPr>
          <w:rFonts w:ascii="Book Antiqua" w:hAnsi="Book Antiqua"/>
          <w:color w:val="000000" w:themeColor="text1"/>
        </w:rPr>
      </w:pPr>
      <w:bookmarkStart w:id="118" w:name="_Toc7492327"/>
      <w:r w:rsidRPr="00E224E9">
        <w:rPr>
          <w:rFonts w:ascii="Book Antiqua" w:hAnsi="Book Antiqua"/>
          <w:color w:val="000000" w:themeColor="text1"/>
        </w:rPr>
        <w:t>0.2</w:t>
      </w:r>
      <w:r w:rsidRPr="00E224E9">
        <w:rPr>
          <w:rFonts w:ascii="Book Antiqua" w:hAnsi="Book Antiqua"/>
          <w:color w:val="000000" w:themeColor="text1"/>
        </w:rPr>
        <w:t>非控制與從屬關係之關係人交易</w:t>
      </w:r>
      <w:bookmarkEnd w:id="118"/>
    </w:p>
    <w:p w14:paraId="3AC3EC84" w14:textId="77777777" w:rsidR="00065C53" w:rsidRPr="00E224E9" w:rsidRDefault="00065C53">
      <w:pPr>
        <w:pStyle w:val="Item1"/>
        <w:spacing w:line="440" w:lineRule="exact"/>
        <w:ind w:leftChars="150" w:left="870" w:hangingChars="200" w:hanging="480"/>
        <w:jc w:val="both"/>
        <w:rPr>
          <w:rFonts w:ascii="Book Antiqua" w:hAnsi="Book Antiqua"/>
          <w:color w:val="000000" w:themeColor="text1"/>
          <w:sz w:val="24"/>
        </w:rPr>
      </w:pPr>
      <w:r w:rsidRPr="00E224E9">
        <w:rPr>
          <w:rFonts w:ascii="Book Antiqua" w:hAnsi="Book Antiqua"/>
          <w:color w:val="000000" w:themeColor="text1"/>
          <w:sz w:val="24"/>
        </w:rPr>
        <w:t>一、非控制與從屬關係關係人交易係指公司對除控制與從屬關係外之關係人透過交易或其他事項所獲得之經濟資源，能以貨幣衡量並預期未來能提供經濟效益者。</w:t>
      </w:r>
    </w:p>
    <w:p w14:paraId="095548F7" w14:textId="77777777" w:rsidR="00650F79" w:rsidRPr="00E224E9" w:rsidRDefault="00065C53" w:rsidP="00650F79">
      <w:pPr>
        <w:spacing w:line="440" w:lineRule="exact"/>
        <w:ind w:leftChars="138" w:left="820" w:hangingChars="192" w:hanging="461"/>
        <w:jc w:val="both"/>
        <w:rPr>
          <w:rFonts w:ascii="Book Antiqua" w:hAnsi="Book Antiqua"/>
          <w:color w:val="000000" w:themeColor="text1"/>
          <w:sz w:val="24"/>
        </w:rPr>
      </w:pPr>
      <w:r w:rsidRPr="00E224E9">
        <w:rPr>
          <w:rFonts w:ascii="Book Antiqua" w:hAnsi="Book Antiqua"/>
          <w:color w:val="000000" w:themeColor="text1"/>
          <w:sz w:val="24"/>
        </w:rPr>
        <w:t>二、其分類定義同「</w:t>
      </w:r>
      <w:r w:rsidRPr="00E224E9">
        <w:rPr>
          <w:rFonts w:ascii="Book Antiqua" w:hAnsi="Book Antiqua"/>
          <w:color w:val="000000" w:themeColor="text1"/>
          <w:sz w:val="24"/>
        </w:rPr>
        <w:t>0.1</w:t>
      </w:r>
      <w:r w:rsidRPr="00E224E9">
        <w:rPr>
          <w:rFonts w:ascii="Book Antiqua" w:hAnsi="Book Antiqua"/>
          <w:color w:val="000000" w:themeColor="text1"/>
          <w:sz w:val="24"/>
        </w:rPr>
        <w:t>具控制與從屬關係之關係人交易」之說明。</w:t>
      </w:r>
      <w:bookmarkStart w:id="119" w:name="_Toc219262252"/>
    </w:p>
    <w:p w14:paraId="27DCEA5F" w14:textId="77777777" w:rsidR="00650F79" w:rsidRPr="00E224E9" w:rsidRDefault="00650F79" w:rsidP="00650F79">
      <w:pPr>
        <w:spacing w:line="440" w:lineRule="exact"/>
        <w:jc w:val="both"/>
        <w:rPr>
          <w:rFonts w:ascii="Book Antiqua" w:hAnsi="Book Antiqua"/>
          <w:color w:val="000000" w:themeColor="text1"/>
        </w:rPr>
      </w:pPr>
    </w:p>
    <w:p w14:paraId="611812A8" w14:textId="77777777" w:rsidR="00065C53" w:rsidRPr="00E224E9" w:rsidRDefault="00065C53" w:rsidP="00F3152E">
      <w:pPr>
        <w:pStyle w:val="1"/>
        <w:pageBreakBefore/>
        <w:spacing w:after="120" w:line="440" w:lineRule="exact"/>
        <w:jc w:val="both"/>
        <w:rPr>
          <w:color w:val="000000" w:themeColor="text1"/>
        </w:rPr>
      </w:pPr>
      <w:bookmarkStart w:id="120" w:name="_Toc200468549"/>
      <w:r w:rsidRPr="00E224E9">
        <w:rPr>
          <w:color w:val="000000" w:themeColor="text1"/>
        </w:rPr>
        <w:lastRenderedPageBreak/>
        <w:t>表30-3：C1:資產風險─非關係人風險計算表</w:t>
      </w:r>
      <w:bookmarkEnd w:id="119"/>
      <w:bookmarkEnd w:id="120"/>
    </w:p>
    <w:p w14:paraId="73909031" w14:textId="77777777" w:rsidR="00065C53" w:rsidRPr="00E224E9" w:rsidRDefault="00065C53">
      <w:pPr>
        <w:pStyle w:val="Layer1"/>
        <w:spacing w:line="440" w:lineRule="exact"/>
        <w:rPr>
          <w:rFonts w:ascii="Book Antiqua" w:hAnsi="Book Antiqua"/>
          <w:color w:val="000000" w:themeColor="text1"/>
          <w:sz w:val="24"/>
        </w:rPr>
      </w:pPr>
      <w:r w:rsidRPr="00E224E9">
        <w:rPr>
          <w:rFonts w:ascii="Book Antiqua" w:hAnsi="Book Antiqua"/>
          <w:color w:val="000000" w:themeColor="text1"/>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14:paraId="0BF8ADDA" w14:textId="77777777" w:rsidR="00065C53" w:rsidRPr="00E224E9" w:rsidRDefault="00065C53">
      <w:pPr>
        <w:pStyle w:val="Layer2"/>
        <w:spacing w:line="440" w:lineRule="exact"/>
        <w:jc w:val="both"/>
        <w:rPr>
          <w:rFonts w:ascii="Book Antiqua" w:hAnsi="Book Antiqua"/>
          <w:color w:val="000000" w:themeColor="text1"/>
        </w:rPr>
      </w:pPr>
    </w:p>
    <w:p w14:paraId="5E323605" w14:textId="77777777" w:rsidR="00065C53" w:rsidRPr="00E224E9" w:rsidRDefault="00065C53">
      <w:pPr>
        <w:pStyle w:val="Layer2"/>
        <w:spacing w:line="440" w:lineRule="exact"/>
        <w:ind w:firstLineChars="225" w:firstLine="540"/>
        <w:jc w:val="both"/>
        <w:rPr>
          <w:rFonts w:ascii="Book Antiqua" w:hAnsi="Book Antiqua"/>
          <w:color w:val="000000" w:themeColor="text1"/>
        </w:rPr>
      </w:pPr>
      <w:r w:rsidRPr="00E224E9">
        <w:rPr>
          <w:rFonts w:ascii="Book Antiqua" w:hAnsi="Book Antiqua"/>
          <w:color w:val="000000" w:themeColor="text1"/>
        </w:rPr>
        <w:t>本表之非關係人風險資本額係「一般帳戶資產」以及「勞退年金分離帳戶資產」之風險資本額加總之和。風險資本額係按人身保險業資本適足性相關填報表格所記載之金額</w:t>
      </w:r>
      <w:r w:rsidRPr="00E224E9">
        <w:rPr>
          <w:rFonts w:ascii="Book Antiqua" w:hAnsi="Book Antiqua"/>
          <w:color w:val="000000" w:themeColor="text1"/>
        </w:rPr>
        <w:t>(</w:t>
      </w:r>
      <w:r w:rsidRPr="00E224E9">
        <w:rPr>
          <w:rFonts w:ascii="Book Antiqua" w:hAnsi="Book Antiqua"/>
          <w:color w:val="000000" w:themeColor="text1"/>
        </w:rPr>
        <w:t>請參見「資料來源」一欄</w:t>
      </w:r>
      <w:r w:rsidRPr="00E224E9">
        <w:rPr>
          <w:rFonts w:ascii="Book Antiqua" w:hAnsi="Book Antiqua"/>
          <w:color w:val="000000" w:themeColor="text1"/>
        </w:rPr>
        <w:t>)</w:t>
      </w:r>
      <w:r w:rsidRPr="00E224E9">
        <w:rPr>
          <w:rFonts w:ascii="Book Antiqua" w:hAnsi="Book Antiqua"/>
          <w:color w:val="000000" w:themeColor="text1"/>
        </w:rPr>
        <w:t>乘以其所對應之風險係數計算而得。</w:t>
      </w:r>
    </w:p>
    <w:p w14:paraId="474F5600" w14:textId="77777777" w:rsidR="00065C53" w:rsidRPr="00E224E9" w:rsidRDefault="00065C53">
      <w:pPr>
        <w:pStyle w:val="Layer2"/>
        <w:spacing w:line="440" w:lineRule="exact"/>
        <w:jc w:val="both"/>
        <w:rPr>
          <w:rFonts w:ascii="Book Antiqua" w:hAnsi="Book Antiqua"/>
          <w:color w:val="000000" w:themeColor="text1"/>
        </w:rPr>
      </w:pPr>
    </w:p>
    <w:p w14:paraId="49A32553" w14:textId="77777777" w:rsidR="00065C53" w:rsidRPr="00E224E9" w:rsidRDefault="00065C53">
      <w:pPr>
        <w:pStyle w:val="Layer1"/>
        <w:spacing w:line="440" w:lineRule="exact"/>
        <w:rPr>
          <w:rFonts w:ascii="Book Antiqua" w:hAnsi="Book Antiqua"/>
          <w:color w:val="000000" w:themeColor="text1"/>
          <w:sz w:val="24"/>
        </w:rPr>
      </w:pPr>
      <w:r w:rsidRPr="00E224E9">
        <w:rPr>
          <w:rFonts w:ascii="Book Antiqua" w:hAnsi="Book Antiqua"/>
          <w:color w:val="000000" w:themeColor="text1"/>
          <w:sz w:val="24"/>
        </w:rPr>
        <w:t>本項風險依資產性質區分為</w:t>
      </w:r>
      <w:r w:rsidRPr="00E224E9">
        <w:rPr>
          <w:rFonts w:ascii="Book Antiqua" w:hAnsi="Book Antiqua"/>
          <w:color w:val="000000" w:themeColor="text1"/>
          <w:sz w:val="24"/>
        </w:rPr>
        <w:t>(1)</w:t>
      </w:r>
      <w:r w:rsidRPr="00E224E9">
        <w:rPr>
          <w:rFonts w:ascii="Book Antiqua" w:hAnsi="Book Antiqua"/>
          <w:color w:val="000000" w:themeColor="text1"/>
          <w:sz w:val="24"/>
        </w:rPr>
        <w:t>國內資產風險、</w:t>
      </w:r>
      <w:r w:rsidRPr="00E224E9">
        <w:rPr>
          <w:rFonts w:ascii="Book Antiqua" w:hAnsi="Book Antiqua"/>
          <w:color w:val="000000" w:themeColor="text1"/>
          <w:sz w:val="24"/>
        </w:rPr>
        <w:t>(2)</w:t>
      </w:r>
      <w:r w:rsidRPr="00E224E9">
        <w:rPr>
          <w:rFonts w:ascii="Book Antiqua" w:hAnsi="Book Antiqua"/>
          <w:color w:val="000000" w:themeColor="text1"/>
          <w:sz w:val="24"/>
        </w:rPr>
        <w:t>國外資產風險，以及</w:t>
      </w:r>
      <w:r w:rsidRPr="00E224E9">
        <w:rPr>
          <w:rFonts w:ascii="Book Antiqua" w:hAnsi="Book Antiqua"/>
          <w:color w:val="000000" w:themeColor="text1"/>
          <w:sz w:val="24"/>
        </w:rPr>
        <w:t>(3)</w:t>
      </w:r>
      <w:r w:rsidRPr="00E224E9">
        <w:rPr>
          <w:rFonts w:ascii="Book Antiqua" w:hAnsi="Book Antiqua"/>
          <w:color w:val="000000" w:themeColor="text1"/>
          <w:sz w:val="24"/>
        </w:rPr>
        <w:t>不計入風險資本額計算之項目三大類。另依各類風險相關程度則分為</w:t>
      </w:r>
      <w:r w:rsidR="00D13133" w:rsidRPr="00E224E9">
        <w:rPr>
          <w:rFonts w:ascii="Book Antiqua" w:hAnsi="Book Antiqua"/>
          <w:color w:val="000000" w:themeColor="text1"/>
          <w:sz w:val="24"/>
        </w:rPr>
        <w:t>「</w:t>
      </w:r>
      <w:r w:rsidR="00D13133" w:rsidRPr="00E224E9">
        <w:rPr>
          <w:rFonts w:ascii="Book Antiqua" w:hAnsi="Book Antiqua"/>
          <w:color w:val="000000" w:themeColor="text1"/>
          <w:sz w:val="24"/>
        </w:rPr>
        <w:t>C1</w:t>
      </w:r>
      <w:r w:rsidR="00D13133" w:rsidRPr="00E224E9">
        <w:rPr>
          <w:rFonts w:ascii="Book Antiqua" w:hAnsi="Book Antiqua"/>
          <w:color w:val="000000" w:themeColor="text1"/>
          <w:sz w:val="24"/>
          <w:vertAlign w:val="subscript"/>
        </w:rPr>
        <w:t>C</w:t>
      </w:r>
      <w:r w:rsidR="00D13133" w:rsidRPr="00E224E9">
        <w:rPr>
          <w:rFonts w:ascii="Book Antiqua" w:hAnsi="Book Antiqua"/>
          <w:color w:val="000000" w:themeColor="text1"/>
          <w:sz w:val="24"/>
        </w:rPr>
        <w:t>：非關係人匯率風險」、</w:t>
      </w:r>
      <w:r w:rsidRPr="00E224E9">
        <w:rPr>
          <w:rFonts w:ascii="Book Antiqua" w:hAnsi="Book Antiqua"/>
          <w:color w:val="000000" w:themeColor="text1"/>
          <w:sz w:val="24"/>
        </w:rPr>
        <w:t>「</w:t>
      </w:r>
      <w:r w:rsidRPr="00E224E9">
        <w:rPr>
          <w:rFonts w:ascii="Book Antiqua" w:hAnsi="Book Antiqua"/>
          <w:color w:val="000000" w:themeColor="text1"/>
          <w:sz w:val="24"/>
        </w:rPr>
        <w:t>C1</w:t>
      </w:r>
      <w:r w:rsidRPr="00E224E9">
        <w:rPr>
          <w:rFonts w:ascii="Book Antiqua" w:hAnsi="Book Antiqua"/>
          <w:color w:val="000000" w:themeColor="text1"/>
          <w:sz w:val="24"/>
          <w:vertAlign w:val="subscript"/>
        </w:rPr>
        <w:t>S</w:t>
      </w:r>
      <w:r w:rsidRPr="00E224E9">
        <w:rPr>
          <w:rFonts w:ascii="Book Antiqua" w:hAnsi="Book Antiqua"/>
          <w:color w:val="000000" w:themeColor="text1"/>
          <w:sz w:val="24"/>
        </w:rPr>
        <w:t>：非關係人股票風險」</w:t>
      </w:r>
      <w:r w:rsidR="00C95C2E" w:rsidRPr="00E224E9">
        <w:rPr>
          <w:rFonts w:ascii="Book Antiqua" w:hAnsi="Book Antiqua"/>
          <w:color w:val="000000" w:themeColor="text1"/>
          <w:sz w:val="24"/>
        </w:rPr>
        <w:t>、</w:t>
      </w:r>
      <w:r w:rsidRPr="00E224E9">
        <w:rPr>
          <w:rFonts w:ascii="Book Antiqua" w:hAnsi="Book Antiqua"/>
          <w:color w:val="000000" w:themeColor="text1"/>
          <w:sz w:val="24"/>
        </w:rPr>
        <w:t>及「</w:t>
      </w:r>
      <w:r w:rsidRPr="00E224E9">
        <w:rPr>
          <w:rFonts w:ascii="Book Antiqua" w:hAnsi="Book Antiqua"/>
          <w:color w:val="000000" w:themeColor="text1"/>
          <w:sz w:val="24"/>
        </w:rPr>
        <w:t>C1</w:t>
      </w:r>
      <w:r w:rsidRPr="00E224E9">
        <w:rPr>
          <w:rFonts w:ascii="Book Antiqua" w:hAnsi="Book Antiqua"/>
          <w:color w:val="000000" w:themeColor="text1"/>
          <w:sz w:val="24"/>
          <w:vertAlign w:val="subscript"/>
        </w:rPr>
        <w:t>O</w:t>
      </w:r>
      <w:r w:rsidRPr="00E224E9">
        <w:rPr>
          <w:rFonts w:ascii="Book Antiqua" w:hAnsi="Book Antiqua"/>
          <w:color w:val="000000" w:themeColor="text1"/>
          <w:sz w:val="24"/>
        </w:rPr>
        <w:t>：</w:t>
      </w:r>
      <w:r w:rsidR="00C95C2E" w:rsidRPr="00E224E9">
        <w:rPr>
          <w:rFonts w:ascii="Book Antiqua" w:hAnsi="Book Antiqua"/>
          <w:color w:val="000000" w:themeColor="text1"/>
          <w:sz w:val="24"/>
        </w:rPr>
        <w:t>除</w:t>
      </w:r>
      <w:r w:rsidRPr="00E224E9">
        <w:rPr>
          <w:rFonts w:ascii="Book Antiqua" w:hAnsi="Book Antiqua"/>
          <w:color w:val="000000" w:themeColor="text1"/>
          <w:sz w:val="24"/>
        </w:rPr>
        <w:t>股票</w:t>
      </w:r>
      <w:r w:rsidR="00C95C2E" w:rsidRPr="00E224E9">
        <w:rPr>
          <w:rFonts w:ascii="Book Antiqua" w:hAnsi="Book Antiqua"/>
          <w:color w:val="000000" w:themeColor="text1"/>
          <w:sz w:val="24"/>
        </w:rPr>
        <w:t>及匯率以外</w:t>
      </w:r>
      <w:r w:rsidRPr="00E224E9">
        <w:rPr>
          <w:rFonts w:ascii="Book Antiqua" w:hAnsi="Book Antiqua"/>
          <w:color w:val="000000" w:themeColor="text1"/>
          <w:sz w:val="24"/>
        </w:rPr>
        <w:t>之資產風險」，其中</w:t>
      </w:r>
      <w:r w:rsidR="00150468" w:rsidRPr="00E224E9">
        <w:rPr>
          <w:rFonts w:ascii="Book Antiqua" w:hAnsi="Book Antiqua"/>
          <w:color w:val="000000" w:themeColor="text1"/>
          <w:sz w:val="24"/>
        </w:rPr>
        <w:t>「</w:t>
      </w:r>
      <w:r w:rsidR="00150468" w:rsidRPr="00E224E9">
        <w:rPr>
          <w:rFonts w:ascii="Book Antiqua" w:hAnsi="Book Antiqua"/>
          <w:color w:val="000000" w:themeColor="text1"/>
          <w:sz w:val="24"/>
        </w:rPr>
        <w:t>C1</w:t>
      </w:r>
      <w:r w:rsidR="00150468" w:rsidRPr="00E224E9">
        <w:rPr>
          <w:rFonts w:ascii="Book Antiqua" w:hAnsi="Book Antiqua"/>
          <w:color w:val="000000" w:themeColor="text1"/>
          <w:sz w:val="24"/>
          <w:vertAlign w:val="subscript"/>
        </w:rPr>
        <w:t>C</w:t>
      </w:r>
      <w:r w:rsidR="00150468" w:rsidRPr="00E224E9">
        <w:rPr>
          <w:rFonts w:ascii="Book Antiqua" w:hAnsi="Book Antiqua"/>
          <w:color w:val="000000" w:themeColor="text1"/>
          <w:sz w:val="24"/>
        </w:rPr>
        <w:t>：非關係人匯率風險」係</w:t>
      </w:r>
      <w:r w:rsidR="00150468" w:rsidRPr="00E224E9">
        <w:rPr>
          <w:rFonts w:ascii="Book Antiqua" w:hAnsi="Book Antiqua" w:hint="eastAsia"/>
          <w:color w:val="000000" w:themeColor="text1"/>
          <w:sz w:val="24"/>
        </w:rPr>
        <w:t>為國外資產之匯率風險，</w:t>
      </w:r>
      <w:r w:rsidRPr="00E224E9">
        <w:rPr>
          <w:rFonts w:ascii="Book Antiqua" w:hAnsi="Book Antiqua"/>
          <w:color w:val="000000" w:themeColor="text1"/>
          <w:sz w:val="24"/>
        </w:rPr>
        <w:t>「</w:t>
      </w:r>
      <w:r w:rsidRPr="00E224E9">
        <w:rPr>
          <w:rFonts w:ascii="Book Antiqua" w:hAnsi="Book Antiqua"/>
          <w:color w:val="000000" w:themeColor="text1"/>
          <w:sz w:val="24"/>
        </w:rPr>
        <w:t>C1</w:t>
      </w:r>
      <w:r w:rsidRPr="00E224E9">
        <w:rPr>
          <w:rFonts w:ascii="Book Antiqua" w:hAnsi="Book Antiqua"/>
          <w:color w:val="000000" w:themeColor="text1"/>
          <w:sz w:val="24"/>
          <w:vertAlign w:val="subscript"/>
        </w:rPr>
        <w:t>S</w:t>
      </w:r>
      <w:r w:rsidRPr="00E224E9">
        <w:rPr>
          <w:rFonts w:ascii="Book Antiqua" w:hAnsi="Book Antiqua"/>
          <w:color w:val="000000" w:themeColor="text1"/>
          <w:sz w:val="24"/>
        </w:rPr>
        <w:t>：非關係人股票風險」係包括國內資產風險及國外資產風險中之股票部分，「</w:t>
      </w:r>
      <w:r w:rsidRPr="00E224E9">
        <w:rPr>
          <w:rFonts w:ascii="Book Antiqua" w:hAnsi="Book Antiqua"/>
          <w:color w:val="000000" w:themeColor="text1"/>
          <w:sz w:val="24"/>
        </w:rPr>
        <w:t>C1</w:t>
      </w:r>
      <w:r w:rsidRPr="00E224E9">
        <w:rPr>
          <w:rFonts w:ascii="Book Antiqua" w:hAnsi="Book Antiqua"/>
          <w:color w:val="000000" w:themeColor="text1"/>
          <w:sz w:val="24"/>
          <w:vertAlign w:val="subscript"/>
        </w:rPr>
        <w:t>O</w:t>
      </w:r>
      <w:r w:rsidRPr="00E224E9">
        <w:rPr>
          <w:rFonts w:ascii="Book Antiqua" w:hAnsi="Book Antiqua"/>
          <w:color w:val="000000" w:themeColor="text1"/>
          <w:sz w:val="24"/>
        </w:rPr>
        <w:t>：</w:t>
      </w:r>
      <w:r w:rsidR="00C95C2E" w:rsidRPr="00E224E9">
        <w:rPr>
          <w:rFonts w:ascii="Book Antiqua" w:hAnsi="Book Antiqua"/>
          <w:color w:val="000000" w:themeColor="text1"/>
          <w:sz w:val="24"/>
        </w:rPr>
        <w:t>除股票及匯率以外之資產風險</w:t>
      </w:r>
      <w:r w:rsidRPr="00E224E9">
        <w:rPr>
          <w:rFonts w:ascii="Book Antiqua" w:hAnsi="Book Antiqua"/>
          <w:color w:val="000000" w:themeColor="text1"/>
          <w:sz w:val="24"/>
        </w:rPr>
        <w:t>」則係指非關係人除股票風險外之其他資產風險。</w:t>
      </w:r>
    </w:p>
    <w:p w14:paraId="12DBCD80" w14:textId="77777777" w:rsidR="00065C53" w:rsidRPr="00E224E9" w:rsidRDefault="00065C53">
      <w:pPr>
        <w:pStyle w:val="Layer1"/>
        <w:spacing w:line="440" w:lineRule="exact"/>
        <w:rPr>
          <w:rFonts w:ascii="Book Antiqua" w:hAnsi="Book Antiqua"/>
          <w:color w:val="000000" w:themeColor="text1"/>
          <w:sz w:val="24"/>
        </w:rPr>
      </w:pPr>
    </w:p>
    <w:p w14:paraId="15677401" w14:textId="77777777" w:rsidR="00065C53" w:rsidRPr="00E224E9" w:rsidRDefault="00065C53">
      <w:pPr>
        <w:pStyle w:val="Layer1"/>
        <w:spacing w:line="440" w:lineRule="exact"/>
        <w:rPr>
          <w:rFonts w:ascii="Book Antiqua" w:hAnsi="Book Antiqua"/>
          <w:color w:val="000000" w:themeColor="text1"/>
          <w:sz w:val="24"/>
        </w:rPr>
      </w:pPr>
      <w:r w:rsidRPr="00E224E9">
        <w:rPr>
          <w:rFonts w:ascii="Book Antiqua" w:hAnsi="Book Antiqua"/>
          <w:color w:val="000000" w:themeColor="text1"/>
          <w:sz w:val="24"/>
        </w:rPr>
        <w:t>此外，若以相關資產抵充存出保證金者，分別按其存出資產之類型歸類於以下適當分類項目之中。若相關資產係以全權委託投資業務運用者</w:t>
      </w:r>
      <w:r w:rsidRPr="00E224E9">
        <w:rPr>
          <w:rFonts w:ascii="Book Antiqua" w:hAnsi="Book Antiqua"/>
          <w:color w:val="000000" w:themeColor="text1"/>
          <w:sz w:val="24"/>
        </w:rPr>
        <w:t>(</w:t>
      </w:r>
      <w:r w:rsidRPr="00E224E9">
        <w:rPr>
          <w:rFonts w:ascii="Book Antiqua" w:hAnsi="Book Antiqua"/>
          <w:color w:val="000000" w:themeColor="text1"/>
          <w:sz w:val="24"/>
        </w:rPr>
        <w:t>即委外操作</w:t>
      </w:r>
      <w:r w:rsidRPr="00E224E9">
        <w:rPr>
          <w:rFonts w:ascii="Book Antiqua" w:hAnsi="Book Antiqua"/>
          <w:color w:val="000000" w:themeColor="text1"/>
          <w:sz w:val="24"/>
        </w:rPr>
        <w:t>)</w:t>
      </w:r>
      <w:r w:rsidRPr="00E224E9">
        <w:rPr>
          <w:rFonts w:ascii="Book Antiqua" w:hAnsi="Book Antiqua"/>
          <w:color w:val="000000" w:themeColor="text1"/>
          <w:sz w:val="24"/>
        </w:rPr>
        <w:t>，分別按其投資之標的物歸類於以下適當分類項目之中。</w:t>
      </w:r>
    </w:p>
    <w:p w14:paraId="3CDA0F4C" w14:textId="77777777" w:rsidR="00065C53" w:rsidRPr="00E224E9" w:rsidRDefault="00065C53">
      <w:pPr>
        <w:pStyle w:val="Layer2"/>
        <w:spacing w:line="440" w:lineRule="exact"/>
        <w:jc w:val="both"/>
        <w:rPr>
          <w:rFonts w:ascii="Book Antiqua" w:hAnsi="Book Antiqua"/>
          <w:color w:val="000000" w:themeColor="text1"/>
        </w:rPr>
      </w:pPr>
    </w:p>
    <w:p w14:paraId="1489B4A6" w14:textId="77777777" w:rsidR="00065C53" w:rsidRPr="00E224E9" w:rsidRDefault="00065C53">
      <w:pPr>
        <w:pStyle w:val="Layer2"/>
        <w:spacing w:line="440" w:lineRule="exact"/>
        <w:jc w:val="both"/>
        <w:rPr>
          <w:rFonts w:ascii="Book Antiqua" w:hAnsi="Book Antiqua"/>
          <w:color w:val="000000" w:themeColor="text1"/>
        </w:rPr>
      </w:pPr>
      <w:bookmarkStart w:id="121" w:name="_Toc7492329"/>
      <w:r w:rsidRPr="00E224E9">
        <w:rPr>
          <w:rFonts w:ascii="Book Antiqua" w:hAnsi="Book Antiqua"/>
          <w:color w:val="000000" w:themeColor="text1"/>
        </w:rPr>
        <w:t>C1a.</w:t>
      </w:r>
      <w:r w:rsidRPr="00E224E9">
        <w:rPr>
          <w:rFonts w:ascii="Book Antiqua" w:hAnsi="Book Antiqua"/>
          <w:color w:val="000000" w:themeColor="text1"/>
        </w:rPr>
        <w:t>國內資產風險</w:t>
      </w:r>
      <w:bookmarkEnd w:id="121"/>
    </w:p>
    <w:p w14:paraId="01E3F636" w14:textId="77777777" w:rsidR="00065C53" w:rsidRPr="00E224E9" w:rsidRDefault="00065C53">
      <w:pPr>
        <w:pStyle w:val="Layer3"/>
        <w:spacing w:line="440" w:lineRule="exact"/>
        <w:ind w:leftChars="0" w:left="0" w:firstLineChars="200" w:firstLine="480"/>
        <w:jc w:val="both"/>
        <w:rPr>
          <w:rFonts w:ascii="Book Antiqua" w:hAnsi="Book Antiqua"/>
          <w:color w:val="000000" w:themeColor="text1"/>
        </w:rPr>
      </w:pPr>
      <w:bookmarkStart w:id="122" w:name="_Toc7492330"/>
      <w:r w:rsidRPr="00E224E9">
        <w:rPr>
          <w:rFonts w:ascii="Book Antiqua" w:hAnsi="Book Antiqua"/>
          <w:color w:val="000000" w:themeColor="text1"/>
        </w:rPr>
        <w:t>1.1</w:t>
      </w:r>
      <w:r w:rsidRPr="00E224E9">
        <w:rPr>
          <w:rFonts w:ascii="Book Antiqua" w:hAnsi="Book Antiqua"/>
          <w:color w:val="000000" w:themeColor="text1"/>
        </w:rPr>
        <w:t>現金及銀行存款</w:t>
      </w:r>
      <w:bookmarkEnd w:id="122"/>
    </w:p>
    <w:p w14:paraId="2169280C"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係指人身保險業之庫存現金、匯撥中現金及零星支出之週轉金、存款於非關係人金融機構之存款，包括活期存款、支票存款及定期存款，但並不包括可轉讓定期存單，按「表</w:t>
      </w:r>
      <w:r w:rsidRPr="00E224E9">
        <w:rPr>
          <w:rFonts w:ascii="Book Antiqua" w:hAnsi="Book Antiqua"/>
          <w:color w:val="000000" w:themeColor="text1"/>
        </w:rPr>
        <w:t>05-1</w:t>
      </w:r>
      <w:r w:rsidRPr="00E224E9">
        <w:rPr>
          <w:rFonts w:ascii="Book Antiqua" w:hAnsi="Book Antiqua"/>
          <w:color w:val="000000" w:themeColor="text1"/>
        </w:rPr>
        <w:t>：資金運用表」之相關欄位金額及其所對應之風險係數計算風險資本額。</w:t>
      </w:r>
    </w:p>
    <w:p w14:paraId="5A321134" w14:textId="77777777" w:rsidR="00065C53" w:rsidRPr="00E224E9" w:rsidRDefault="00065C53">
      <w:pPr>
        <w:pStyle w:val="Layer3"/>
        <w:spacing w:line="440" w:lineRule="exact"/>
        <w:ind w:left="585"/>
        <w:jc w:val="both"/>
        <w:rPr>
          <w:rFonts w:ascii="Book Antiqua" w:hAnsi="Book Antiqua"/>
          <w:color w:val="000000" w:themeColor="text1"/>
        </w:rPr>
      </w:pPr>
      <w:bookmarkStart w:id="123" w:name="_Toc7492331"/>
      <w:r w:rsidRPr="00E224E9">
        <w:rPr>
          <w:rFonts w:ascii="Book Antiqua" w:hAnsi="Book Antiqua"/>
          <w:color w:val="000000" w:themeColor="text1"/>
        </w:rPr>
        <w:t>1.2</w:t>
      </w:r>
      <w:r w:rsidRPr="00E224E9">
        <w:rPr>
          <w:rFonts w:ascii="Book Antiqua" w:hAnsi="Book Antiqua"/>
          <w:color w:val="000000" w:themeColor="text1"/>
        </w:rPr>
        <w:t>有價證券</w:t>
      </w:r>
      <w:bookmarkEnd w:id="123"/>
    </w:p>
    <w:p w14:paraId="4DCAD540" w14:textId="77777777" w:rsidR="00065C53" w:rsidRPr="00E224E9" w:rsidRDefault="00065C53">
      <w:pPr>
        <w:spacing w:line="440" w:lineRule="exact"/>
        <w:ind w:left="900"/>
        <w:jc w:val="both"/>
        <w:rPr>
          <w:rFonts w:ascii="Book Antiqua" w:hAnsi="Book Antiqua"/>
          <w:color w:val="000000" w:themeColor="text1"/>
          <w:sz w:val="24"/>
        </w:rPr>
      </w:pPr>
      <w:r w:rsidRPr="00E224E9">
        <w:rPr>
          <w:rFonts w:ascii="Book Antiqua" w:hAnsi="Book Antiqua"/>
          <w:color w:val="000000" w:themeColor="text1"/>
          <w:sz w:val="24"/>
        </w:rPr>
        <w:t>有價證券以下分為五類，分別為債券、票券、股票、受益憑證</w:t>
      </w:r>
      <w:r w:rsidR="00583C13" w:rsidRPr="00E224E9">
        <w:rPr>
          <w:rFonts w:ascii="Book Antiqua" w:hAnsi="Book Antiqua" w:hint="eastAsia"/>
          <w:color w:val="000000" w:themeColor="text1"/>
          <w:sz w:val="24"/>
        </w:rPr>
        <w:t>、</w:t>
      </w:r>
      <w:r w:rsidRPr="00E224E9">
        <w:rPr>
          <w:rFonts w:ascii="Book Antiqua" w:hAnsi="Book Antiqua"/>
          <w:color w:val="000000" w:themeColor="text1"/>
          <w:sz w:val="24"/>
        </w:rPr>
        <w:t>ETF</w:t>
      </w:r>
      <w:r w:rsidR="00583C13" w:rsidRPr="00E224E9">
        <w:rPr>
          <w:rFonts w:ascii="Book Antiqua" w:hAnsi="Book Antiqua"/>
          <w:color w:val="000000" w:themeColor="text1"/>
          <w:sz w:val="24"/>
        </w:rPr>
        <w:t>及</w:t>
      </w:r>
      <w:r w:rsidR="00583C13" w:rsidRPr="00E224E9">
        <w:rPr>
          <w:rFonts w:ascii="Book Antiqua" w:hAnsi="Book Antiqua" w:hint="eastAsia"/>
          <w:color w:val="000000" w:themeColor="text1"/>
          <w:sz w:val="24"/>
        </w:rPr>
        <w:t>ETN</w:t>
      </w:r>
      <w:r w:rsidRPr="00E224E9">
        <w:rPr>
          <w:rFonts w:ascii="Book Antiqua" w:hAnsi="Book Antiqua"/>
          <w:color w:val="000000" w:themeColor="text1"/>
          <w:sz w:val="24"/>
        </w:rPr>
        <w:t>。</w:t>
      </w:r>
    </w:p>
    <w:p w14:paraId="7963DE86" w14:textId="77777777" w:rsidR="00065C53" w:rsidRPr="00E224E9" w:rsidRDefault="00065C53">
      <w:pPr>
        <w:spacing w:line="440" w:lineRule="exact"/>
        <w:ind w:left="1440" w:hanging="540"/>
        <w:jc w:val="both"/>
        <w:rPr>
          <w:rFonts w:ascii="Book Antiqua" w:hAnsi="Book Antiqua"/>
          <w:color w:val="000000" w:themeColor="text1"/>
          <w:sz w:val="24"/>
        </w:rPr>
      </w:pPr>
      <w:r w:rsidRPr="00E224E9">
        <w:rPr>
          <w:rFonts w:ascii="Book Antiqua" w:hAnsi="Book Antiqua"/>
          <w:color w:val="000000" w:themeColor="text1"/>
          <w:sz w:val="24"/>
        </w:rPr>
        <w:lastRenderedPageBreak/>
        <w:t>1.2.1</w:t>
      </w:r>
      <w:r w:rsidRPr="00E224E9">
        <w:rPr>
          <w:rFonts w:ascii="Book Antiqua" w:hAnsi="Book Antiqua"/>
          <w:color w:val="000000" w:themeColor="text1"/>
          <w:sz w:val="24"/>
        </w:rPr>
        <w:t>債券：</w:t>
      </w:r>
    </w:p>
    <w:p w14:paraId="075CB890" w14:textId="77777777" w:rsidR="00065C53" w:rsidRPr="00E224E9" w:rsidRDefault="00065C53">
      <w:pPr>
        <w:pStyle w:val="21"/>
        <w:spacing w:line="440" w:lineRule="exact"/>
        <w:ind w:leftChars="600" w:left="1560" w:firstLine="7"/>
        <w:rPr>
          <w:rFonts w:ascii="Book Antiqua" w:hAnsi="Book Antiqua"/>
          <w:color w:val="000000" w:themeColor="text1"/>
          <w:sz w:val="24"/>
        </w:rPr>
      </w:pPr>
      <w:r w:rsidRPr="00E224E9">
        <w:rPr>
          <w:rFonts w:ascii="Book Antiqua" w:hAnsi="Book Antiqua"/>
          <w:color w:val="000000" w:themeColor="text1"/>
          <w:sz w:val="24"/>
        </w:rPr>
        <w:t>此類別再區分為「公債及國庫券」、「公司債」及「金融債券」、「不動產及金融資產受益證券</w:t>
      </w:r>
      <w:r w:rsidRPr="00E224E9">
        <w:rPr>
          <w:rFonts w:ascii="Book Antiqua" w:hAnsi="Book Antiqua"/>
          <w:color w:val="000000" w:themeColor="text1"/>
          <w:sz w:val="24"/>
        </w:rPr>
        <w:t>(</w:t>
      </w:r>
      <w:r w:rsidRPr="00E224E9">
        <w:rPr>
          <w:rFonts w:ascii="Book Antiqua" w:hAnsi="Book Antiqua"/>
          <w:color w:val="000000" w:themeColor="text1"/>
          <w:sz w:val="24"/>
        </w:rPr>
        <w:t>含資產基礎證券</w:t>
      </w:r>
      <w:r w:rsidRPr="00E224E9">
        <w:rPr>
          <w:rFonts w:ascii="Book Antiqua" w:hAnsi="Book Antiqua"/>
          <w:color w:val="000000" w:themeColor="text1"/>
          <w:sz w:val="24"/>
        </w:rPr>
        <w:t>)</w:t>
      </w:r>
      <w:r w:rsidRPr="00E224E9">
        <w:rPr>
          <w:rFonts w:ascii="Book Antiqua" w:hAnsi="Book Antiqua"/>
          <w:color w:val="000000" w:themeColor="text1"/>
          <w:sz w:val="24"/>
        </w:rPr>
        <w:t>」，分別按本表「資料來源」一欄指示所填報之金額及其所對應之風險係數計算風險資本額。</w:t>
      </w:r>
    </w:p>
    <w:p w14:paraId="0B2125C9" w14:textId="77777777" w:rsidR="00065C53" w:rsidRPr="00E224E9" w:rsidRDefault="00065C53">
      <w:pPr>
        <w:spacing w:line="440" w:lineRule="exact"/>
        <w:ind w:left="1440" w:hanging="540"/>
        <w:jc w:val="both"/>
        <w:rPr>
          <w:rFonts w:ascii="Book Antiqua" w:hAnsi="Book Antiqua"/>
          <w:color w:val="000000" w:themeColor="text1"/>
          <w:sz w:val="24"/>
        </w:rPr>
      </w:pPr>
      <w:r w:rsidRPr="00E224E9">
        <w:rPr>
          <w:rFonts w:ascii="Book Antiqua" w:hAnsi="Book Antiqua"/>
          <w:color w:val="000000" w:themeColor="text1"/>
          <w:sz w:val="24"/>
        </w:rPr>
        <w:t>1.2.2</w:t>
      </w:r>
      <w:r w:rsidRPr="00E224E9">
        <w:rPr>
          <w:rFonts w:ascii="Book Antiqua" w:hAnsi="Book Antiqua"/>
          <w:color w:val="000000" w:themeColor="text1"/>
          <w:sz w:val="24"/>
        </w:rPr>
        <w:t>票券：</w:t>
      </w:r>
    </w:p>
    <w:p w14:paraId="11B34FB6" w14:textId="77777777" w:rsidR="00065C53" w:rsidRPr="00E224E9" w:rsidRDefault="00065C53">
      <w:pPr>
        <w:pStyle w:val="Layer4"/>
        <w:spacing w:line="440" w:lineRule="exact"/>
        <w:ind w:left="1560"/>
        <w:jc w:val="both"/>
        <w:rPr>
          <w:rFonts w:ascii="Book Antiqua" w:hAnsi="Book Antiqua"/>
          <w:color w:val="000000" w:themeColor="text1"/>
        </w:rPr>
      </w:pPr>
      <w:r w:rsidRPr="00E224E9">
        <w:rPr>
          <w:rFonts w:ascii="Book Antiqua" w:hAnsi="Book Antiqua"/>
          <w:color w:val="000000" w:themeColor="text1"/>
        </w:rPr>
        <w:t>此類別再區分為「可轉讓定期存單」、「銀行承兌匯票」、「金融機構保證商業本票」及「附買回條件之債券」，分別按本表「資料來源」一欄指示所填報之金額及其所對應之風險係數計算風險資本額。</w:t>
      </w:r>
    </w:p>
    <w:p w14:paraId="2705BBBB" w14:textId="77777777" w:rsidR="00065C53" w:rsidRPr="00E224E9" w:rsidRDefault="00065C53">
      <w:pPr>
        <w:spacing w:line="440" w:lineRule="exact"/>
        <w:ind w:left="1440" w:hanging="540"/>
        <w:jc w:val="both"/>
        <w:rPr>
          <w:rFonts w:ascii="Book Antiqua" w:hAnsi="Book Antiqua"/>
          <w:color w:val="000000" w:themeColor="text1"/>
          <w:sz w:val="24"/>
        </w:rPr>
      </w:pPr>
      <w:r w:rsidRPr="00E224E9">
        <w:rPr>
          <w:rFonts w:ascii="Book Antiqua" w:hAnsi="Book Antiqua"/>
          <w:color w:val="000000" w:themeColor="text1"/>
          <w:sz w:val="24"/>
        </w:rPr>
        <w:t>1.2.3</w:t>
      </w:r>
      <w:r w:rsidRPr="00E224E9">
        <w:rPr>
          <w:rFonts w:ascii="Book Antiqua" w:hAnsi="Book Antiqua"/>
          <w:color w:val="000000" w:themeColor="text1"/>
          <w:sz w:val="24"/>
        </w:rPr>
        <w:t>股票：</w:t>
      </w:r>
    </w:p>
    <w:p w14:paraId="21FFBAC5" w14:textId="77777777" w:rsidR="00065C53" w:rsidRPr="00E224E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14:paraId="6AACD621" w14:textId="77777777" w:rsidR="00065C53" w:rsidRPr="00E224E9" w:rsidRDefault="00065C53">
      <w:pPr>
        <w:spacing w:line="440" w:lineRule="exact"/>
        <w:ind w:leftChars="761" w:left="1979"/>
        <w:jc w:val="both"/>
        <w:rPr>
          <w:rFonts w:ascii="Book Antiqua" w:hAnsi="Book Antiqua"/>
          <w:color w:val="000000" w:themeColor="text1"/>
          <w:sz w:val="24"/>
        </w:rPr>
      </w:pPr>
      <w:r w:rsidRPr="00E224E9">
        <w:rPr>
          <w:rFonts w:ascii="Book Antiqua" w:hAnsi="Book Antiqua"/>
          <w:color w:val="000000" w:themeColor="text1"/>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E224E9">
        <w:rPr>
          <w:rFonts w:ascii="Book Antiqua" w:hAnsi="Book Antiqua"/>
          <w:color w:val="000000" w:themeColor="text1"/>
          <w:sz w:val="24"/>
        </w:rPr>
        <w:t>10-3</w:t>
      </w:r>
      <w:r w:rsidRPr="00E224E9">
        <w:rPr>
          <w:rFonts w:ascii="Book Antiqua" w:hAnsi="Book Antiqua"/>
          <w:color w:val="000000" w:themeColor="text1"/>
          <w:sz w:val="24"/>
        </w:rPr>
        <w:t>：關係人股票投資明細表」，並納入「表</w:t>
      </w:r>
      <w:r w:rsidRPr="00E224E9">
        <w:rPr>
          <w:rFonts w:ascii="Book Antiqua" w:hAnsi="Book Antiqua"/>
          <w:color w:val="000000" w:themeColor="text1"/>
          <w:sz w:val="24"/>
        </w:rPr>
        <w:t>30-2</w:t>
      </w:r>
      <w:r w:rsidRPr="00E224E9">
        <w:rPr>
          <w:rFonts w:ascii="Book Antiqua" w:hAnsi="Book Antiqua"/>
          <w:color w:val="000000" w:themeColor="text1"/>
          <w:sz w:val="24"/>
        </w:rPr>
        <w:t>：</w:t>
      </w:r>
      <w:r w:rsidRPr="00E224E9">
        <w:rPr>
          <w:rFonts w:ascii="Book Antiqua" w:hAnsi="Book Antiqua"/>
          <w:color w:val="000000" w:themeColor="text1"/>
          <w:sz w:val="24"/>
        </w:rPr>
        <w:t>C0</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關係人風險計算表」計算風險資本額。</w:t>
      </w:r>
    </w:p>
    <w:p w14:paraId="039FA388" w14:textId="77777777" w:rsidR="00065C53" w:rsidRPr="00E224E9" w:rsidRDefault="00065C53" w:rsidP="00E138F5">
      <w:pPr>
        <w:pStyle w:val="Item1"/>
        <w:numPr>
          <w:ilvl w:val="0"/>
          <w:numId w:val="2"/>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上市上櫃普通股採</w:t>
      </w:r>
      <w:r w:rsidR="00B63C32" w:rsidRPr="00E224E9">
        <w:rPr>
          <w:rFonts w:ascii="Book Antiqua" w:hAnsi="Book Antiqua" w:hint="eastAsia"/>
          <w:color w:val="000000" w:themeColor="text1"/>
          <w:sz w:val="24"/>
        </w:rPr>
        <w:t>半年收盤平均價</w:t>
      </w:r>
      <w:r w:rsidRPr="00E224E9">
        <w:rPr>
          <w:rFonts w:ascii="Book Antiqua" w:hAnsi="Book Antiqua"/>
          <w:color w:val="000000" w:themeColor="text1"/>
          <w:sz w:val="24"/>
        </w:rPr>
        <w:t>計算風險資本額，按「表</w:t>
      </w:r>
      <w:r w:rsidRPr="00E224E9">
        <w:rPr>
          <w:rFonts w:ascii="Book Antiqua" w:hAnsi="Book Antiqua"/>
          <w:color w:val="000000" w:themeColor="text1"/>
          <w:sz w:val="24"/>
        </w:rPr>
        <w:t>10-4</w:t>
      </w:r>
      <w:r w:rsidRPr="00E224E9">
        <w:rPr>
          <w:rFonts w:ascii="Book Antiqua" w:hAnsi="Book Antiqua"/>
          <w:color w:val="000000" w:themeColor="text1"/>
          <w:sz w:val="24"/>
        </w:rPr>
        <w:t>：非關係人股票投資明細表」之相關欄位金額及「表</w:t>
      </w:r>
      <w:r w:rsidRPr="00E224E9">
        <w:rPr>
          <w:rFonts w:ascii="Book Antiqua" w:hAnsi="Book Antiqua"/>
          <w:color w:val="000000" w:themeColor="text1"/>
          <w:sz w:val="24"/>
        </w:rPr>
        <w:t>30-14</w:t>
      </w:r>
      <w:r w:rsidRPr="00E224E9">
        <w:rPr>
          <w:rFonts w:ascii="Book Antiqua" w:hAnsi="Book Antiqua"/>
          <w:color w:val="000000" w:themeColor="text1"/>
          <w:sz w:val="24"/>
        </w:rPr>
        <w:t>：公司</w:t>
      </w:r>
      <w:r w:rsidRPr="00E224E9">
        <w:rPr>
          <w:rFonts w:ascii="Book Antiqua" w:hAnsi="Book Antiqua"/>
          <w:color w:val="000000" w:themeColor="text1"/>
          <w:sz w:val="24"/>
        </w:rPr>
        <w:t>β</w:t>
      </w:r>
      <w:r w:rsidRPr="00E224E9">
        <w:rPr>
          <w:rFonts w:ascii="Book Antiqua" w:hAnsi="Book Antiqua"/>
          <w:color w:val="000000" w:themeColor="text1"/>
          <w:sz w:val="24"/>
        </w:rPr>
        <w:t>值及</w:t>
      </w:r>
      <w:r w:rsidR="007E12AD" w:rsidRPr="00E224E9">
        <w:rPr>
          <w:rFonts w:ascii="Book Antiqua" w:hAnsi="Book Antiqua" w:hint="eastAsia"/>
          <w:color w:val="000000" w:themeColor="text1"/>
          <w:sz w:val="24"/>
        </w:rPr>
        <w:t>股票逆景氣循環</w:t>
      </w:r>
      <w:r w:rsidRPr="00E224E9">
        <w:rPr>
          <w:rFonts w:ascii="Book Antiqua" w:hAnsi="Book Antiqua"/>
          <w:color w:val="000000" w:themeColor="text1"/>
          <w:sz w:val="24"/>
        </w:rPr>
        <w:t>資產風險係數計算表」所對應之風險係數計算風險資本額。</w:t>
      </w:r>
      <w:r w:rsidR="00E138F5" w:rsidRPr="00E224E9">
        <w:rPr>
          <w:rFonts w:ascii="Book Antiqua" w:hAnsi="Book Antiqua" w:hint="eastAsia"/>
          <w:color w:val="000000" w:themeColor="text1"/>
          <w:sz w:val="24"/>
        </w:rPr>
        <w:t>其中「上市普通股」「未擔任被投資公司之董監事」項目之金額，另</w:t>
      </w:r>
      <w:r w:rsidR="00B63C32" w:rsidRPr="00E224E9">
        <w:rPr>
          <w:rFonts w:ascii="Book Antiqua" w:hAnsi="Book Antiqua" w:hint="eastAsia"/>
          <w:color w:val="000000" w:themeColor="text1"/>
          <w:sz w:val="24"/>
        </w:rPr>
        <w:t>扣除依「表</w:t>
      </w:r>
      <w:r w:rsidR="00B63C32" w:rsidRPr="00E224E9">
        <w:rPr>
          <w:rFonts w:ascii="Book Antiqua" w:hAnsi="Book Antiqua" w:hint="eastAsia"/>
          <w:color w:val="000000" w:themeColor="text1"/>
          <w:sz w:val="24"/>
        </w:rPr>
        <w:t>16-2-1</w:t>
      </w:r>
      <w:r w:rsidR="00B63C32" w:rsidRPr="00E224E9">
        <w:rPr>
          <w:rFonts w:ascii="Book Antiqua" w:hAnsi="Book Antiqua" w:hint="eastAsia"/>
          <w:color w:val="000000" w:themeColor="text1"/>
          <w:sz w:val="24"/>
        </w:rPr>
        <w:t>衍生性商品餘額明細表</w:t>
      </w:r>
      <w:r w:rsidR="00B63C32" w:rsidRPr="00E224E9">
        <w:rPr>
          <w:rFonts w:ascii="Book Antiqua" w:hAnsi="Book Antiqua" w:hint="eastAsia"/>
          <w:color w:val="000000" w:themeColor="text1"/>
          <w:sz w:val="24"/>
        </w:rPr>
        <w:t>(</w:t>
      </w:r>
      <w:r w:rsidR="00B63C32" w:rsidRPr="00E224E9">
        <w:rPr>
          <w:rFonts w:ascii="Book Antiqua" w:hAnsi="Book Antiqua" w:hint="eastAsia"/>
          <w:color w:val="000000" w:themeColor="text1"/>
          <w:sz w:val="24"/>
        </w:rPr>
        <w:t>總計</w:t>
      </w:r>
      <w:r w:rsidR="00B63C32" w:rsidRPr="00E224E9">
        <w:rPr>
          <w:rFonts w:ascii="Book Antiqua" w:hAnsi="Book Antiqua" w:hint="eastAsia"/>
          <w:color w:val="000000" w:themeColor="text1"/>
          <w:sz w:val="24"/>
        </w:rPr>
        <w:t>)</w:t>
      </w:r>
      <w:r w:rsidR="00B63C32" w:rsidRPr="00E224E9">
        <w:rPr>
          <w:rFonts w:ascii="Book Antiqua" w:hAnsi="Book Antiqua" w:hint="eastAsia"/>
          <w:color w:val="000000" w:themeColor="text1"/>
          <w:sz w:val="24"/>
        </w:rPr>
        <w:t>－以避險為目的」中</w:t>
      </w:r>
      <w:r w:rsidR="00F1555B" w:rsidRPr="00E224E9">
        <w:rPr>
          <w:rFonts w:ascii="Book Antiqua" w:hAnsi="Book Antiqua" w:hint="eastAsia"/>
          <w:color w:val="000000" w:themeColor="text1"/>
          <w:sz w:val="24"/>
        </w:rPr>
        <w:t>「國內上市普通股股票風險資本扣抵</w:t>
      </w:r>
      <w:r w:rsidR="00E138F5" w:rsidRPr="00E224E9">
        <w:rPr>
          <w:rFonts w:ascii="Book Antiqua" w:hAnsi="Book Antiqua" w:hint="eastAsia"/>
          <w:color w:val="000000" w:themeColor="text1"/>
          <w:sz w:val="24"/>
        </w:rPr>
        <w:t>計算表」</w:t>
      </w:r>
      <w:r w:rsidR="00B63C32" w:rsidRPr="00E224E9">
        <w:rPr>
          <w:rFonts w:ascii="Book Antiqua" w:hAnsi="Book Antiqua" w:hint="eastAsia"/>
          <w:color w:val="000000" w:themeColor="text1"/>
          <w:sz w:val="24"/>
        </w:rPr>
        <w:t>之</w:t>
      </w:r>
      <w:r w:rsidR="00E138F5" w:rsidRPr="00E224E9">
        <w:rPr>
          <w:rFonts w:ascii="Book Antiqua" w:hAnsi="Book Antiqua" w:hint="eastAsia"/>
          <w:color w:val="000000" w:themeColor="text1"/>
          <w:sz w:val="24"/>
        </w:rPr>
        <w:t>「</w:t>
      </w:r>
      <w:r w:rsidR="00FA2253" w:rsidRPr="00E224E9">
        <w:rPr>
          <w:rFonts w:ascii="Book Antiqua" w:hAnsi="Book Antiqua" w:hint="eastAsia"/>
          <w:color w:val="000000" w:themeColor="text1"/>
          <w:sz w:val="24"/>
        </w:rPr>
        <w:t>可扣抵</w:t>
      </w:r>
      <w:r w:rsidR="00E138F5" w:rsidRPr="00E224E9">
        <w:rPr>
          <w:rFonts w:ascii="Book Antiqua" w:hAnsi="Book Antiqua" w:hint="eastAsia"/>
          <w:color w:val="000000" w:themeColor="text1"/>
          <w:sz w:val="24"/>
        </w:rPr>
        <w:t>風險資本金額」</w:t>
      </w:r>
      <w:r w:rsidR="00B63C32" w:rsidRPr="00E224E9">
        <w:rPr>
          <w:rFonts w:ascii="Book Antiqua" w:hAnsi="Book Antiqua" w:hint="eastAsia"/>
          <w:color w:val="000000" w:themeColor="text1"/>
          <w:sz w:val="24"/>
        </w:rPr>
        <w:t>。</w:t>
      </w:r>
    </w:p>
    <w:p w14:paraId="1E514F55" w14:textId="77777777" w:rsidR="00065C53" w:rsidRPr="00E224E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上市上櫃普通股之</w:t>
      </w:r>
      <w:r w:rsidR="00A65DB4" w:rsidRPr="00E224E9">
        <w:rPr>
          <w:rFonts w:ascii="Book Antiqua" w:hAnsi="Book Antiqua"/>
          <w:color w:val="000000" w:themeColor="text1"/>
          <w:sz w:val="24"/>
        </w:rPr>
        <w:t>公允價值</w:t>
      </w:r>
      <w:r w:rsidRPr="00E224E9">
        <w:rPr>
          <w:rFonts w:ascii="Book Antiqua" w:hAnsi="Book Antiqua"/>
          <w:color w:val="000000" w:themeColor="text1"/>
          <w:sz w:val="24"/>
        </w:rPr>
        <w:t>以會計年度證交所、櫃檯買賣中心公布資產負債表日之收盤價為填報依據。</w:t>
      </w:r>
    </w:p>
    <w:p w14:paraId="305D28D3" w14:textId="77777777" w:rsidR="00065C53" w:rsidRPr="00E224E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非上市上櫃普通股則以</w:t>
      </w:r>
      <w:r w:rsidR="00AE35CF" w:rsidRPr="00E224E9">
        <w:rPr>
          <w:rFonts w:ascii="Book Antiqua" w:hAnsi="Book Antiqua" w:hint="eastAsia"/>
          <w:color w:val="000000" w:themeColor="text1"/>
          <w:sz w:val="24"/>
        </w:rPr>
        <w:t>帳載金額與</w:t>
      </w:r>
      <w:r w:rsidRPr="00E224E9">
        <w:rPr>
          <w:rFonts w:ascii="Book Antiqua" w:hAnsi="Book Antiqua"/>
          <w:color w:val="000000" w:themeColor="text1"/>
          <w:sz w:val="24"/>
        </w:rPr>
        <w:t>該發行股票公司資產負債表日之淨值</w:t>
      </w:r>
      <w:r w:rsidR="00141280" w:rsidRPr="00E224E9">
        <w:rPr>
          <w:rFonts w:ascii="Book Antiqua" w:hAnsi="Book Antiqua" w:hint="eastAsia"/>
          <w:color w:val="000000" w:themeColor="text1"/>
          <w:sz w:val="24"/>
        </w:rPr>
        <w:t>孰低</w:t>
      </w:r>
      <w:r w:rsidRPr="00E224E9">
        <w:rPr>
          <w:rFonts w:ascii="Book Antiqua" w:hAnsi="Book Antiqua"/>
          <w:color w:val="000000" w:themeColor="text1"/>
          <w:sz w:val="24"/>
        </w:rPr>
        <w:t>計算風險資本額，按「表</w:t>
      </w:r>
      <w:r w:rsidRPr="00E224E9">
        <w:rPr>
          <w:rFonts w:ascii="Book Antiqua" w:hAnsi="Book Antiqua"/>
          <w:color w:val="000000" w:themeColor="text1"/>
          <w:sz w:val="24"/>
        </w:rPr>
        <w:t>10-4</w:t>
      </w:r>
      <w:r w:rsidRPr="00E224E9">
        <w:rPr>
          <w:rFonts w:ascii="Book Antiqua" w:hAnsi="Book Antiqua"/>
          <w:color w:val="000000" w:themeColor="text1"/>
          <w:sz w:val="24"/>
        </w:rPr>
        <w:t>：非關係人股票投資明細表」之相關欄位金額及其所對應之風險係數計算風險資本額。</w:t>
      </w:r>
    </w:p>
    <w:p w14:paraId="00F4024B" w14:textId="77777777" w:rsidR="00065C53" w:rsidRPr="00E224E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lastRenderedPageBreak/>
        <w:t>特別股依其收益特性區分為「固定收益特別股」及「非固定收益特別股」兩類。所稱「固定收益特別股」，請詳「表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：資金運用表」第</w:t>
      </w:r>
      <w:r w:rsidRPr="00E224E9">
        <w:rPr>
          <w:rFonts w:ascii="Book Antiqua" w:hAnsi="Book Antiqua"/>
          <w:color w:val="000000" w:themeColor="text1"/>
          <w:sz w:val="24"/>
        </w:rPr>
        <w:t>4</w:t>
      </w:r>
      <w:r w:rsidR="007E12AD" w:rsidRPr="00E224E9">
        <w:rPr>
          <w:rFonts w:ascii="Book Antiqua" w:hAnsi="Book Antiqua" w:hint="eastAsia"/>
          <w:color w:val="000000" w:themeColor="text1"/>
          <w:sz w:val="24"/>
        </w:rPr>
        <w:t>0</w:t>
      </w:r>
      <w:r w:rsidRPr="00E224E9">
        <w:rPr>
          <w:rFonts w:ascii="Book Antiqua" w:hAnsi="Book Antiqua"/>
          <w:color w:val="000000" w:themeColor="text1"/>
          <w:sz w:val="24"/>
        </w:rPr>
        <w:t>列之有關說明。「固定收益特別股」係按其信用評等等級計算風險資本額；「非固定收益特別股」之風險部位金額則比照普通股之填報原則，亦即按「表</w:t>
      </w:r>
      <w:r w:rsidRPr="00E224E9">
        <w:rPr>
          <w:rFonts w:ascii="Book Antiqua" w:hAnsi="Book Antiqua"/>
          <w:color w:val="000000" w:themeColor="text1"/>
          <w:sz w:val="24"/>
        </w:rPr>
        <w:t>10-4</w:t>
      </w:r>
      <w:r w:rsidRPr="00E224E9">
        <w:rPr>
          <w:rFonts w:ascii="Book Antiqua" w:hAnsi="Book Antiqua"/>
          <w:color w:val="000000" w:themeColor="text1"/>
          <w:sz w:val="24"/>
        </w:rPr>
        <w:t>：非關係人股票投資明細表」之相關欄位金額填報，並依其所對應之風險係數計算風險資本額。</w:t>
      </w:r>
    </w:p>
    <w:p w14:paraId="2C08B058" w14:textId="77777777" w:rsidR="00065C53" w:rsidRPr="00E224E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以專案運用公共及社會福利事業投資方式且以股份方式（非創業投資）投資於非關係人之部分按該股份為上市、上櫃或非上市上櫃分別歸屬之。現行之興櫃股票亦歸屬於「非上市上櫃普通股」之中。</w:t>
      </w:r>
    </w:p>
    <w:p w14:paraId="6461E32E" w14:textId="77777777" w:rsidR="00065C53" w:rsidRPr="00E224E9" w:rsidRDefault="00065C53">
      <w:pPr>
        <w:pStyle w:val="Item1"/>
        <w:spacing w:line="440" w:lineRule="exact"/>
        <w:ind w:leftChars="399" w:left="1037" w:firstLineChars="0" w:firstLine="0"/>
        <w:jc w:val="both"/>
        <w:rPr>
          <w:rFonts w:ascii="Book Antiqua" w:hAnsi="Book Antiqua"/>
          <w:color w:val="000000" w:themeColor="text1"/>
        </w:rPr>
      </w:pPr>
    </w:p>
    <w:p w14:paraId="1A553E6E" w14:textId="77777777" w:rsidR="00065C53" w:rsidRPr="00E224E9" w:rsidRDefault="00065C53">
      <w:pPr>
        <w:spacing w:line="440" w:lineRule="exact"/>
        <w:ind w:left="2520" w:hanging="1620"/>
        <w:jc w:val="both"/>
        <w:rPr>
          <w:rFonts w:ascii="Book Antiqua" w:hAnsi="Book Antiqua"/>
          <w:color w:val="000000" w:themeColor="text1"/>
          <w:sz w:val="24"/>
        </w:rPr>
      </w:pPr>
      <w:r w:rsidRPr="00E224E9">
        <w:rPr>
          <w:rFonts w:ascii="Book Antiqua" w:hAnsi="Book Antiqua"/>
          <w:color w:val="000000" w:themeColor="text1"/>
          <w:sz w:val="24"/>
        </w:rPr>
        <w:t>1.2.4</w:t>
      </w:r>
      <w:r w:rsidRPr="00E224E9">
        <w:rPr>
          <w:rFonts w:ascii="Book Antiqua" w:hAnsi="Book Antiqua"/>
          <w:color w:val="000000" w:themeColor="text1"/>
          <w:sz w:val="24"/>
        </w:rPr>
        <w:t>受益憑證：</w:t>
      </w:r>
    </w:p>
    <w:p w14:paraId="5348D488" w14:textId="77777777" w:rsidR="00065C53" w:rsidRPr="00E224E9" w:rsidRDefault="00065C53">
      <w:pPr>
        <w:pStyle w:val="Item1"/>
        <w:spacing w:line="440" w:lineRule="exact"/>
        <w:ind w:leftChars="590" w:left="2014" w:hangingChars="200" w:hanging="480"/>
        <w:jc w:val="both"/>
        <w:rPr>
          <w:rFonts w:ascii="Book Antiqua" w:hAnsi="Book Antiqua"/>
          <w:color w:val="000000" w:themeColor="text1"/>
          <w:sz w:val="24"/>
        </w:rPr>
      </w:pPr>
      <w:r w:rsidRPr="00E224E9">
        <w:rPr>
          <w:rFonts w:ascii="Book Antiqua" w:hAnsi="Book Antiqua"/>
          <w:color w:val="000000" w:themeColor="text1"/>
          <w:sz w:val="24"/>
        </w:rPr>
        <w:t>一、有關「受益憑證」之規定，以</w:t>
      </w:r>
      <w:r w:rsidR="007E12AD" w:rsidRPr="00E224E9">
        <w:rPr>
          <w:rFonts w:ascii="Book Antiqua" w:hAnsi="Book Antiqua" w:hint="eastAsia"/>
          <w:color w:val="000000" w:themeColor="text1"/>
          <w:sz w:val="24"/>
        </w:rPr>
        <w:t>10</w:t>
      </w:r>
      <w:r w:rsidRPr="00E224E9">
        <w:rPr>
          <w:rFonts w:ascii="Book Antiqua" w:hAnsi="Book Antiqua"/>
          <w:color w:val="000000" w:themeColor="text1"/>
          <w:sz w:val="24"/>
        </w:rPr>
        <w:t>7</w:t>
      </w:r>
      <w:r w:rsidRPr="00E224E9">
        <w:rPr>
          <w:rFonts w:ascii="Book Antiqua" w:hAnsi="Book Antiqua"/>
          <w:color w:val="000000" w:themeColor="text1"/>
          <w:sz w:val="24"/>
        </w:rPr>
        <w:t>年</w:t>
      </w:r>
      <w:r w:rsidR="007E12AD" w:rsidRPr="00E224E9">
        <w:rPr>
          <w:rFonts w:ascii="Book Antiqua" w:hAnsi="Book Antiqua" w:hint="eastAsia"/>
          <w:color w:val="000000" w:themeColor="text1"/>
          <w:sz w:val="24"/>
        </w:rPr>
        <w:t>7</w:t>
      </w:r>
      <w:r w:rsidRPr="00E224E9">
        <w:rPr>
          <w:rFonts w:ascii="Book Antiqua" w:hAnsi="Book Antiqua"/>
          <w:color w:val="000000" w:themeColor="text1"/>
          <w:sz w:val="24"/>
        </w:rPr>
        <w:t>月</w:t>
      </w:r>
      <w:r w:rsidR="007E12AD" w:rsidRPr="00E224E9">
        <w:rPr>
          <w:rFonts w:ascii="Book Antiqua" w:hAnsi="Book Antiqua" w:hint="eastAsia"/>
          <w:color w:val="000000" w:themeColor="text1"/>
          <w:sz w:val="24"/>
        </w:rPr>
        <w:t>23</w:t>
      </w:r>
      <w:r w:rsidR="009A2DB2" w:rsidRPr="00E224E9">
        <w:rPr>
          <w:rFonts w:ascii="Book Antiqua" w:hAnsi="Book Antiqua"/>
          <w:color w:val="000000" w:themeColor="text1"/>
          <w:sz w:val="24"/>
        </w:rPr>
        <w:t>日</w:t>
      </w:r>
      <w:r w:rsidRPr="00E224E9">
        <w:rPr>
          <w:rFonts w:ascii="Book Antiqua" w:hAnsi="Book Antiqua"/>
          <w:color w:val="000000" w:themeColor="text1"/>
          <w:sz w:val="24"/>
        </w:rPr>
        <w:t>金融監督管理委員會證期局所修訂之『證券投資信託基金管理辦法』之規定為依據。</w:t>
      </w:r>
    </w:p>
    <w:p w14:paraId="2C0E45B1" w14:textId="77777777" w:rsidR="00065C53" w:rsidRPr="00E224E9" w:rsidRDefault="00065C53">
      <w:pPr>
        <w:pStyle w:val="Item1"/>
        <w:spacing w:line="440" w:lineRule="exact"/>
        <w:ind w:leftChars="590" w:left="2014" w:hangingChars="200" w:hanging="480"/>
        <w:jc w:val="both"/>
        <w:rPr>
          <w:rFonts w:ascii="Book Antiqua" w:hAnsi="Book Antiqua"/>
          <w:color w:val="000000" w:themeColor="text1"/>
          <w:sz w:val="24"/>
        </w:rPr>
      </w:pPr>
      <w:r w:rsidRPr="00E224E9">
        <w:rPr>
          <w:rFonts w:ascii="Book Antiqua" w:hAnsi="Book Antiqua"/>
          <w:color w:val="000000" w:themeColor="text1"/>
          <w:sz w:val="24"/>
        </w:rPr>
        <w:t>二、此類別依該基金之投資組合內容再細分為「股票型共同基金」、「債券型共同基金」及「平衡型共同基金</w:t>
      </w:r>
      <w:r w:rsidR="007E441A"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」、「貨幣型共同基金」、「私募基金」等細項，有關其分類方式請詳「表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：資金運用表」第</w:t>
      </w:r>
      <w:r w:rsidR="009A2DB2" w:rsidRPr="00E224E9">
        <w:rPr>
          <w:rFonts w:ascii="Book Antiqua" w:hAnsi="Book Antiqua" w:hint="eastAsia"/>
          <w:color w:val="000000" w:themeColor="text1"/>
          <w:sz w:val="24"/>
        </w:rPr>
        <w:t>50</w:t>
      </w:r>
      <w:r w:rsidRPr="00E224E9">
        <w:rPr>
          <w:rFonts w:ascii="Book Antiqua" w:hAnsi="Book Antiqua"/>
          <w:color w:val="000000" w:themeColor="text1"/>
          <w:sz w:val="24"/>
        </w:rPr>
        <w:t>列之填報說明。另，各類受益憑證風險資本額之計算方式分別說明如下：</w:t>
      </w:r>
    </w:p>
    <w:p w14:paraId="3A945A70" w14:textId="77777777" w:rsidR="00065C53" w:rsidRPr="00E224E9" w:rsidRDefault="00065C53" w:rsidP="004373AD">
      <w:pPr>
        <w:pStyle w:val="Item1"/>
        <w:numPr>
          <w:ilvl w:val="0"/>
          <w:numId w:val="16"/>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「股票型共同基金」</w:t>
      </w:r>
    </w:p>
    <w:p w14:paraId="685E4AEF" w14:textId="77777777" w:rsidR="00065C53" w:rsidRPr="00E224E9" w:rsidRDefault="00065C53">
      <w:pPr>
        <w:pStyle w:val="Item1"/>
        <w:spacing w:line="440" w:lineRule="exact"/>
        <w:ind w:leftChars="0" w:left="2520" w:firstLineChars="0" w:hanging="2"/>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值計算表」國內發行其投資區域包含國外之股票型共同基金帳載價值後之數額，乘以「表</w:t>
      </w:r>
      <w:r w:rsidRPr="00E224E9">
        <w:rPr>
          <w:rFonts w:ascii="Book Antiqua" w:hAnsi="Book Antiqua"/>
          <w:color w:val="000000" w:themeColor="text1"/>
          <w:sz w:val="24"/>
        </w:rPr>
        <w:t>30-14</w:t>
      </w:r>
      <w:r w:rsidRPr="00E224E9">
        <w:rPr>
          <w:rFonts w:ascii="Book Antiqua" w:hAnsi="Book Antiqua"/>
          <w:color w:val="000000" w:themeColor="text1"/>
          <w:sz w:val="24"/>
        </w:rPr>
        <w:t>：公司</w:t>
      </w:r>
      <w:r w:rsidRPr="00E224E9">
        <w:rPr>
          <w:rFonts w:ascii="Book Antiqua" w:hAnsi="Book Antiqua"/>
          <w:color w:val="000000" w:themeColor="text1"/>
          <w:sz w:val="24"/>
        </w:rPr>
        <w:t>β</w:t>
      </w:r>
      <w:r w:rsidRPr="00E224E9">
        <w:rPr>
          <w:rFonts w:ascii="Book Antiqua" w:hAnsi="Book Antiqua"/>
          <w:color w:val="000000" w:themeColor="text1"/>
          <w:sz w:val="24"/>
        </w:rPr>
        <w:t>值及</w:t>
      </w:r>
      <w:r w:rsidR="007E12AD" w:rsidRPr="00E224E9">
        <w:rPr>
          <w:rFonts w:ascii="Book Antiqua" w:hAnsi="Book Antiqua" w:hint="eastAsia"/>
          <w:color w:val="000000" w:themeColor="text1"/>
          <w:sz w:val="24"/>
        </w:rPr>
        <w:t>股票逆景氣循環</w:t>
      </w:r>
      <w:r w:rsidRPr="00E224E9">
        <w:rPr>
          <w:rFonts w:ascii="Book Antiqua" w:hAnsi="Book Antiqua"/>
          <w:color w:val="000000" w:themeColor="text1"/>
          <w:sz w:val="24"/>
        </w:rPr>
        <w:t>資產風險係數計算表」所對應之風險係數計算風險資本額。</w:t>
      </w:r>
    </w:p>
    <w:p w14:paraId="046DA146" w14:textId="77777777" w:rsidR="009A2DB2" w:rsidRPr="00E224E9" w:rsidRDefault="009A2DB2" w:rsidP="004373AD">
      <w:pPr>
        <w:pStyle w:val="Item1"/>
        <w:numPr>
          <w:ilvl w:val="0"/>
          <w:numId w:val="16"/>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w:t>
      </w:r>
      <w:r w:rsidRPr="00E224E9">
        <w:rPr>
          <w:rFonts w:ascii="Book Antiqua" w:hAnsi="Book Antiqua" w:hint="eastAsia"/>
          <w:color w:val="000000" w:themeColor="text1"/>
          <w:sz w:val="24"/>
        </w:rPr>
        <w:t>債券</w:t>
      </w:r>
      <w:r w:rsidRPr="00E224E9">
        <w:rPr>
          <w:rFonts w:ascii="Book Antiqua" w:hAnsi="Book Antiqua"/>
          <w:color w:val="000000" w:themeColor="text1"/>
          <w:sz w:val="24"/>
        </w:rPr>
        <w:t>型共同基金」</w:t>
      </w:r>
    </w:p>
    <w:p w14:paraId="7CD0A3DD" w14:textId="77777777" w:rsidR="009A2DB2" w:rsidRPr="00E224E9" w:rsidRDefault="009A2DB2" w:rsidP="009A2DB2">
      <w:pPr>
        <w:pStyle w:val="Item1"/>
        <w:spacing w:line="440" w:lineRule="exact"/>
        <w:ind w:leftChars="0" w:left="2520" w:firstLineChars="0" w:hanging="2"/>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hint="eastAsia"/>
          <w:color w:val="000000" w:themeColor="text1"/>
          <w:sz w:val="24"/>
        </w:rPr>
        <w:t>債券</w:t>
      </w:r>
      <w:r w:rsidRPr="00E224E9">
        <w:rPr>
          <w:rFonts w:ascii="Book Antiqua" w:hAnsi="Book Antiqua"/>
          <w:color w:val="000000" w:themeColor="text1"/>
          <w:sz w:val="24"/>
        </w:rPr>
        <w:t>型共同基金帳載價值後之數額，乘以對應之風險係數計算風險資本額。</w:t>
      </w:r>
    </w:p>
    <w:p w14:paraId="6B2B4048" w14:textId="77777777" w:rsidR="00065C53" w:rsidRPr="00E224E9" w:rsidRDefault="00065C53" w:rsidP="004373AD">
      <w:pPr>
        <w:pStyle w:val="Item1"/>
        <w:numPr>
          <w:ilvl w:val="0"/>
          <w:numId w:val="16"/>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「平衡型共同基金</w:t>
      </w:r>
      <w:r w:rsidR="007E441A"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w:t>
      </w:r>
    </w:p>
    <w:p w14:paraId="754DF2AE" w14:textId="36468E98" w:rsidR="00065C53" w:rsidRPr="00E224E9" w:rsidRDefault="00065C53">
      <w:pPr>
        <w:pStyle w:val="Item1"/>
        <w:spacing w:line="440" w:lineRule="exact"/>
        <w:ind w:leftChars="0" w:left="2520" w:firstLineChars="0" w:hanging="2"/>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w:t>
      </w:r>
      <w:r w:rsidRPr="00E224E9">
        <w:rPr>
          <w:rFonts w:ascii="Book Antiqua" w:hAnsi="Book Antiqua"/>
          <w:color w:val="000000" w:themeColor="text1"/>
          <w:sz w:val="24"/>
        </w:rPr>
        <w:lastRenderedPageBreak/>
        <w:t>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值計算表」國內發行其投資區域包含國外之平衡型共同基金</w:t>
      </w:r>
      <w:r w:rsidR="0049273A"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帳載價值後之數額，乘以「表</w:t>
      </w:r>
      <w:r w:rsidRPr="00E224E9">
        <w:rPr>
          <w:rFonts w:ascii="Book Antiqua" w:hAnsi="Book Antiqua"/>
          <w:color w:val="000000" w:themeColor="text1"/>
          <w:sz w:val="24"/>
        </w:rPr>
        <w:t>30-14</w:t>
      </w:r>
      <w:r w:rsidRPr="00E224E9">
        <w:rPr>
          <w:rFonts w:ascii="Book Antiqua" w:hAnsi="Book Antiqua"/>
          <w:color w:val="000000" w:themeColor="text1"/>
          <w:sz w:val="24"/>
        </w:rPr>
        <w:t>：公司</w:t>
      </w:r>
      <w:r w:rsidRPr="00E224E9">
        <w:rPr>
          <w:rFonts w:ascii="Book Antiqua" w:hAnsi="Book Antiqua"/>
          <w:color w:val="000000" w:themeColor="text1"/>
          <w:sz w:val="24"/>
        </w:rPr>
        <w:t>β</w:t>
      </w:r>
      <w:r w:rsidRPr="00E224E9">
        <w:rPr>
          <w:rFonts w:ascii="Book Antiqua" w:hAnsi="Book Antiqua"/>
          <w:color w:val="000000" w:themeColor="text1"/>
          <w:sz w:val="24"/>
        </w:rPr>
        <w:t>值及</w:t>
      </w:r>
      <w:r w:rsidR="007E12AD" w:rsidRPr="00E224E9">
        <w:rPr>
          <w:rFonts w:ascii="Book Antiqua" w:hAnsi="Book Antiqua" w:hint="eastAsia"/>
          <w:color w:val="000000" w:themeColor="text1"/>
          <w:sz w:val="24"/>
        </w:rPr>
        <w:t>股票逆景氣循環</w:t>
      </w:r>
      <w:r w:rsidRPr="00E224E9">
        <w:rPr>
          <w:rFonts w:ascii="Book Antiqua" w:hAnsi="Book Antiqua"/>
          <w:color w:val="000000" w:themeColor="text1"/>
          <w:sz w:val="24"/>
        </w:rPr>
        <w:t>資產風險係數計算表」所對應之風險係數計算風險資本額。</w:t>
      </w:r>
    </w:p>
    <w:p w14:paraId="633F78DE" w14:textId="77777777" w:rsidR="000B31E1" w:rsidRPr="00E224E9" w:rsidRDefault="000B31E1" w:rsidP="004373AD">
      <w:pPr>
        <w:pStyle w:val="Item1"/>
        <w:numPr>
          <w:ilvl w:val="0"/>
          <w:numId w:val="16"/>
        </w:numPr>
        <w:spacing w:line="440" w:lineRule="exact"/>
        <w:ind w:leftChars="0" w:firstLineChars="0"/>
        <w:jc w:val="both"/>
        <w:rPr>
          <w:rFonts w:ascii="Book Antiqua" w:hAnsi="標楷體"/>
          <w:color w:val="000000" w:themeColor="text1"/>
          <w:sz w:val="24"/>
        </w:rPr>
      </w:pPr>
      <w:r w:rsidRPr="00E224E9">
        <w:rPr>
          <w:rFonts w:ascii="Book Antiqua" w:hAnsi="標楷體" w:hint="eastAsia"/>
          <w:color w:val="000000" w:themeColor="text1"/>
          <w:sz w:val="24"/>
        </w:rPr>
        <w:t>「私募基金」</w:t>
      </w:r>
    </w:p>
    <w:p w14:paraId="150CBC7C" w14:textId="77777777" w:rsidR="000B31E1" w:rsidRPr="00E224E9" w:rsidRDefault="000B31E1" w:rsidP="000B31E1">
      <w:pPr>
        <w:pStyle w:val="Item1"/>
        <w:tabs>
          <w:tab w:val="left" w:pos="2552"/>
        </w:tabs>
        <w:spacing w:line="440" w:lineRule="exact"/>
        <w:ind w:leftChars="0" w:left="2552" w:firstLineChars="0" w:hanging="1"/>
        <w:jc w:val="both"/>
        <w:rPr>
          <w:rFonts w:ascii="Book Antiqua" w:hAnsi="標楷體"/>
          <w:color w:val="000000" w:themeColor="text1"/>
          <w:sz w:val="24"/>
        </w:rPr>
      </w:pPr>
      <w:r w:rsidRPr="00E224E9">
        <w:rPr>
          <w:rFonts w:ascii="Book Antiqua" w:hAnsi="標楷體" w:hint="eastAsia"/>
          <w:color w:val="000000" w:themeColor="text1"/>
          <w:sz w:val="24"/>
        </w:rPr>
        <w:t>按「表</w:t>
      </w:r>
      <w:r w:rsidRPr="00E224E9">
        <w:rPr>
          <w:rFonts w:ascii="Book Antiqua" w:hAnsi="標楷體" w:hint="eastAsia"/>
          <w:color w:val="000000" w:themeColor="text1"/>
          <w:sz w:val="24"/>
        </w:rPr>
        <w:t>05-1</w:t>
      </w:r>
      <w:r w:rsidRPr="00E224E9">
        <w:rPr>
          <w:rFonts w:ascii="Book Antiqua" w:hAnsi="標楷體" w:hint="eastAsia"/>
          <w:color w:val="000000" w:themeColor="text1"/>
          <w:sz w:val="24"/>
        </w:rPr>
        <w:t>：資金運用表」相關欄位金額減除「表</w:t>
      </w:r>
      <w:r w:rsidRPr="00E224E9">
        <w:rPr>
          <w:rFonts w:ascii="Book Antiqua" w:hAnsi="標楷體" w:hint="eastAsia"/>
          <w:color w:val="000000" w:themeColor="text1"/>
          <w:sz w:val="24"/>
        </w:rPr>
        <w:t>30-14-1</w:t>
      </w:r>
      <w:r w:rsidRPr="00E224E9">
        <w:rPr>
          <w:rFonts w:ascii="Book Antiqua" w:hAnsi="標楷體" w:hint="eastAsia"/>
          <w:color w:val="000000" w:themeColor="text1"/>
          <w:sz w:val="24"/>
        </w:rPr>
        <w:t>：公司上市股票及基金β值計算表」國內發行其投資區域包含國外之私募基金後之數額，乘以其所對應之風險係數計算風險資本額。</w:t>
      </w:r>
    </w:p>
    <w:p w14:paraId="4A63E609" w14:textId="0AC801D4" w:rsidR="00065C53" w:rsidRPr="00E224E9" w:rsidRDefault="00065C53" w:rsidP="004373AD">
      <w:pPr>
        <w:pStyle w:val="Item1"/>
        <w:numPr>
          <w:ilvl w:val="0"/>
          <w:numId w:val="16"/>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除上述</w:t>
      </w:r>
      <w:r w:rsidRPr="00E224E9">
        <w:rPr>
          <w:rFonts w:ascii="Book Antiqua" w:hAnsi="Book Antiqua"/>
          <w:color w:val="000000" w:themeColor="text1"/>
          <w:sz w:val="24"/>
        </w:rPr>
        <w:t>(</w:t>
      </w:r>
      <w:r w:rsidRPr="00E224E9">
        <w:rPr>
          <w:rFonts w:ascii="Book Antiqua" w:hAnsi="Book Antiqua"/>
          <w:color w:val="000000" w:themeColor="text1"/>
          <w:sz w:val="24"/>
        </w:rPr>
        <w:t>一</w:t>
      </w:r>
      <w:r w:rsidRPr="00E224E9">
        <w:rPr>
          <w:rFonts w:ascii="Book Antiqua" w:hAnsi="Book Antiqua"/>
          <w:color w:val="000000" w:themeColor="text1"/>
          <w:sz w:val="24"/>
        </w:rPr>
        <w:t>)</w:t>
      </w:r>
      <w:r w:rsidR="009A2DB2" w:rsidRPr="00E224E9">
        <w:rPr>
          <w:rFonts w:ascii="Book Antiqua" w:hAnsi="Book Antiqua" w:hint="eastAsia"/>
          <w:color w:val="000000" w:themeColor="text1"/>
          <w:sz w:val="24"/>
        </w:rPr>
        <w:t>~</w:t>
      </w:r>
      <w:r w:rsidRPr="00E224E9">
        <w:rPr>
          <w:rFonts w:ascii="Book Antiqua" w:hAnsi="Book Antiqua"/>
          <w:color w:val="000000" w:themeColor="text1"/>
          <w:sz w:val="24"/>
        </w:rPr>
        <w:t>(</w:t>
      </w:r>
      <w:r w:rsidR="000B31E1" w:rsidRPr="00E224E9">
        <w:rPr>
          <w:rFonts w:ascii="Book Antiqua" w:hAnsi="Book Antiqua" w:hint="eastAsia"/>
          <w:color w:val="000000" w:themeColor="text1"/>
          <w:sz w:val="24"/>
        </w:rPr>
        <w:t>四</w:t>
      </w:r>
      <w:r w:rsidRPr="00E224E9">
        <w:rPr>
          <w:rFonts w:ascii="Book Antiqua" w:hAnsi="Book Antiqua"/>
          <w:color w:val="000000" w:themeColor="text1"/>
          <w:sz w:val="24"/>
        </w:rPr>
        <w:t>)</w:t>
      </w:r>
      <w:r w:rsidRPr="00E224E9">
        <w:rPr>
          <w:rFonts w:ascii="Book Antiqua" w:hAnsi="Book Antiqua"/>
          <w:color w:val="000000" w:themeColor="text1"/>
          <w:sz w:val="24"/>
        </w:rPr>
        <w:t>以外之共同基金</w:t>
      </w:r>
    </w:p>
    <w:p w14:paraId="757CC59A" w14:textId="77777777" w:rsidR="00065C53" w:rsidRPr="00E224E9" w:rsidRDefault="00065C53">
      <w:pPr>
        <w:pStyle w:val="Item1"/>
        <w:spacing w:line="440" w:lineRule="exact"/>
        <w:ind w:leftChars="0" w:left="2520" w:firstLineChars="0" w:hanging="2"/>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：資金運用表」之相關欄位金額，乘以其所對應之風險係數計算風險資本額。</w:t>
      </w:r>
    </w:p>
    <w:p w14:paraId="4EB59915" w14:textId="77777777" w:rsidR="00065C53" w:rsidRPr="00E224E9" w:rsidRDefault="00065C53">
      <w:pPr>
        <w:pStyle w:val="Item1"/>
        <w:spacing w:line="440" w:lineRule="exact"/>
        <w:ind w:leftChars="590" w:left="2014" w:hangingChars="200" w:hanging="480"/>
        <w:jc w:val="both"/>
        <w:rPr>
          <w:rFonts w:ascii="Book Antiqua" w:hAnsi="Book Antiqua"/>
          <w:color w:val="000000" w:themeColor="text1"/>
          <w:sz w:val="24"/>
        </w:rPr>
      </w:pPr>
      <w:r w:rsidRPr="00E224E9">
        <w:rPr>
          <w:rFonts w:ascii="Book Antiqua" w:hAnsi="Book Antiqua"/>
          <w:color w:val="000000" w:themeColor="text1"/>
          <w:sz w:val="24"/>
        </w:rPr>
        <w:t>三、若保險業自行提供相關信評資料，且該證券之債信評等達一定程度以上者，則可給予風險係數上之折扣，但不包括以</w:t>
      </w:r>
      <w:r w:rsidRPr="00E224E9">
        <w:rPr>
          <w:rFonts w:ascii="Book Antiqua" w:hAnsi="Book Antiqua"/>
          <w:color w:val="000000" w:themeColor="text1"/>
          <w:sz w:val="24"/>
        </w:rPr>
        <w:t>β</w:t>
      </w:r>
      <w:r w:rsidRPr="00E224E9">
        <w:rPr>
          <w:rFonts w:ascii="Book Antiqua" w:hAnsi="Book Antiqua"/>
          <w:color w:val="000000" w:themeColor="text1"/>
          <w:sz w:val="24"/>
        </w:rPr>
        <w:t>值計算係數之受益憑證。</w:t>
      </w:r>
    </w:p>
    <w:p w14:paraId="27BEA973" w14:textId="77777777" w:rsidR="00065C53" w:rsidRPr="00E224E9" w:rsidRDefault="00065C53">
      <w:pPr>
        <w:pStyle w:val="Item1"/>
        <w:spacing w:line="440" w:lineRule="exact"/>
        <w:ind w:leftChars="590" w:left="2014" w:hangingChars="200" w:hanging="480"/>
        <w:jc w:val="both"/>
        <w:rPr>
          <w:rFonts w:ascii="Book Antiqua" w:hAnsi="Book Antiqua"/>
          <w:color w:val="000000" w:themeColor="text1"/>
          <w:sz w:val="24"/>
        </w:rPr>
      </w:pPr>
      <w:r w:rsidRPr="00E224E9">
        <w:rPr>
          <w:rFonts w:ascii="Book Antiqua" w:hAnsi="Book Antiqua"/>
          <w:color w:val="000000" w:themeColor="text1"/>
          <w:sz w:val="24"/>
        </w:rPr>
        <w:t>四、若受益憑證為國內發行但其投資區域包含國外者，計算風險資本額時，將該項目歸屬於國外投資受益憑證計算，相關資料請於「表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值計算表」中填列。</w:t>
      </w:r>
    </w:p>
    <w:p w14:paraId="58776D0E" w14:textId="77777777" w:rsidR="00065C53" w:rsidRPr="00E224E9" w:rsidRDefault="00065C53">
      <w:pPr>
        <w:pStyle w:val="Item1"/>
        <w:spacing w:line="440" w:lineRule="exact"/>
        <w:ind w:leftChars="590" w:left="2014" w:hangingChars="200" w:hanging="480"/>
        <w:jc w:val="both"/>
        <w:rPr>
          <w:rFonts w:ascii="Book Antiqua" w:hAnsi="Book Antiqua"/>
          <w:color w:val="000000" w:themeColor="text1"/>
          <w:sz w:val="24"/>
        </w:rPr>
      </w:pPr>
    </w:p>
    <w:p w14:paraId="789F887A" w14:textId="77777777" w:rsidR="00065C53" w:rsidRPr="00E224E9" w:rsidRDefault="00065C53">
      <w:pPr>
        <w:spacing w:line="440" w:lineRule="exact"/>
        <w:ind w:left="2520" w:hanging="1620"/>
        <w:jc w:val="both"/>
        <w:rPr>
          <w:rFonts w:ascii="Book Antiqua" w:hAnsi="Book Antiqua"/>
          <w:color w:val="000000" w:themeColor="text1"/>
        </w:rPr>
      </w:pPr>
      <w:r w:rsidRPr="00E224E9">
        <w:rPr>
          <w:rFonts w:ascii="Book Antiqua" w:hAnsi="Book Antiqua"/>
          <w:color w:val="000000" w:themeColor="text1"/>
          <w:sz w:val="24"/>
        </w:rPr>
        <w:t>1.2.5 ETF</w:t>
      </w:r>
      <w:r w:rsidRPr="00E224E9">
        <w:rPr>
          <w:rFonts w:ascii="Book Antiqua" w:hAnsi="Book Antiqua"/>
          <w:color w:val="000000" w:themeColor="text1"/>
          <w:sz w:val="24"/>
        </w:rPr>
        <w:t>：</w:t>
      </w:r>
    </w:p>
    <w:p w14:paraId="1B439AB9" w14:textId="77777777" w:rsidR="00065C53" w:rsidRPr="00E224E9" w:rsidRDefault="00065C53" w:rsidP="004373AD">
      <w:pPr>
        <w:numPr>
          <w:ilvl w:val="0"/>
          <w:numId w:val="21"/>
        </w:numPr>
        <w:tabs>
          <w:tab w:val="clear" w:pos="1560"/>
          <w:tab w:val="num" w:pos="1620"/>
        </w:tabs>
        <w:spacing w:line="440" w:lineRule="exact"/>
        <w:ind w:left="1620" w:hanging="540"/>
        <w:jc w:val="both"/>
        <w:rPr>
          <w:rFonts w:ascii="Book Antiqua" w:hAnsi="Book Antiqua"/>
          <w:color w:val="000000" w:themeColor="text1"/>
          <w:sz w:val="24"/>
        </w:rPr>
      </w:pPr>
      <w:r w:rsidRPr="00E224E9">
        <w:rPr>
          <w:rFonts w:ascii="Book Antiqua" w:hAnsi="Book Antiqua"/>
          <w:color w:val="000000" w:themeColor="text1"/>
          <w:sz w:val="24"/>
        </w:rPr>
        <w:t>有關「</w:t>
      </w:r>
      <w:r w:rsidRPr="00E224E9">
        <w:rPr>
          <w:rFonts w:ascii="Book Antiqua" w:hAnsi="Book Antiqua"/>
          <w:color w:val="000000" w:themeColor="text1"/>
          <w:sz w:val="24"/>
        </w:rPr>
        <w:t>ETF</w:t>
      </w:r>
      <w:r w:rsidRPr="00E224E9">
        <w:rPr>
          <w:rFonts w:ascii="Book Antiqua" w:hAnsi="Book Antiqua"/>
          <w:color w:val="000000" w:themeColor="text1"/>
          <w:sz w:val="24"/>
        </w:rPr>
        <w:t>指數股票型基金」之規定，以</w:t>
      </w:r>
      <w:r w:rsidR="009A2DB2" w:rsidRPr="00E224E9">
        <w:rPr>
          <w:rFonts w:ascii="Book Antiqua" w:hAnsi="Book Antiqua" w:hint="eastAsia"/>
          <w:color w:val="000000" w:themeColor="text1"/>
          <w:sz w:val="24"/>
        </w:rPr>
        <w:t>107</w:t>
      </w:r>
      <w:r w:rsidRPr="00E224E9">
        <w:rPr>
          <w:rFonts w:ascii="Book Antiqua" w:hAnsi="Book Antiqua"/>
          <w:color w:val="000000" w:themeColor="text1"/>
          <w:sz w:val="24"/>
        </w:rPr>
        <w:t>年</w:t>
      </w:r>
      <w:r w:rsidR="009A2DB2" w:rsidRPr="00E224E9">
        <w:rPr>
          <w:rFonts w:ascii="Book Antiqua" w:hAnsi="Book Antiqua" w:hint="eastAsia"/>
          <w:color w:val="000000" w:themeColor="text1"/>
          <w:sz w:val="24"/>
        </w:rPr>
        <w:t>7</w:t>
      </w:r>
      <w:r w:rsidRPr="00E224E9">
        <w:rPr>
          <w:rFonts w:ascii="Book Antiqua" w:hAnsi="Book Antiqua"/>
          <w:color w:val="000000" w:themeColor="text1"/>
          <w:sz w:val="24"/>
        </w:rPr>
        <w:t>月</w:t>
      </w:r>
      <w:r w:rsidR="009A2DB2" w:rsidRPr="00E224E9">
        <w:rPr>
          <w:rFonts w:ascii="Book Antiqua" w:hAnsi="Book Antiqua" w:hint="eastAsia"/>
          <w:color w:val="000000" w:themeColor="text1"/>
          <w:sz w:val="24"/>
        </w:rPr>
        <w:t>23</w:t>
      </w:r>
      <w:r w:rsidR="009A2DB2" w:rsidRPr="00E224E9">
        <w:rPr>
          <w:rFonts w:ascii="Book Antiqua" w:hAnsi="Book Antiqua"/>
          <w:color w:val="000000" w:themeColor="text1"/>
          <w:sz w:val="24"/>
        </w:rPr>
        <w:t>日</w:t>
      </w:r>
      <w:r w:rsidRPr="00E224E9">
        <w:rPr>
          <w:rFonts w:ascii="Book Antiqua" w:hAnsi="Book Antiqua"/>
          <w:color w:val="000000" w:themeColor="text1"/>
          <w:sz w:val="24"/>
        </w:rPr>
        <w:t>金融監督管理委員會證期局所修訂之『證券投資信託基金管理辦法』之規定為依據。</w:t>
      </w:r>
    </w:p>
    <w:p w14:paraId="0B935BFD" w14:textId="77777777" w:rsidR="00065C53" w:rsidRPr="00E224E9" w:rsidRDefault="00065C53" w:rsidP="004373AD">
      <w:pPr>
        <w:numPr>
          <w:ilvl w:val="0"/>
          <w:numId w:val="21"/>
        </w:numPr>
        <w:tabs>
          <w:tab w:val="clear" w:pos="1560"/>
          <w:tab w:val="num" w:pos="1620"/>
        </w:tabs>
        <w:spacing w:line="440" w:lineRule="exact"/>
        <w:ind w:left="1620" w:hanging="540"/>
        <w:jc w:val="both"/>
        <w:rPr>
          <w:rFonts w:ascii="Book Antiqua" w:hAnsi="Book Antiqua"/>
          <w:color w:val="000000" w:themeColor="text1"/>
          <w:sz w:val="24"/>
        </w:rPr>
      </w:pPr>
      <w:r w:rsidRPr="00E224E9">
        <w:rPr>
          <w:rFonts w:ascii="Book Antiqua" w:hAnsi="Book Antiqua"/>
          <w:color w:val="000000" w:themeColor="text1"/>
          <w:sz w:val="24"/>
        </w:rPr>
        <w:t>此類別可再區分為「</w:t>
      </w:r>
      <w:r w:rsidRPr="00E224E9">
        <w:rPr>
          <w:rFonts w:ascii="Book Antiqua" w:hAnsi="Book Antiqua"/>
          <w:color w:val="000000" w:themeColor="text1"/>
          <w:sz w:val="24"/>
        </w:rPr>
        <w:t>ETF-</w:t>
      </w:r>
      <w:r w:rsidRPr="00E224E9">
        <w:rPr>
          <w:rFonts w:ascii="Book Antiqua" w:hAnsi="Book Antiqua"/>
          <w:color w:val="000000" w:themeColor="text1"/>
          <w:sz w:val="24"/>
        </w:rPr>
        <w:t>股票型」</w:t>
      </w:r>
      <w:r w:rsidR="004C67C2" w:rsidRPr="00E224E9">
        <w:rPr>
          <w:rFonts w:ascii="Book Antiqua" w:hAnsi="Book Antiqua" w:hint="eastAsia"/>
          <w:color w:val="000000" w:themeColor="text1"/>
          <w:sz w:val="24"/>
        </w:rPr>
        <w:t>、</w:t>
      </w:r>
      <w:r w:rsidRPr="00E224E9">
        <w:rPr>
          <w:rFonts w:ascii="Book Antiqua" w:hAnsi="Book Antiqua"/>
          <w:color w:val="000000" w:themeColor="text1"/>
          <w:sz w:val="24"/>
        </w:rPr>
        <w:t>「</w:t>
      </w:r>
      <w:r w:rsidRPr="00E224E9">
        <w:rPr>
          <w:rFonts w:ascii="Book Antiqua" w:hAnsi="Book Antiqua"/>
          <w:color w:val="000000" w:themeColor="text1"/>
          <w:sz w:val="24"/>
        </w:rPr>
        <w:t>ETF-</w:t>
      </w:r>
      <w:r w:rsidRPr="00E224E9">
        <w:rPr>
          <w:rFonts w:ascii="Book Antiqua" w:hAnsi="Book Antiqua"/>
          <w:color w:val="000000" w:themeColor="text1"/>
          <w:sz w:val="24"/>
        </w:rPr>
        <w:t>債券型」</w:t>
      </w:r>
      <w:r w:rsidR="004C67C2" w:rsidRPr="00E224E9">
        <w:rPr>
          <w:rFonts w:ascii="Book Antiqua" w:hAnsi="Book Antiqua"/>
          <w:color w:val="000000" w:themeColor="text1"/>
          <w:sz w:val="24"/>
        </w:rPr>
        <w:t>及「</w:t>
      </w:r>
      <w:r w:rsidR="004C67C2" w:rsidRPr="00E224E9">
        <w:rPr>
          <w:rFonts w:ascii="Book Antiqua" w:hAnsi="Book Antiqua"/>
          <w:color w:val="000000" w:themeColor="text1"/>
          <w:sz w:val="24"/>
        </w:rPr>
        <w:t>ETF-</w:t>
      </w:r>
      <w:r w:rsidR="004C67C2" w:rsidRPr="00E224E9">
        <w:rPr>
          <w:rFonts w:ascii="Book Antiqua" w:hAnsi="Book Antiqua" w:hint="eastAsia"/>
          <w:color w:val="000000" w:themeColor="text1"/>
          <w:sz w:val="24"/>
        </w:rPr>
        <w:t>其他</w:t>
      </w:r>
      <w:r w:rsidR="004C67C2" w:rsidRPr="00E224E9">
        <w:rPr>
          <w:rFonts w:ascii="Book Antiqua" w:hAnsi="Book Antiqua"/>
          <w:color w:val="000000" w:themeColor="text1"/>
          <w:sz w:val="24"/>
        </w:rPr>
        <w:t>型」</w:t>
      </w:r>
      <w:r w:rsidRPr="00E224E9">
        <w:rPr>
          <w:rFonts w:ascii="Book Antiqua" w:hAnsi="Book Antiqua"/>
          <w:color w:val="000000" w:themeColor="text1"/>
          <w:sz w:val="24"/>
        </w:rPr>
        <w:t>，其風險資本額之計算方式說明如下：</w:t>
      </w:r>
    </w:p>
    <w:p w14:paraId="2F3CB5E7" w14:textId="77777777" w:rsidR="00065C53" w:rsidRPr="00E224E9" w:rsidRDefault="00065C53" w:rsidP="004373AD">
      <w:pPr>
        <w:numPr>
          <w:ilvl w:val="1"/>
          <w:numId w:val="21"/>
        </w:numPr>
        <w:tabs>
          <w:tab w:val="left" w:pos="2160"/>
        </w:tabs>
        <w:spacing w:line="440" w:lineRule="exact"/>
        <w:ind w:firstLine="1380"/>
        <w:jc w:val="both"/>
        <w:rPr>
          <w:rFonts w:ascii="Book Antiqua" w:hAnsi="Book Antiqua"/>
          <w:color w:val="000000" w:themeColor="text1"/>
          <w:sz w:val="24"/>
        </w:rPr>
      </w:pPr>
      <w:r w:rsidRPr="00E224E9">
        <w:rPr>
          <w:rFonts w:ascii="Book Antiqua" w:hAnsi="Book Antiqua"/>
          <w:color w:val="000000" w:themeColor="text1"/>
          <w:sz w:val="24"/>
        </w:rPr>
        <w:t>「</w:t>
      </w:r>
      <w:r w:rsidRPr="00E224E9">
        <w:rPr>
          <w:rFonts w:ascii="Book Antiqua" w:hAnsi="Book Antiqua"/>
          <w:color w:val="000000" w:themeColor="text1"/>
          <w:sz w:val="24"/>
        </w:rPr>
        <w:t>ETF-</w:t>
      </w:r>
      <w:r w:rsidRPr="00E224E9">
        <w:rPr>
          <w:rFonts w:ascii="Book Antiqua" w:hAnsi="Book Antiqua"/>
          <w:color w:val="000000" w:themeColor="text1"/>
          <w:sz w:val="24"/>
        </w:rPr>
        <w:t>股票型」</w:t>
      </w:r>
    </w:p>
    <w:p w14:paraId="471B3336" w14:textId="77777777" w:rsidR="00065C53" w:rsidRPr="00E224E9" w:rsidRDefault="00065C53">
      <w:pPr>
        <w:tabs>
          <w:tab w:val="left" w:pos="2160"/>
        </w:tabs>
        <w:spacing w:line="440" w:lineRule="exact"/>
        <w:ind w:left="2160" w:hanging="1"/>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color w:val="000000" w:themeColor="text1"/>
          <w:sz w:val="24"/>
        </w:rPr>
        <w:t>ETF-</w:t>
      </w:r>
      <w:r w:rsidRPr="00E224E9">
        <w:rPr>
          <w:rFonts w:ascii="Book Antiqua" w:hAnsi="Book Antiqua"/>
          <w:color w:val="000000" w:themeColor="text1"/>
          <w:sz w:val="24"/>
        </w:rPr>
        <w:t>股票型帳載價值後之數額，乘以「表</w:t>
      </w:r>
      <w:r w:rsidRPr="00E224E9">
        <w:rPr>
          <w:rFonts w:ascii="Book Antiqua" w:hAnsi="Book Antiqua"/>
          <w:color w:val="000000" w:themeColor="text1"/>
          <w:sz w:val="24"/>
        </w:rPr>
        <w:t>30-14</w:t>
      </w:r>
      <w:r w:rsidRPr="00E224E9">
        <w:rPr>
          <w:rFonts w:ascii="Book Antiqua" w:hAnsi="Book Antiqua"/>
          <w:color w:val="000000" w:themeColor="text1"/>
          <w:sz w:val="24"/>
        </w:rPr>
        <w:t>：公司</w:t>
      </w:r>
      <w:r w:rsidRPr="00E224E9">
        <w:rPr>
          <w:rFonts w:ascii="Book Antiqua" w:hAnsi="Book Antiqua"/>
          <w:color w:val="000000" w:themeColor="text1"/>
          <w:sz w:val="24"/>
        </w:rPr>
        <w:t>β</w:t>
      </w:r>
      <w:r w:rsidRPr="00E224E9">
        <w:rPr>
          <w:rFonts w:ascii="Book Antiqua" w:hAnsi="Book Antiqua"/>
          <w:color w:val="000000" w:themeColor="text1"/>
          <w:sz w:val="24"/>
        </w:rPr>
        <w:t>值及</w:t>
      </w:r>
      <w:r w:rsidR="007E12AD" w:rsidRPr="00E224E9">
        <w:rPr>
          <w:rFonts w:ascii="Book Antiqua" w:hAnsi="Book Antiqua" w:hint="eastAsia"/>
          <w:color w:val="000000" w:themeColor="text1"/>
          <w:sz w:val="24"/>
        </w:rPr>
        <w:t>股票逆景氣循環</w:t>
      </w:r>
      <w:r w:rsidRPr="00E224E9">
        <w:rPr>
          <w:rFonts w:ascii="Book Antiqua" w:hAnsi="Book Antiqua"/>
          <w:color w:val="000000" w:themeColor="text1"/>
          <w:sz w:val="24"/>
        </w:rPr>
        <w:t>資產風險係數計算表」所對應之風險係數計算風險資本額。</w:t>
      </w:r>
    </w:p>
    <w:p w14:paraId="798885B7" w14:textId="77777777" w:rsidR="00065C53" w:rsidRPr="00E224E9" w:rsidRDefault="00065C53" w:rsidP="004373AD">
      <w:pPr>
        <w:numPr>
          <w:ilvl w:val="1"/>
          <w:numId w:val="21"/>
        </w:numPr>
        <w:tabs>
          <w:tab w:val="left" w:pos="2160"/>
        </w:tabs>
        <w:spacing w:line="440" w:lineRule="exact"/>
        <w:ind w:firstLine="1380"/>
        <w:jc w:val="both"/>
        <w:rPr>
          <w:rFonts w:ascii="Book Antiqua" w:hAnsi="Book Antiqua"/>
          <w:color w:val="000000" w:themeColor="text1"/>
        </w:rPr>
      </w:pPr>
      <w:r w:rsidRPr="00E224E9">
        <w:rPr>
          <w:rFonts w:ascii="Book Antiqua" w:hAnsi="Book Antiqua"/>
          <w:color w:val="000000" w:themeColor="text1"/>
          <w:sz w:val="24"/>
        </w:rPr>
        <w:t>「</w:t>
      </w:r>
      <w:r w:rsidRPr="00E224E9">
        <w:rPr>
          <w:rFonts w:ascii="Book Antiqua" w:hAnsi="Book Antiqua"/>
          <w:color w:val="000000" w:themeColor="text1"/>
          <w:sz w:val="24"/>
        </w:rPr>
        <w:t>ETF-</w:t>
      </w:r>
      <w:r w:rsidRPr="00E224E9">
        <w:rPr>
          <w:rFonts w:ascii="Book Antiqua" w:hAnsi="Book Antiqua"/>
          <w:color w:val="000000" w:themeColor="text1"/>
          <w:sz w:val="24"/>
        </w:rPr>
        <w:t>債券型」</w:t>
      </w:r>
    </w:p>
    <w:p w14:paraId="057EBB4A" w14:textId="77777777" w:rsidR="00065C53" w:rsidRPr="00E224E9" w:rsidRDefault="00065C53" w:rsidP="00F3152E">
      <w:pPr>
        <w:tabs>
          <w:tab w:val="left" w:pos="2160"/>
        </w:tabs>
        <w:spacing w:line="440" w:lineRule="exact"/>
        <w:ind w:left="216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w:t>
      </w:r>
      <w:r w:rsidR="00414697" w:rsidRPr="00E224E9">
        <w:rPr>
          <w:rFonts w:ascii="Book Antiqua" w:hAnsi="Book Antiqua"/>
          <w:color w:val="000000" w:themeColor="text1"/>
          <w:sz w:val="24"/>
        </w:rPr>
        <w:t>減除「表</w:t>
      </w:r>
      <w:r w:rsidR="00414697" w:rsidRPr="00E224E9">
        <w:rPr>
          <w:rFonts w:ascii="Book Antiqua" w:hAnsi="Book Antiqua"/>
          <w:color w:val="000000" w:themeColor="text1"/>
          <w:sz w:val="24"/>
        </w:rPr>
        <w:t>30-14-1</w:t>
      </w:r>
      <w:r w:rsidR="00414697" w:rsidRPr="00E224E9">
        <w:rPr>
          <w:rFonts w:ascii="Book Antiqua" w:hAnsi="Book Antiqua"/>
          <w:color w:val="000000" w:themeColor="text1"/>
          <w:sz w:val="24"/>
        </w:rPr>
        <w:t>：公司上市股票及基金</w:t>
      </w:r>
      <w:r w:rsidR="00414697" w:rsidRPr="00E224E9">
        <w:rPr>
          <w:rFonts w:ascii="Book Antiqua" w:hAnsi="Book Antiqua"/>
          <w:color w:val="000000" w:themeColor="text1"/>
          <w:sz w:val="24"/>
        </w:rPr>
        <w:t>β</w:t>
      </w:r>
      <w:r w:rsidR="00414697" w:rsidRPr="00E224E9">
        <w:rPr>
          <w:rFonts w:ascii="Book Antiqua" w:hAnsi="Book Antiqua"/>
          <w:color w:val="000000" w:themeColor="text1"/>
          <w:sz w:val="24"/>
        </w:rPr>
        <w:t>值計算表」國內發行其投資區域包含國外之</w:t>
      </w:r>
      <w:r w:rsidR="00414697" w:rsidRPr="00E224E9">
        <w:rPr>
          <w:rFonts w:ascii="Book Antiqua" w:hAnsi="Book Antiqua"/>
          <w:color w:val="000000" w:themeColor="text1"/>
          <w:sz w:val="24"/>
        </w:rPr>
        <w:t>ETF-</w:t>
      </w:r>
      <w:r w:rsidR="004C67C2" w:rsidRPr="00E224E9">
        <w:rPr>
          <w:rFonts w:ascii="Book Antiqua" w:hAnsi="Book Antiqua" w:hint="eastAsia"/>
          <w:color w:val="000000" w:themeColor="text1"/>
          <w:sz w:val="24"/>
        </w:rPr>
        <w:lastRenderedPageBreak/>
        <w:t>債券</w:t>
      </w:r>
      <w:r w:rsidR="00414697" w:rsidRPr="00E224E9">
        <w:rPr>
          <w:rFonts w:ascii="Book Antiqua" w:hAnsi="Book Antiqua"/>
          <w:color w:val="000000" w:themeColor="text1"/>
          <w:sz w:val="24"/>
        </w:rPr>
        <w:t>型帳載價值後之數額</w:t>
      </w:r>
      <w:r w:rsidRPr="00E224E9">
        <w:rPr>
          <w:rFonts w:ascii="Book Antiqua" w:hAnsi="Book Antiqua"/>
          <w:color w:val="000000" w:themeColor="text1"/>
          <w:sz w:val="24"/>
        </w:rPr>
        <w:t>，乘以其所對應之風險係數計算風險資本額。</w:t>
      </w:r>
    </w:p>
    <w:p w14:paraId="69E3B875" w14:textId="77777777" w:rsidR="004C67C2" w:rsidRPr="00E224E9" w:rsidRDefault="004C67C2" w:rsidP="004373AD">
      <w:pPr>
        <w:numPr>
          <w:ilvl w:val="1"/>
          <w:numId w:val="21"/>
        </w:numPr>
        <w:tabs>
          <w:tab w:val="left" w:pos="2160"/>
        </w:tabs>
        <w:spacing w:line="440" w:lineRule="exact"/>
        <w:ind w:firstLine="1380"/>
        <w:jc w:val="both"/>
        <w:rPr>
          <w:rFonts w:ascii="Book Antiqua" w:hAnsi="Book Antiqua"/>
          <w:color w:val="000000" w:themeColor="text1"/>
        </w:rPr>
      </w:pPr>
      <w:r w:rsidRPr="00E224E9">
        <w:rPr>
          <w:rFonts w:ascii="Book Antiqua" w:hAnsi="Book Antiqua"/>
          <w:color w:val="000000" w:themeColor="text1"/>
          <w:sz w:val="24"/>
        </w:rPr>
        <w:t>「</w:t>
      </w:r>
      <w:r w:rsidRPr="00E224E9">
        <w:rPr>
          <w:rFonts w:ascii="Book Antiqua" w:hAnsi="Book Antiqua"/>
          <w:color w:val="000000" w:themeColor="text1"/>
          <w:sz w:val="24"/>
        </w:rPr>
        <w:t>ETF-</w:t>
      </w:r>
      <w:r w:rsidRPr="00E224E9">
        <w:rPr>
          <w:rFonts w:ascii="Book Antiqua" w:hAnsi="Book Antiqua" w:hint="eastAsia"/>
          <w:color w:val="000000" w:themeColor="text1"/>
          <w:sz w:val="24"/>
        </w:rPr>
        <w:t>其他</w:t>
      </w:r>
      <w:r w:rsidRPr="00E224E9">
        <w:rPr>
          <w:rFonts w:ascii="Book Antiqua" w:hAnsi="Book Antiqua"/>
          <w:color w:val="000000" w:themeColor="text1"/>
          <w:sz w:val="24"/>
        </w:rPr>
        <w:t>型」</w:t>
      </w:r>
    </w:p>
    <w:p w14:paraId="602851A5" w14:textId="77777777" w:rsidR="004C67C2" w:rsidRPr="00E224E9" w:rsidRDefault="004C67C2" w:rsidP="00F3152E">
      <w:pPr>
        <w:tabs>
          <w:tab w:val="left" w:pos="2160"/>
        </w:tabs>
        <w:spacing w:line="440" w:lineRule="exact"/>
        <w:ind w:left="2160"/>
        <w:jc w:val="both"/>
        <w:rPr>
          <w:rFonts w:ascii="Book Antiqua" w:hAnsi="Book Antiqua"/>
          <w:color w:val="000000" w:themeColor="text1"/>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color w:val="000000" w:themeColor="text1"/>
          <w:sz w:val="24"/>
        </w:rPr>
        <w:t>ETF-</w:t>
      </w:r>
      <w:r w:rsidRPr="00E224E9">
        <w:rPr>
          <w:rFonts w:ascii="Book Antiqua" w:hAnsi="Book Antiqua" w:hint="eastAsia"/>
          <w:color w:val="000000" w:themeColor="text1"/>
          <w:sz w:val="24"/>
        </w:rPr>
        <w:t>其他</w:t>
      </w:r>
      <w:r w:rsidRPr="00E224E9">
        <w:rPr>
          <w:rFonts w:ascii="Book Antiqua" w:hAnsi="Book Antiqua"/>
          <w:color w:val="000000" w:themeColor="text1"/>
          <w:sz w:val="24"/>
        </w:rPr>
        <w:t>型帳載價值後之數額，乘以其所對應之風險係數計算風險資本額。</w:t>
      </w:r>
    </w:p>
    <w:p w14:paraId="05D10B6D" w14:textId="77777777" w:rsidR="00065C53" w:rsidRPr="00E224E9" w:rsidRDefault="00065C53" w:rsidP="004373AD">
      <w:pPr>
        <w:numPr>
          <w:ilvl w:val="0"/>
          <w:numId w:val="21"/>
        </w:numPr>
        <w:tabs>
          <w:tab w:val="num" w:pos="1620"/>
        </w:tabs>
        <w:spacing w:line="440" w:lineRule="exact"/>
        <w:ind w:left="1620" w:hanging="540"/>
        <w:jc w:val="both"/>
        <w:rPr>
          <w:rFonts w:ascii="Book Antiqua" w:hAnsi="Book Antiqua"/>
          <w:color w:val="000000" w:themeColor="text1"/>
          <w:sz w:val="24"/>
        </w:rPr>
      </w:pPr>
      <w:r w:rsidRPr="00E224E9">
        <w:rPr>
          <w:rFonts w:ascii="Book Antiqua" w:hAnsi="Book Antiqua"/>
          <w:color w:val="000000" w:themeColor="text1"/>
          <w:sz w:val="24"/>
        </w:rPr>
        <w:t>若</w:t>
      </w:r>
      <w:r w:rsidRPr="00E224E9">
        <w:rPr>
          <w:rFonts w:ascii="Book Antiqua" w:hAnsi="Book Antiqua"/>
          <w:color w:val="000000" w:themeColor="text1"/>
          <w:sz w:val="24"/>
        </w:rPr>
        <w:t>ETF</w:t>
      </w:r>
      <w:r w:rsidRPr="00E224E9">
        <w:rPr>
          <w:rFonts w:ascii="Book Antiqua" w:hAnsi="Book Antiqua"/>
          <w:color w:val="000000" w:themeColor="text1"/>
          <w:sz w:val="24"/>
        </w:rPr>
        <w:t>為國內發行但其投資區域包含國外者，計算風險資本額時，將該項目歸屬於國外投資</w:t>
      </w:r>
      <w:r w:rsidRPr="00E224E9">
        <w:rPr>
          <w:rFonts w:ascii="Book Antiqua" w:hAnsi="Book Antiqua"/>
          <w:color w:val="000000" w:themeColor="text1"/>
          <w:sz w:val="24"/>
        </w:rPr>
        <w:t>ETF</w:t>
      </w:r>
      <w:r w:rsidRPr="00E224E9">
        <w:rPr>
          <w:rFonts w:ascii="Book Antiqua" w:hAnsi="Book Antiqua"/>
          <w:color w:val="000000" w:themeColor="text1"/>
          <w:sz w:val="24"/>
        </w:rPr>
        <w:t>計算，相關資料請於「表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值計算表」中填列。</w:t>
      </w:r>
    </w:p>
    <w:p w14:paraId="3FAFF7F7" w14:textId="77777777" w:rsidR="004C67C2" w:rsidRPr="00E224E9" w:rsidRDefault="004C67C2" w:rsidP="004C67C2">
      <w:pPr>
        <w:pStyle w:val="Item1"/>
        <w:spacing w:line="440" w:lineRule="exact"/>
        <w:ind w:leftChars="590" w:left="2014" w:hangingChars="200" w:hanging="480"/>
        <w:jc w:val="both"/>
        <w:rPr>
          <w:rFonts w:ascii="Book Antiqua" w:hAnsi="Book Antiqua"/>
          <w:color w:val="000000" w:themeColor="text1"/>
          <w:sz w:val="24"/>
        </w:rPr>
      </w:pPr>
    </w:p>
    <w:p w14:paraId="5CC88E61" w14:textId="77777777" w:rsidR="004C67C2" w:rsidRPr="00E224E9" w:rsidRDefault="004C67C2" w:rsidP="004C67C2">
      <w:pPr>
        <w:spacing w:line="440" w:lineRule="exact"/>
        <w:ind w:left="2520" w:hanging="1620"/>
        <w:jc w:val="both"/>
        <w:rPr>
          <w:rFonts w:ascii="Book Antiqua" w:hAnsi="Book Antiqua"/>
          <w:color w:val="000000" w:themeColor="text1"/>
        </w:rPr>
      </w:pPr>
      <w:r w:rsidRPr="00E224E9">
        <w:rPr>
          <w:rFonts w:ascii="Book Antiqua" w:hAnsi="Book Antiqua"/>
          <w:color w:val="000000" w:themeColor="text1"/>
          <w:sz w:val="24"/>
        </w:rPr>
        <w:t>1.2.</w:t>
      </w:r>
      <w:r w:rsidRPr="00E224E9">
        <w:rPr>
          <w:rFonts w:ascii="Book Antiqua" w:hAnsi="Book Antiqua" w:hint="eastAsia"/>
          <w:color w:val="000000" w:themeColor="text1"/>
          <w:sz w:val="24"/>
        </w:rPr>
        <w:t>6</w:t>
      </w:r>
      <w:r w:rsidRPr="00E224E9">
        <w:rPr>
          <w:rFonts w:ascii="Book Antiqua" w:hAnsi="Book Antiqua"/>
          <w:color w:val="000000" w:themeColor="text1"/>
          <w:sz w:val="24"/>
        </w:rPr>
        <w:t xml:space="preserve"> ET</w:t>
      </w:r>
      <w:r w:rsidRPr="00E224E9">
        <w:rPr>
          <w:rFonts w:ascii="Book Antiqua" w:hAnsi="Book Antiqua" w:hint="eastAsia"/>
          <w:color w:val="000000" w:themeColor="text1"/>
          <w:sz w:val="24"/>
        </w:rPr>
        <w:t>N</w:t>
      </w:r>
      <w:r w:rsidRPr="00E224E9">
        <w:rPr>
          <w:rFonts w:ascii="Book Antiqua" w:hAnsi="Book Antiqua"/>
          <w:color w:val="000000" w:themeColor="text1"/>
          <w:sz w:val="24"/>
        </w:rPr>
        <w:t>：</w:t>
      </w:r>
    </w:p>
    <w:p w14:paraId="150AFC4D" w14:textId="77777777" w:rsidR="004C67C2" w:rsidRPr="00E224E9" w:rsidRDefault="004C67C2" w:rsidP="004373AD">
      <w:pPr>
        <w:numPr>
          <w:ilvl w:val="0"/>
          <w:numId w:val="40"/>
        </w:num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有關「</w:t>
      </w:r>
      <w:r w:rsidRPr="00E224E9">
        <w:rPr>
          <w:rFonts w:ascii="Book Antiqua" w:hAnsi="Book Antiqua"/>
          <w:color w:val="000000" w:themeColor="text1"/>
          <w:sz w:val="24"/>
        </w:rPr>
        <w:t>ET</w:t>
      </w:r>
      <w:r w:rsidRPr="00E224E9">
        <w:rPr>
          <w:rFonts w:ascii="Book Antiqua" w:hAnsi="Book Antiqua" w:hint="eastAsia"/>
          <w:color w:val="000000" w:themeColor="text1"/>
          <w:sz w:val="24"/>
        </w:rPr>
        <w:t>N</w:t>
      </w:r>
      <w:r w:rsidRPr="00E224E9">
        <w:rPr>
          <w:rFonts w:ascii="Book Antiqua" w:hAnsi="Book Antiqua" w:hint="eastAsia"/>
          <w:color w:val="000000" w:themeColor="text1"/>
          <w:sz w:val="24"/>
        </w:rPr>
        <w:t>指數投資證券</w:t>
      </w:r>
      <w:r w:rsidRPr="00E224E9">
        <w:rPr>
          <w:rFonts w:ascii="Book Antiqua" w:hAnsi="Book Antiqua"/>
          <w:color w:val="000000" w:themeColor="text1"/>
          <w:sz w:val="24"/>
        </w:rPr>
        <w:t>」之規定，以</w:t>
      </w:r>
      <w:r w:rsidRPr="00E224E9">
        <w:rPr>
          <w:rFonts w:ascii="Book Antiqua" w:hAnsi="Book Antiqua" w:hint="eastAsia"/>
          <w:color w:val="000000" w:themeColor="text1"/>
          <w:sz w:val="24"/>
        </w:rPr>
        <w:t>107</w:t>
      </w:r>
      <w:r w:rsidRPr="00E224E9">
        <w:rPr>
          <w:rFonts w:ascii="Book Antiqua" w:hAnsi="Book Antiqua"/>
          <w:color w:val="000000" w:themeColor="text1"/>
          <w:sz w:val="24"/>
        </w:rPr>
        <w:t>年</w:t>
      </w:r>
      <w:r w:rsidRPr="00E224E9">
        <w:rPr>
          <w:rFonts w:ascii="Book Antiqua" w:hAnsi="Book Antiqua" w:hint="eastAsia"/>
          <w:color w:val="000000" w:themeColor="text1"/>
          <w:sz w:val="24"/>
        </w:rPr>
        <w:t>6</w:t>
      </w:r>
      <w:r w:rsidRPr="00E224E9">
        <w:rPr>
          <w:rFonts w:ascii="Book Antiqua" w:hAnsi="Book Antiqua"/>
          <w:color w:val="000000" w:themeColor="text1"/>
          <w:sz w:val="24"/>
        </w:rPr>
        <w:t>月</w:t>
      </w:r>
      <w:r w:rsidRPr="00E224E9">
        <w:rPr>
          <w:rFonts w:ascii="Book Antiqua" w:hAnsi="Book Antiqua" w:hint="eastAsia"/>
          <w:color w:val="000000" w:themeColor="text1"/>
          <w:sz w:val="24"/>
        </w:rPr>
        <w:t>28</w:t>
      </w:r>
      <w:r w:rsidRPr="00E224E9">
        <w:rPr>
          <w:rFonts w:ascii="Book Antiqua" w:hAnsi="Book Antiqua"/>
          <w:color w:val="000000" w:themeColor="text1"/>
          <w:sz w:val="24"/>
        </w:rPr>
        <w:t>日金融監督管理委員會證期局所</w:t>
      </w:r>
      <w:r w:rsidRPr="00E224E9">
        <w:rPr>
          <w:rFonts w:ascii="Book Antiqua" w:hAnsi="Book Antiqua" w:hint="eastAsia"/>
          <w:color w:val="000000" w:themeColor="text1"/>
          <w:sz w:val="24"/>
        </w:rPr>
        <w:t>發布</w:t>
      </w:r>
      <w:r w:rsidRPr="00E224E9">
        <w:rPr>
          <w:rFonts w:ascii="Book Antiqua" w:hAnsi="Book Antiqua"/>
          <w:color w:val="000000" w:themeColor="text1"/>
          <w:sz w:val="24"/>
        </w:rPr>
        <w:t>之『</w:t>
      </w:r>
      <w:r w:rsidRPr="00E224E9">
        <w:rPr>
          <w:rFonts w:ascii="Book Antiqua" w:hAnsi="Book Antiqua" w:hint="eastAsia"/>
          <w:color w:val="000000" w:themeColor="text1"/>
          <w:sz w:val="24"/>
        </w:rPr>
        <w:t>證券商發行指數投資證券處理準則</w:t>
      </w:r>
      <w:r w:rsidRPr="00E224E9">
        <w:rPr>
          <w:rFonts w:ascii="Book Antiqua" w:hAnsi="Book Antiqua"/>
          <w:color w:val="000000" w:themeColor="text1"/>
          <w:sz w:val="24"/>
        </w:rPr>
        <w:t>』之規定為依據。</w:t>
      </w:r>
    </w:p>
    <w:p w14:paraId="617DE060" w14:textId="77777777" w:rsidR="004C67C2" w:rsidRPr="00E224E9" w:rsidRDefault="004C67C2" w:rsidP="004373AD">
      <w:pPr>
        <w:numPr>
          <w:ilvl w:val="0"/>
          <w:numId w:val="40"/>
        </w:numPr>
        <w:spacing w:line="440" w:lineRule="exact"/>
        <w:jc w:val="both"/>
        <w:rPr>
          <w:rFonts w:ascii="Book Antiqua" w:hAnsi="Book Antiqua"/>
          <w:color w:val="000000" w:themeColor="text1"/>
          <w:sz w:val="24"/>
        </w:rPr>
      </w:pPr>
      <w:r w:rsidRPr="00E224E9">
        <w:rPr>
          <w:rFonts w:ascii="Book Antiqua" w:hAnsi="Book Antiqua" w:hint="eastAsia"/>
          <w:color w:val="000000" w:themeColor="text1"/>
          <w:sz w:val="24"/>
        </w:rPr>
        <w:t>按「表</w:t>
      </w:r>
      <w:r w:rsidRPr="00E224E9">
        <w:rPr>
          <w:rFonts w:ascii="Book Antiqua" w:hAnsi="Book Antiqua" w:hint="eastAsia"/>
          <w:color w:val="000000" w:themeColor="text1"/>
          <w:sz w:val="24"/>
        </w:rPr>
        <w:t>05-1</w:t>
      </w:r>
      <w:r w:rsidRPr="00E224E9">
        <w:rPr>
          <w:rFonts w:ascii="Book Antiqua" w:hAnsi="Book Antiqua" w:hint="eastAsia"/>
          <w:color w:val="000000" w:themeColor="text1"/>
          <w:sz w:val="24"/>
        </w:rPr>
        <w:t>：資金運用表」相關欄位金額減除「表</w:t>
      </w:r>
      <w:r w:rsidRPr="00E224E9">
        <w:rPr>
          <w:rFonts w:ascii="Book Antiqua" w:hAnsi="Book Antiqua" w:hint="eastAsia"/>
          <w:color w:val="000000" w:themeColor="text1"/>
          <w:sz w:val="24"/>
        </w:rPr>
        <w:t>30-14-1</w:t>
      </w:r>
      <w:r w:rsidRPr="00E224E9">
        <w:rPr>
          <w:rFonts w:ascii="Book Antiqua" w:hAnsi="Book Antiqua" w:hint="eastAsia"/>
          <w:color w:val="000000" w:themeColor="text1"/>
          <w:sz w:val="24"/>
        </w:rPr>
        <w:t>：公司上市股票及基金β值計算表」國內發行其投資區域包含國外之</w:t>
      </w:r>
      <w:r w:rsidRPr="00E224E9">
        <w:rPr>
          <w:rFonts w:ascii="Book Antiqua" w:hAnsi="Book Antiqua" w:hint="eastAsia"/>
          <w:color w:val="000000" w:themeColor="text1"/>
          <w:sz w:val="24"/>
        </w:rPr>
        <w:t>ETN</w:t>
      </w:r>
      <w:r w:rsidRPr="00E224E9">
        <w:rPr>
          <w:rFonts w:ascii="Book Antiqua" w:hAnsi="Book Antiqua" w:hint="eastAsia"/>
          <w:color w:val="000000" w:themeColor="text1"/>
          <w:sz w:val="24"/>
        </w:rPr>
        <w:t>帳載價值後之數額，乘以對應之風險係數計算風險資本額。</w:t>
      </w:r>
    </w:p>
    <w:p w14:paraId="3515AAE0" w14:textId="77777777" w:rsidR="00065C53" w:rsidRPr="00E224E9" w:rsidRDefault="00065C53">
      <w:pPr>
        <w:pStyle w:val="Item1"/>
        <w:spacing w:line="440" w:lineRule="exact"/>
        <w:ind w:leftChars="0" w:left="2520" w:firstLineChars="0" w:hanging="2"/>
        <w:jc w:val="both"/>
        <w:rPr>
          <w:rFonts w:ascii="Book Antiqua" w:hAnsi="Book Antiqua"/>
          <w:color w:val="000000" w:themeColor="text1"/>
        </w:rPr>
      </w:pPr>
    </w:p>
    <w:p w14:paraId="1B4931B6" w14:textId="77777777" w:rsidR="00065C53" w:rsidRPr="00E224E9" w:rsidRDefault="00065C53">
      <w:pPr>
        <w:pStyle w:val="Layer3"/>
        <w:spacing w:line="440" w:lineRule="exact"/>
        <w:ind w:left="585"/>
        <w:jc w:val="both"/>
        <w:rPr>
          <w:rFonts w:ascii="Book Antiqua" w:hAnsi="Book Antiqua"/>
          <w:color w:val="000000" w:themeColor="text1"/>
        </w:rPr>
      </w:pPr>
      <w:bookmarkStart w:id="124" w:name="_Toc7492332"/>
      <w:r w:rsidRPr="00E224E9">
        <w:rPr>
          <w:rFonts w:ascii="Book Antiqua" w:hAnsi="Book Antiqua"/>
          <w:color w:val="000000" w:themeColor="text1"/>
        </w:rPr>
        <w:t>1.3</w:t>
      </w:r>
      <w:r w:rsidRPr="00E224E9">
        <w:rPr>
          <w:rFonts w:ascii="Book Antiqua" w:hAnsi="Book Antiqua"/>
          <w:color w:val="000000" w:themeColor="text1"/>
        </w:rPr>
        <w:t>不動產</w:t>
      </w:r>
      <w:bookmarkEnd w:id="124"/>
    </w:p>
    <w:p w14:paraId="6204E0E4" w14:textId="20052D93" w:rsidR="00065C53" w:rsidRPr="00E224E9" w:rsidRDefault="00065C53" w:rsidP="004373AD">
      <w:pPr>
        <w:pStyle w:val="Item1"/>
        <w:numPr>
          <w:ilvl w:val="0"/>
          <w:numId w:val="20"/>
        </w:numPr>
        <w:tabs>
          <w:tab w:val="clear" w:pos="641"/>
          <w:tab w:val="num" w:pos="1620"/>
        </w:tabs>
        <w:spacing w:line="440" w:lineRule="exact"/>
        <w:ind w:leftChars="0" w:left="1620" w:firstLineChars="0" w:hanging="540"/>
        <w:jc w:val="both"/>
        <w:rPr>
          <w:rFonts w:ascii="Book Antiqua" w:hAnsi="Book Antiqua"/>
          <w:color w:val="000000" w:themeColor="text1"/>
          <w:sz w:val="24"/>
        </w:rPr>
      </w:pPr>
      <w:r w:rsidRPr="00E224E9">
        <w:rPr>
          <w:rFonts w:ascii="Book Antiqua" w:hAnsi="Book Antiqua"/>
          <w:color w:val="000000" w:themeColor="text1"/>
          <w:sz w:val="24"/>
        </w:rPr>
        <w:t>不動產項目依以其投資之目的分為「</w:t>
      </w:r>
      <w:r w:rsidR="003064C1" w:rsidRPr="00E224E9">
        <w:rPr>
          <w:rFonts w:ascii="Book Antiqua" w:hAnsi="Book Antiqua"/>
          <w:color w:val="000000" w:themeColor="text1"/>
          <w:sz w:val="24"/>
        </w:rPr>
        <w:t>投資性不動產</w:t>
      </w:r>
      <w:r w:rsidRPr="00E224E9">
        <w:rPr>
          <w:rFonts w:ascii="Book Antiqua" w:hAnsi="Book Antiqua"/>
          <w:color w:val="000000" w:themeColor="text1"/>
          <w:sz w:val="24"/>
        </w:rPr>
        <w:t>」及「自用不動產」兩類。另針對</w:t>
      </w:r>
      <w:r w:rsidR="003064C1" w:rsidRPr="00E224E9">
        <w:rPr>
          <w:rFonts w:ascii="Book Antiqua" w:hAnsi="Book Antiqua"/>
          <w:color w:val="000000" w:themeColor="text1"/>
          <w:sz w:val="24"/>
        </w:rPr>
        <w:t>投資性不動產</w:t>
      </w:r>
      <w:r w:rsidRPr="00E224E9">
        <w:rPr>
          <w:rFonts w:ascii="Book Antiqua" w:hAnsi="Book Antiqua"/>
          <w:color w:val="000000" w:themeColor="text1"/>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E224E9">
        <w:rPr>
          <w:rFonts w:ascii="Book Antiqua" w:hAnsi="Book Antiqua"/>
          <w:color w:val="000000" w:themeColor="text1"/>
          <w:sz w:val="24"/>
        </w:rPr>
        <w:t>13-2</w:t>
      </w:r>
      <w:r w:rsidRPr="00E224E9">
        <w:rPr>
          <w:rFonts w:ascii="Book Antiqua" w:hAnsi="Book Antiqua"/>
          <w:color w:val="000000" w:themeColor="text1"/>
          <w:sz w:val="24"/>
        </w:rPr>
        <w:t>：不動產餘額明細表</w:t>
      </w:r>
      <w:r w:rsidRPr="00E224E9">
        <w:rPr>
          <w:rFonts w:ascii="Book Antiqua" w:hAnsi="Book Antiqua"/>
          <w:color w:val="000000" w:themeColor="text1"/>
          <w:sz w:val="24"/>
        </w:rPr>
        <w:t>(</w:t>
      </w:r>
      <w:r w:rsidRPr="00E224E9">
        <w:rPr>
          <w:rFonts w:ascii="Book Antiqua" w:hAnsi="Book Antiqua"/>
          <w:color w:val="000000" w:themeColor="text1"/>
          <w:sz w:val="24"/>
        </w:rPr>
        <w:t>總計</w:t>
      </w:r>
      <w:r w:rsidRPr="00E224E9">
        <w:rPr>
          <w:rFonts w:ascii="Book Antiqua" w:hAnsi="Book Antiqua"/>
          <w:color w:val="000000" w:themeColor="text1"/>
          <w:sz w:val="24"/>
        </w:rPr>
        <w:t>)</w:t>
      </w:r>
      <w:r w:rsidRPr="00E224E9">
        <w:rPr>
          <w:rFonts w:ascii="Book Antiqua" w:hAnsi="Book Antiqua"/>
          <w:color w:val="000000" w:themeColor="text1"/>
          <w:sz w:val="24"/>
        </w:rPr>
        <w:t>」之相關欄位金額加計</w:t>
      </w:r>
      <w:r w:rsidRPr="00E224E9">
        <w:rPr>
          <w:rFonts w:ascii="Book Antiqua" w:hAnsi="Book Antiqua"/>
          <w:color w:val="000000" w:themeColor="text1"/>
          <w:spacing w:val="10"/>
          <w:sz w:val="24"/>
        </w:rPr>
        <w:t>「表</w:t>
      </w:r>
      <w:r w:rsidRPr="00E224E9">
        <w:rPr>
          <w:rFonts w:ascii="Book Antiqua" w:hAnsi="Book Antiqua"/>
          <w:color w:val="000000" w:themeColor="text1"/>
          <w:spacing w:val="10"/>
          <w:sz w:val="24"/>
        </w:rPr>
        <w:t>30-7-3</w:t>
      </w:r>
      <w:r w:rsidRPr="00E224E9">
        <w:rPr>
          <w:rFonts w:ascii="Book Antiqua" w:hAnsi="Book Antiqua"/>
          <w:color w:val="000000" w:themeColor="text1"/>
          <w:spacing w:val="10"/>
          <w:sz w:val="24"/>
        </w:rPr>
        <w:t>：不動產投資採</w:t>
      </w:r>
      <w:r w:rsidR="00A65DB4" w:rsidRPr="00E224E9">
        <w:rPr>
          <w:rFonts w:ascii="Book Antiqua" w:hAnsi="Book Antiqua"/>
          <w:color w:val="000000" w:themeColor="text1"/>
          <w:spacing w:val="10"/>
          <w:sz w:val="24"/>
        </w:rPr>
        <w:t>公允價值</w:t>
      </w:r>
      <w:r w:rsidRPr="00E224E9">
        <w:rPr>
          <w:rFonts w:ascii="Book Antiqua" w:hAnsi="Book Antiqua"/>
          <w:color w:val="000000" w:themeColor="text1"/>
          <w:spacing w:val="10"/>
          <w:sz w:val="24"/>
        </w:rPr>
        <w:t>評價計入自有資本調整計算表」、及</w:t>
      </w:r>
      <w:r w:rsidRPr="00E224E9">
        <w:rPr>
          <w:rFonts w:ascii="Book Antiqua" w:eastAsia="新細明體" w:hAnsi="Book Antiqua"/>
          <w:color w:val="000000" w:themeColor="text1"/>
          <w:spacing w:val="10"/>
          <w:sz w:val="24"/>
        </w:rPr>
        <w:t>「</w:t>
      </w:r>
      <w:r w:rsidRPr="00E224E9">
        <w:rPr>
          <w:rFonts w:ascii="Book Antiqua" w:hAnsi="Book Antiqua"/>
          <w:color w:val="000000" w:themeColor="text1"/>
          <w:spacing w:val="10"/>
          <w:sz w:val="24"/>
        </w:rPr>
        <w:t>表</w:t>
      </w:r>
      <w:r w:rsidRPr="00E224E9">
        <w:rPr>
          <w:rFonts w:ascii="Book Antiqua" w:hAnsi="Book Antiqua"/>
          <w:color w:val="000000" w:themeColor="text1"/>
          <w:spacing w:val="10"/>
          <w:sz w:val="24"/>
        </w:rPr>
        <w:t>30-7-4</w:t>
      </w:r>
      <w:r w:rsidRPr="00E224E9">
        <w:rPr>
          <w:rFonts w:ascii="Book Antiqua" w:hAnsi="Book Antiqua"/>
          <w:color w:val="000000" w:themeColor="text1"/>
          <w:spacing w:val="10"/>
          <w:sz w:val="24"/>
        </w:rPr>
        <w:t>：</w:t>
      </w:r>
      <w:r w:rsidR="003064C1" w:rsidRPr="00E224E9">
        <w:rPr>
          <w:rFonts w:ascii="Book Antiqua" w:hAnsi="Book Antiqua"/>
          <w:color w:val="000000" w:themeColor="text1"/>
          <w:spacing w:val="10"/>
          <w:sz w:val="24"/>
        </w:rPr>
        <w:t>投資性不動產</w:t>
      </w:r>
      <w:r w:rsidRPr="00E224E9">
        <w:rPr>
          <w:rFonts w:ascii="Book Antiqua" w:hAnsi="Book Antiqua"/>
          <w:color w:val="000000" w:themeColor="text1"/>
          <w:spacing w:val="10"/>
          <w:sz w:val="24"/>
        </w:rPr>
        <w:t>為素地或未能符合即時利用並有收益認定</w:t>
      </w:r>
      <w:r w:rsidR="00773B71" w:rsidRPr="00E224E9">
        <w:rPr>
          <w:rFonts w:ascii="Book Antiqua" w:hAnsi="Book Antiqua" w:hint="eastAsia"/>
          <w:color w:val="000000" w:themeColor="text1"/>
          <w:spacing w:val="10"/>
          <w:sz w:val="24"/>
        </w:rPr>
        <w:t>基</w:t>
      </w:r>
      <w:r w:rsidRPr="00E224E9">
        <w:rPr>
          <w:rFonts w:ascii="Book Antiqua" w:hAnsi="Book Antiqua"/>
          <w:color w:val="000000" w:themeColor="text1"/>
          <w:spacing w:val="10"/>
          <w:sz w:val="24"/>
        </w:rPr>
        <w:t>準者加計風險資本額調整計算表」之相關欄位金</w:t>
      </w:r>
      <w:r w:rsidRPr="00E224E9">
        <w:rPr>
          <w:rFonts w:ascii="Book Antiqua" w:hAnsi="Book Antiqua"/>
          <w:color w:val="000000" w:themeColor="text1"/>
          <w:sz w:val="24"/>
        </w:rPr>
        <w:t>額，乘以其所對應之風險係數計算風險資本額。</w:t>
      </w:r>
    </w:p>
    <w:p w14:paraId="7034797F" w14:textId="77777777" w:rsidR="00065C53" w:rsidRPr="00E224E9" w:rsidRDefault="00065C53" w:rsidP="004373AD">
      <w:pPr>
        <w:pStyle w:val="Item1"/>
        <w:numPr>
          <w:ilvl w:val="0"/>
          <w:numId w:val="20"/>
        </w:numPr>
        <w:tabs>
          <w:tab w:val="clear" w:pos="641"/>
          <w:tab w:val="num" w:pos="1620"/>
        </w:tabs>
        <w:spacing w:line="440" w:lineRule="exact"/>
        <w:ind w:leftChars="0" w:left="1620" w:firstLineChars="0" w:hanging="540"/>
        <w:jc w:val="both"/>
        <w:rPr>
          <w:rFonts w:ascii="Book Antiqua" w:hAnsi="Book Antiqua"/>
          <w:color w:val="000000" w:themeColor="text1"/>
          <w:sz w:val="24"/>
        </w:rPr>
      </w:pPr>
      <w:r w:rsidRPr="00E224E9">
        <w:rPr>
          <w:rFonts w:ascii="Book Antiqua" w:hAnsi="Book Antiqua"/>
          <w:color w:val="000000" w:themeColor="text1"/>
          <w:sz w:val="24"/>
        </w:rPr>
        <w:t>有關不動產出租部份歸入「不動產投資」項目中。另外，關於建造工程於建造前已決定其使用目的且經提報董事會決議者，其使用目的為投資用者歸入「不動產投資」項目中，其使用目的為自用者歸入「自用不動產」項</w:t>
      </w:r>
      <w:r w:rsidRPr="00E224E9">
        <w:rPr>
          <w:rFonts w:ascii="Book Antiqua" w:hAnsi="Book Antiqua"/>
          <w:color w:val="000000" w:themeColor="text1"/>
          <w:sz w:val="24"/>
        </w:rPr>
        <w:lastRenderedPageBreak/>
        <w:t>目中。預付房地款，於購置前已決定其使用目的為供營業用，經提報董事會決議者，歸入「自用不動產」項目中。</w:t>
      </w:r>
    </w:p>
    <w:p w14:paraId="2825E1D8" w14:textId="77777777" w:rsidR="00065C53" w:rsidRPr="00E224E9" w:rsidRDefault="00065C53">
      <w:pPr>
        <w:pStyle w:val="Layer3"/>
        <w:spacing w:line="440" w:lineRule="exact"/>
        <w:ind w:left="585"/>
        <w:jc w:val="both"/>
        <w:rPr>
          <w:rFonts w:ascii="Book Antiqua" w:hAnsi="Book Antiqua"/>
          <w:color w:val="000000" w:themeColor="text1"/>
        </w:rPr>
      </w:pPr>
      <w:bookmarkStart w:id="125" w:name="_Toc7492333"/>
    </w:p>
    <w:p w14:paraId="5055D3BD" w14:textId="77777777" w:rsidR="00065C53" w:rsidRPr="00E224E9" w:rsidRDefault="00065C53">
      <w:pPr>
        <w:pStyle w:val="Layer3"/>
        <w:spacing w:line="440" w:lineRule="exact"/>
        <w:ind w:left="585"/>
        <w:jc w:val="both"/>
        <w:rPr>
          <w:rFonts w:ascii="Book Antiqua" w:hAnsi="Book Antiqua"/>
          <w:color w:val="000000" w:themeColor="text1"/>
        </w:rPr>
      </w:pPr>
      <w:r w:rsidRPr="00E224E9">
        <w:rPr>
          <w:rFonts w:ascii="Book Antiqua" w:hAnsi="Book Antiqua"/>
          <w:color w:val="000000" w:themeColor="text1"/>
        </w:rPr>
        <w:t>1.4</w:t>
      </w:r>
      <w:r w:rsidRPr="00E224E9">
        <w:rPr>
          <w:rFonts w:ascii="Book Antiqua" w:hAnsi="Book Antiqua"/>
          <w:color w:val="000000" w:themeColor="text1"/>
        </w:rPr>
        <w:t>放款</w:t>
      </w:r>
      <w:bookmarkEnd w:id="125"/>
    </w:p>
    <w:p w14:paraId="07A8E350" w14:textId="77777777" w:rsidR="00065C53" w:rsidRPr="00E224E9" w:rsidRDefault="00065C53" w:rsidP="004373AD">
      <w:pPr>
        <w:pStyle w:val="Layer3"/>
        <w:numPr>
          <w:ilvl w:val="0"/>
          <w:numId w:val="19"/>
        </w:numPr>
        <w:tabs>
          <w:tab w:val="clear" w:pos="-63"/>
          <w:tab w:val="left" w:pos="1620"/>
        </w:tabs>
        <w:spacing w:line="440" w:lineRule="exact"/>
        <w:ind w:leftChars="0" w:left="1620" w:hanging="540"/>
        <w:jc w:val="both"/>
        <w:rPr>
          <w:rFonts w:ascii="Book Antiqua" w:hAnsi="Book Antiqua"/>
          <w:color w:val="000000" w:themeColor="text1"/>
        </w:rPr>
      </w:pPr>
      <w:r w:rsidRPr="00E224E9">
        <w:rPr>
          <w:rFonts w:ascii="Book Antiqua" w:hAnsi="Book Antiqua"/>
          <w:color w:val="000000" w:themeColor="text1"/>
        </w:rPr>
        <w:t>放款包括人壽保險單放款及擔保放款。另對擔保放款再依據保險法第</w:t>
      </w:r>
      <w:r w:rsidRPr="00E224E9">
        <w:rPr>
          <w:rFonts w:ascii="Book Antiqua" w:hAnsi="Book Antiqua"/>
          <w:color w:val="000000" w:themeColor="text1"/>
        </w:rPr>
        <w:t>146-3</w:t>
      </w:r>
      <w:r w:rsidRPr="00E224E9">
        <w:rPr>
          <w:rFonts w:ascii="Book Antiqua" w:hAnsi="Book Antiqua"/>
          <w:color w:val="000000" w:themeColor="text1"/>
        </w:rPr>
        <w:t>條，針對保險業可辦理之放款項目細分為「不動產擔保放款」、「動產擔保放款」、「有價證券質押放款」及「銀行保證放款」。</w:t>
      </w:r>
      <w:r w:rsidR="00BD533E" w:rsidRPr="00E224E9">
        <w:rPr>
          <w:rFonts w:ascii="Book Antiqua" w:hAnsi="Book Antiqua"/>
          <w:color w:val="000000" w:themeColor="text1"/>
        </w:rPr>
        <w:t>依保險法第</w:t>
      </w:r>
      <w:r w:rsidR="00BD533E" w:rsidRPr="00E224E9">
        <w:rPr>
          <w:rFonts w:ascii="Book Antiqua" w:hAnsi="Book Antiqua"/>
          <w:color w:val="000000" w:themeColor="text1"/>
        </w:rPr>
        <w:t>146</w:t>
      </w:r>
      <w:r w:rsidR="00BD533E" w:rsidRPr="00E224E9">
        <w:rPr>
          <w:rFonts w:ascii="Book Antiqua" w:hAnsi="Book Antiqua"/>
          <w:color w:val="000000" w:themeColor="text1"/>
        </w:rPr>
        <w:t>條第</w:t>
      </w:r>
      <w:r w:rsidR="00BD533E" w:rsidRPr="00E224E9">
        <w:rPr>
          <w:rFonts w:ascii="Book Antiqua" w:hAnsi="Book Antiqua"/>
          <w:color w:val="000000" w:themeColor="text1"/>
        </w:rPr>
        <w:t>1</w:t>
      </w:r>
      <w:r w:rsidR="00BD533E" w:rsidRPr="00E224E9">
        <w:rPr>
          <w:rFonts w:ascii="Book Antiqua" w:hAnsi="Book Antiqua"/>
          <w:color w:val="000000" w:themeColor="text1"/>
        </w:rPr>
        <w:t>項第</w:t>
      </w:r>
      <w:r w:rsidR="00386802" w:rsidRPr="00E224E9">
        <w:rPr>
          <w:rFonts w:ascii="Book Antiqua" w:hAnsi="Book Antiqua"/>
          <w:color w:val="000000" w:themeColor="text1"/>
        </w:rPr>
        <w:t>4</w:t>
      </w:r>
      <w:r w:rsidR="00BD533E" w:rsidRPr="00E224E9">
        <w:rPr>
          <w:rFonts w:ascii="Book Antiqua" w:hAnsi="Book Antiqua"/>
          <w:color w:val="000000" w:themeColor="text1"/>
        </w:rPr>
        <w:t>款規定，經主管機關核准放款予財團法人保險安定基金之金額，併入前述「銀行保證放款」金額內。</w:t>
      </w:r>
    </w:p>
    <w:p w14:paraId="75252BE2" w14:textId="77777777" w:rsidR="00065C53" w:rsidRPr="00E224E9" w:rsidRDefault="00065C53" w:rsidP="004373AD">
      <w:pPr>
        <w:pStyle w:val="Layer3"/>
        <w:numPr>
          <w:ilvl w:val="0"/>
          <w:numId w:val="19"/>
        </w:numPr>
        <w:tabs>
          <w:tab w:val="clear" w:pos="-63"/>
          <w:tab w:val="left" w:pos="1620"/>
        </w:tabs>
        <w:spacing w:line="440" w:lineRule="exact"/>
        <w:ind w:leftChars="0" w:left="1620" w:hanging="540"/>
        <w:jc w:val="both"/>
        <w:rPr>
          <w:rFonts w:ascii="Book Antiqua" w:hAnsi="Book Antiqua"/>
          <w:color w:val="000000" w:themeColor="text1"/>
        </w:rPr>
      </w:pPr>
      <w:r w:rsidRPr="00E224E9">
        <w:rPr>
          <w:rFonts w:ascii="Book Antiqua" w:hAnsi="Book Antiqua"/>
          <w:color w:val="000000" w:themeColor="text1"/>
        </w:rPr>
        <w:t>人身保險業各項擔保放款總額之限制亦應遵守保險法第</w:t>
      </w:r>
      <w:r w:rsidRPr="00E224E9">
        <w:rPr>
          <w:rFonts w:ascii="Book Antiqua" w:hAnsi="Book Antiqua"/>
          <w:color w:val="000000" w:themeColor="text1"/>
        </w:rPr>
        <w:t>146-3</w:t>
      </w:r>
      <w:r w:rsidRPr="00E224E9">
        <w:rPr>
          <w:rFonts w:ascii="Book Antiqua" w:hAnsi="Book Antiqua"/>
          <w:color w:val="000000" w:themeColor="text1"/>
        </w:rPr>
        <w:t>條之規定。</w:t>
      </w:r>
    </w:p>
    <w:p w14:paraId="2E11634E" w14:textId="77777777" w:rsidR="00065C53" w:rsidRPr="00E224E9" w:rsidRDefault="00065C53" w:rsidP="004373AD">
      <w:pPr>
        <w:pStyle w:val="Layer3"/>
        <w:numPr>
          <w:ilvl w:val="0"/>
          <w:numId w:val="19"/>
        </w:numPr>
        <w:tabs>
          <w:tab w:val="clear" w:pos="-63"/>
          <w:tab w:val="left" w:pos="1620"/>
        </w:tabs>
        <w:spacing w:line="440" w:lineRule="exact"/>
        <w:ind w:leftChars="0" w:left="1620" w:hanging="540"/>
        <w:jc w:val="both"/>
        <w:rPr>
          <w:rFonts w:ascii="Book Antiqua" w:hAnsi="Book Antiqua"/>
          <w:color w:val="000000" w:themeColor="text1"/>
        </w:rPr>
      </w:pPr>
      <w:r w:rsidRPr="00E224E9">
        <w:rPr>
          <w:rFonts w:ascii="Book Antiqua" w:hAnsi="Book Antiqua"/>
          <w:color w:val="000000" w:themeColor="text1"/>
        </w:rPr>
        <w:t>除依主管機關公布之「保險業利害關係人放款管理辦法」所定義之利害關係人放款外，其餘非屬利害關係人之放款應皆歸入此類別之中。</w:t>
      </w:r>
    </w:p>
    <w:p w14:paraId="6C1B77E2" w14:textId="77777777" w:rsidR="00065C53" w:rsidRPr="00E224E9" w:rsidRDefault="00065C53" w:rsidP="004373AD">
      <w:pPr>
        <w:pStyle w:val="Layer3"/>
        <w:numPr>
          <w:ilvl w:val="0"/>
          <w:numId w:val="19"/>
        </w:numPr>
        <w:tabs>
          <w:tab w:val="clear" w:pos="-63"/>
          <w:tab w:val="left" w:pos="1620"/>
        </w:tabs>
        <w:spacing w:line="440" w:lineRule="exact"/>
        <w:ind w:leftChars="0" w:left="1620" w:hanging="540"/>
        <w:jc w:val="both"/>
        <w:rPr>
          <w:rFonts w:ascii="Book Antiqua" w:hAnsi="Book Antiqua"/>
          <w:color w:val="000000" w:themeColor="text1"/>
        </w:rPr>
      </w:pPr>
      <w:r w:rsidRPr="00E224E9">
        <w:rPr>
          <w:rFonts w:ascii="Book Antiqua" w:hAnsi="Book Antiqua"/>
          <w:color w:val="000000" w:themeColor="text1"/>
        </w:rPr>
        <w:t>以專案運用及公共投資之資金運用且以放款方式（非政策性）投資於非關係人之部分，分別按其放款情形歸屬於各項放款之中。</w:t>
      </w:r>
    </w:p>
    <w:p w14:paraId="74D2FD0E" w14:textId="77777777" w:rsidR="00065C53" w:rsidRPr="00E224E9" w:rsidRDefault="00065C53">
      <w:pPr>
        <w:pStyle w:val="Item1"/>
        <w:spacing w:line="440" w:lineRule="exact"/>
        <w:ind w:leftChars="400" w:left="1520" w:hangingChars="200" w:hanging="480"/>
        <w:jc w:val="both"/>
        <w:rPr>
          <w:rFonts w:ascii="Book Antiqua" w:hAnsi="Book Antiqua"/>
          <w:color w:val="000000" w:themeColor="text1"/>
          <w:sz w:val="24"/>
        </w:rPr>
      </w:pPr>
    </w:p>
    <w:p w14:paraId="5D42E7E9" w14:textId="77777777" w:rsidR="00065C53" w:rsidRPr="00E224E9" w:rsidRDefault="00065C53">
      <w:pPr>
        <w:pStyle w:val="Layer3"/>
        <w:spacing w:line="440" w:lineRule="exact"/>
        <w:ind w:left="585"/>
        <w:jc w:val="both"/>
        <w:rPr>
          <w:rFonts w:ascii="Book Antiqua" w:hAnsi="Book Antiqua"/>
          <w:color w:val="000000" w:themeColor="text1"/>
        </w:rPr>
      </w:pPr>
      <w:bookmarkStart w:id="126" w:name="_Toc7492334"/>
      <w:r w:rsidRPr="00E224E9">
        <w:rPr>
          <w:rFonts w:ascii="Book Antiqua" w:hAnsi="Book Antiqua"/>
          <w:color w:val="000000" w:themeColor="text1"/>
        </w:rPr>
        <w:t>1.5</w:t>
      </w:r>
      <w:r w:rsidRPr="00E224E9">
        <w:rPr>
          <w:rFonts w:ascii="Book Antiqua" w:hAnsi="Book Antiqua"/>
          <w:color w:val="000000" w:themeColor="text1"/>
        </w:rPr>
        <w:t>其他投資</w:t>
      </w:r>
      <w:bookmarkEnd w:id="126"/>
      <w:r w:rsidRPr="00E224E9">
        <w:rPr>
          <w:rFonts w:ascii="Book Antiqua" w:hAnsi="Book Antiqua"/>
          <w:color w:val="000000" w:themeColor="text1"/>
        </w:rPr>
        <w:t>資產</w:t>
      </w:r>
    </w:p>
    <w:p w14:paraId="4FE93666" w14:textId="14BDC072" w:rsidR="007210D3" w:rsidRPr="00E224E9" w:rsidRDefault="00065C53" w:rsidP="007210D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此項區分為「</w:t>
      </w:r>
      <w:r w:rsidR="003342E5" w:rsidRPr="00E224E9">
        <w:rPr>
          <w:rFonts w:ascii="Book Antiqua" w:hAnsi="Book Antiqua"/>
          <w:color w:val="000000" w:themeColor="text1"/>
          <w:spacing w:val="10"/>
        </w:rPr>
        <w:t>專案運用、公共及社會福利事業與其他主管機關核准項目</w:t>
      </w:r>
      <w:r w:rsidRPr="00E224E9">
        <w:rPr>
          <w:rFonts w:ascii="Book Antiqua" w:hAnsi="Book Antiqua"/>
          <w:color w:val="000000" w:themeColor="text1"/>
        </w:rPr>
        <w:t>」及「其他投資」</w:t>
      </w:r>
      <w:r w:rsidR="007210D3" w:rsidRPr="00E224E9">
        <w:rPr>
          <w:rFonts w:ascii="Book Antiqua" w:hAnsi="Book Antiqua" w:hint="eastAsia"/>
          <w:color w:val="000000" w:themeColor="text1"/>
        </w:rPr>
        <w:t>。</w:t>
      </w:r>
    </w:p>
    <w:p w14:paraId="3B1EAADE" w14:textId="70F425C5" w:rsidR="007210D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其中</w:t>
      </w:r>
      <w:r w:rsidR="002B105E" w:rsidRPr="00E224E9">
        <w:rPr>
          <w:rFonts w:ascii="Book Antiqua" w:hAnsi="Book Antiqua" w:hint="eastAsia"/>
          <w:color w:val="000000" w:themeColor="text1"/>
        </w:rPr>
        <w:t>「</w:t>
      </w:r>
      <w:r w:rsidR="003342E5" w:rsidRPr="00E224E9">
        <w:rPr>
          <w:rFonts w:ascii="Book Antiqua" w:hAnsi="Book Antiqua"/>
          <w:color w:val="000000" w:themeColor="text1"/>
          <w:spacing w:val="10"/>
        </w:rPr>
        <w:t>專案運用、公共及社會福利事業與其他主管機關核准項目</w:t>
      </w:r>
      <w:r w:rsidR="002B105E" w:rsidRPr="00E224E9">
        <w:rPr>
          <w:rFonts w:ascii="Book Antiqua" w:hAnsi="Book Antiqua" w:hint="eastAsia"/>
          <w:color w:val="000000" w:themeColor="text1"/>
          <w:spacing w:val="10"/>
        </w:rPr>
        <w:t>」</w:t>
      </w:r>
      <w:r w:rsidRPr="00E224E9">
        <w:rPr>
          <w:rFonts w:ascii="Book Antiqua" w:hAnsi="Book Antiqua"/>
          <w:color w:val="000000" w:themeColor="text1"/>
        </w:rPr>
        <w:t>再區分為「政策性」</w:t>
      </w:r>
      <w:r w:rsidR="009164A2" w:rsidRPr="00E224E9">
        <w:rPr>
          <w:rFonts w:ascii="Book Antiqua" w:hAnsi="Book Antiqua" w:hint="eastAsia"/>
          <w:color w:val="000000" w:themeColor="text1"/>
        </w:rPr>
        <w:t>、</w:t>
      </w:r>
      <w:r w:rsidRPr="00E224E9">
        <w:rPr>
          <w:rFonts w:ascii="Book Antiqua" w:hAnsi="Book Antiqua"/>
          <w:color w:val="000000" w:themeColor="text1"/>
        </w:rPr>
        <w:t>「創業投資」</w:t>
      </w:r>
      <w:r w:rsidR="009164A2" w:rsidRPr="00E224E9">
        <w:rPr>
          <w:rFonts w:ascii="Book Antiqua" w:hAnsi="Book Antiqua" w:hint="eastAsia"/>
          <w:color w:val="000000" w:themeColor="text1"/>
        </w:rPr>
        <w:t>及「公共投資</w:t>
      </w:r>
      <w:r w:rsidR="00142A68" w:rsidRPr="00E224E9">
        <w:rPr>
          <w:rFonts w:ascii="Book Antiqua" w:hAnsi="Book Antiqua" w:hint="eastAsia"/>
          <w:color w:val="000000" w:themeColor="text1"/>
        </w:rPr>
        <w:t>、</w:t>
      </w:r>
      <w:r w:rsidR="009164A2" w:rsidRPr="00E224E9">
        <w:rPr>
          <w:rFonts w:ascii="Book Antiqua" w:hAnsi="Book Antiqua" w:hint="eastAsia"/>
          <w:color w:val="000000" w:themeColor="text1"/>
        </w:rPr>
        <w:t>5+2</w:t>
      </w:r>
      <w:r w:rsidR="00142A68" w:rsidRPr="00E224E9">
        <w:rPr>
          <w:rFonts w:ascii="Book Antiqua" w:hAnsi="Book Antiqua" w:hint="eastAsia"/>
          <w:color w:val="000000" w:themeColor="text1"/>
          <w:spacing w:val="10"/>
        </w:rPr>
        <w:t>及六大核心</w:t>
      </w:r>
      <w:r w:rsidR="009164A2" w:rsidRPr="00E224E9">
        <w:rPr>
          <w:rFonts w:ascii="Book Antiqua" w:hAnsi="Book Antiqua" w:hint="eastAsia"/>
          <w:color w:val="000000" w:themeColor="text1"/>
        </w:rPr>
        <w:t>產業」</w:t>
      </w:r>
      <w:r w:rsidRPr="00E224E9">
        <w:rPr>
          <w:rFonts w:ascii="Book Antiqua" w:hAnsi="Book Antiqua"/>
          <w:color w:val="000000" w:themeColor="text1"/>
        </w:rPr>
        <w:t>，</w:t>
      </w:r>
      <w:r w:rsidR="007210D3" w:rsidRPr="00E224E9">
        <w:rPr>
          <w:rFonts w:ascii="Book Antiqua" w:hAnsi="Book Antiqua" w:hint="eastAsia"/>
          <w:color w:val="000000" w:themeColor="text1"/>
        </w:rPr>
        <w:t>皆同「表</w:t>
      </w:r>
      <w:r w:rsidR="007210D3" w:rsidRPr="00E224E9">
        <w:rPr>
          <w:rFonts w:ascii="Book Antiqua" w:hAnsi="Book Antiqua"/>
          <w:color w:val="000000" w:themeColor="text1"/>
        </w:rPr>
        <w:t>05-1</w:t>
      </w:r>
      <w:r w:rsidR="007210D3" w:rsidRPr="00E224E9">
        <w:rPr>
          <w:rFonts w:ascii="Book Antiqua" w:hAnsi="Book Antiqua" w:hint="eastAsia"/>
          <w:color w:val="000000" w:themeColor="text1"/>
        </w:rPr>
        <w:t>」定義。</w:t>
      </w:r>
    </w:p>
    <w:p w14:paraId="6AC7D026" w14:textId="52351043"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「其他投資」再區分為「信託受益權」、「組合式存款」及「其他」三項。</w:t>
      </w:r>
    </w:p>
    <w:p w14:paraId="0E894156"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「信託受益權」係指依保險法第一百四十六條第一項第八款「其他經主管機關核准之資金運用」所投資之信託受益權；</w:t>
      </w:r>
    </w:p>
    <w:p w14:paraId="429C39B6"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「組合式存款」係指依保險業從事衍生性金融商品交易管理辦法第十</w:t>
      </w:r>
      <w:r w:rsidR="003763B7" w:rsidRPr="00E224E9">
        <w:rPr>
          <w:rFonts w:ascii="Book Antiqua" w:hAnsi="Book Antiqua" w:hint="eastAsia"/>
          <w:color w:val="000000" w:themeColor="text1"/>
        </w:rPr>
        <w:t>一</w:t>
      </w:r>
      <w:r w:rsidRPr="00E224E9">
        <w:rPr>
          <w:rFonts w:ascii="Book Antiqua" w:hAnsi="Book Antiqua"/>
          <w:color w:val="000000" w:themeColor="text1"/>
        </w:rPr>
        <w:t>條所投資之組合式存款。</w:t>
      </w:r>
    </w:p>
    <w:p w14:paraId="7E5EE12B" w14:textId="5CB92B21"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「其他」係指除上述</w:t>
      </w:r>
      <w:r w:rsidRPr="00E224E9">
        <w:rPr>
          <w:rFonts w:ascii="Book Antiqua" w:hAnsi="Book Antiqua"/>
          <w:color w:val="000000" w:themeColor="text1"/>
        </w:rPr>
        <w:t>1.1-1.4</w:t>
      </w:r>
      <w:r w:rsidRPr="00E224E9">
        <w:rPr>
          <w:rFonts w:ascii="Book Antiqua" w:hAnsi="Book Antiqua"/>
          <w:color w:val="000000" w:themeColor="text1"/>
        </w:rPr>
        <w:t>項非關係人資產風險、「信託受益權」及「組合式存款」以外之各項投資，以及非以股份、放款方式、非政策性</w:t>
      </w:r>
      <w:r w:rsidR="009164A2" w:rsidRPr="00E224E9">
        <w:rPr>
          <w:rFonts w:ascii="Book Antiqua" w:hAnsi="Book Antiqua" w:hint="eastAsia"/>
          <w:color w:val="000000" w:themeColor="text1"/>
        </w:rPr>
        <w:t>、</w:t>
      </w:r>
      <w:r w:rsidRPr="00E224E9">
        <w:rPr>
          <w:rFonts w:ascii="Book Antiqua" w:hAnsi="Book Antiqua"/>
          <w:color w:val="000000" w:themeColor="text1"/>
        </w:rPr>
        <w:t>非創投</w:t>
      </w:r>
      <w:r w:rsidR="00944AD4" w:rsidRPr="00E224E9">
        <w:rPr>
          <w:rFonts w:ascii="Book Antiqua" w:hAnsi="Book Antiqua" w:hint="eastAsia"/>
          <w:color w:val="000000" w:themeColor="text1"/>
        </w:rPr>
        <w:t>、非</w:t>
      </w:r>
      <w:r w:rsidR="009164A2" w:rsidRPr="00E224E9">
        <w:rPr>
          <w:rFonts w:ascii="Book Antiqua" w:hAnsi="Book Antiqua" w:hint="eastAsia"/>
          <w:color w:val="000000" w:themeColor="text1"/>
        </w:rPr>
        <w:t>公共投資</w:t>
      </w:r>
      <w:r w:rsidR="00142A68" w:rsidRPr="00E224E9">
        <w:rPr>
          <w:rFonts w:ascii="Book Antiqua" w:hAnsi="Book Antiqua" w:hint="eastAsia"/>
          <w:color w:val="000000" w:themeColor="text1"/>
        </w:rPr>
        <w:t>、</w:t>
      </w:r>
      <w:r w:rsidR="009164A2" w:rsidRPr="00E224E9">
        <w:rPr>
          <w:rFonts w:ascii="Book Antiqua" w:hAnsi="Book Antiqua" w:hint="eastAsia"/>
          <w:color w:val="000000" w:themeColor="text1"/>
        </w:rPr>
        <w:t>5+2</w:t>
      </w:r>
      <w:r w:rsidR="00142A68" w:rsidRPr="00E224E9">
        <w:rPr>
          <w:rFonts w:ascii="Book Antiqua" w:hAnsi="Book Antiqua" w:hint="eastAsia"/>
          <w:color w:val="000000" w:themeColor="text1"/>
        </w:rPr>
        <w:t>及</w:t>
      </w:r>
      <w:r w:rsidR="00A3729F" w:rsidRPr="00E224E9">
        <w:rPr>
          <w:rFonts w:ascii="Book Antiqua" w:hAnsi="Book Antiqua" w:hint="eastAsia"/>
          <w:color w:val="000000" w:themeColor="text1"/>
        </w:rPr>
        <w:t>六大核心</w:t>
      </w:r>
      <w:r w:rsidR="009164A2" w:rsidRPr="00E224E9">
        <w:rPr>
          <w:rFonts w:ascii="Book Antiqua" w:hAnsi="Book Antiqua" w:hint="eastAsia"/>
          <w:color w:val="000000" w:themeColor="text1"/>
        </w:rPr>
        <w:t>產業</w:t>
      </w:r>
      <w:r w:rsidRPr="00E224E9">
        <w:rPr>
          <w:rFonts w:ascii="Book Antiqua" w:hAnsi="Book Antiqua"/>
          <w:color w:val="000000" w:themeColor="text1"/>
        </w:rPr>
        <w:t>之專案運用及公共投資之部分均歸屬於此類別，按「表</w:t>
      </w:r>
      <w:r w:rsidRPr="00E224E9">
        <w:rPr>
          <w:rFonts w:ascii="Book Antiqua" w:hAnsi="Book Antiqua"/>
          <w:color w:val="000000" w:themeColor="text1"/>
        </w:rPr>
        <w:t>05-1</w:t>
      </w:r>
      <w:r w:rsidRPr="00E224E9">
        <w:rPr>
          <w:rFonts w:ascii="Book Antiqua" w:hAnsi="Book Antiqua"/>
          <w:color w:val="000000" w:themeColor="text1"/>
        </w:rPr>
        <w:t>：資金運用表」之相關欄位金額，乘以其所對應之風險係數計算風險資本額。</w:t>
      </w:r>
    </w:p>
    <w:p w14:paraId="18F11799" w14:textId="77777777" w:rsidR="00065C53" w:rsidRPr="00E224E9" w:rsidRDefault="00065C53">
      <w:pPr>
        <w:pStyle w:val="Layer30"/>
        <w:spacing w:line="440" w:lineRule="exact"/>
        <w:ind w:left="975"/>
        <w:jc w:val="both"/>
        <w:rPr>
          <w:rFonts w:ascii="Book Antiqua" w:hAnsi="Book Antiqua"/>
          <w:color w:val="000000" w:themeColor="text1"/>
        </w:rPr>
      </w:pPr>
    </w:p>
    <w:p w14:paraId="74230E7D" w14:textId="77777777" w:rsidR="00065C53" w:rsidRPr="00E224E9" w:rsidRDefault="00065C53">
      <w:pPr>
        <w:pStyle w:val="Layer3"/>
        <w:spacing w:line="440" w:lineRule="exact"/>
        <w:ind w:left="585"/>
        <w:jc w:val="both"/>
        <w:rPr>
          <w:rFonts w:ascii="Book Antiqua" w:hAnsi="Book Antiqua"/>
          <w:color w:val="000000" w:themeColor="text1"/>
        </w:rPr>
      </w:pPr>
      <w:bookmarkStart w:id="127" w:name="_Toc7492335"/>
      <w:r w:rsidRPr="00E224E9">
        <w:rPr>
          <w:rFonts w:ascii="Book Antiqua" w:hAnsi="Book Antiqua"/>
          <w:color w:val="000000" w:themeColor="text1"/>
        </w:rPr>
        <w:lastRenderedPageBreak/>
        <w:t>1.6</w:t>
      </w:r>
      <w:bookmarkEnd w:id="127"/>
      <w:r w:rsidRPr="00E224E9">
        <w:rPr>
          <w:rFonts w:ascii="Book Antiqua" w:hAnsi="Book Antiqua"/>
          <w:color w:val="000000" w:themeColor="text1"/>
        </w:rPr>
        <w:t>國內外資產集中度風險</w:t>
      </w:r>
      <w:r w:rsidRPr="00E224E9">
        <w:rPr>
          <w:rFonts w:ascii="Book Antiqua" w:hAnsi="Book Antiqua"/>
          <w:color w:val="000000" w:themeColor="text1"/>
        </w:rPr>
        <w:t>-</w:t>
      </w:r>
      <w:r w:rsidRPr="00E224E9">
        <w:rPr>
          <w:rFonts w:ascii="Book Antiqua" w:hAnsi="Book Antiqua"/>
          <w:color w:val="000000" w:themeColor="text1"/>
        </w:rPr>
        <w:t>國內資產部份</w:t>
      </w:r>
    </w:p>
    <w:p w14:paraId="7FEFBD4E"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為反映過度投資特定資產之風險，本表使用「表</w:t>
      </w:r>
      <w:r w:rsidRPr="00E224E9">
        <w:rPr>
          <w:rFonts w:ascii="Book Antiqua" w:hAnsi="Book Antiqua"/>
          <w:color w:val="000000" w:themeColor="text1"/>
        </w:rPr>
        <w:t>30-9</w:t>
      </w:r>
      <w:r w:rsidRPr="00E224E9">
        <w:rPr>
          <w:rFonts w:ascii="Book Antiqua" w:hAnsi="Book Antiqua"/>
          <w:color w:val="000000" w:themeColor="text1"/>
        </w:rPr>
        <w:t>：資產集中度係數計算表」所給定之風險係數調整計算風險資本額。</w:t>
      </w:r>
    </w:p>
    <w:p w14:paraId="2B3E48C2"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故</w:t>
      </w:r>
      <w:r w:rsidRPr="00E224E9">
        <w:rPr>
          <w:rFonts w:ascii="Book Antiqua" w:hAnsi="Book Antiqua"/>
          <w:color w:val="000000" w:themeColor="text1"/>
        </w:rPr>
        <w:t>1.</w:t>
      </w:r>
      <w:r w:rsidR="00D817B1" w:rsidRPr="00E224E9">
        <w:rPr>
          <w:rFonts w:ascii="Book Antiqua" w:hAnsi="Book Antiqua"/>
          <w:color w:val="000000" w:themeColor="text1"/>
        </w:rPr>
        <w:t>2</w:t>
      </w:r>
      <w:r w:rsidRPr="00E224E9">
        <w:rPr>
          <w:rFonts w:ascii="Book Antiqua" w:hAnsi="Book Antiqua"/>
          <w:color w:val="000000" w:themeColor="text1"/>
        </w:rPr>
        <w:t>~1.</w:t>
      </w:r>
      <w:r w:rsidR="00D817B1" w:rsidRPr="00E224E9">
        <w:rPr>
          <w:rFonts w:ascii="Book Antiqua" w:hAnsi="Book Antiqua"/>
          <w:color w:val="000000" w:themeColor="text1"/>
        </w:rPr>
        <w:t>4</w:t>
      </w:r>
      <w:r w:rsidRPr="00E224E9">
        <w:rPr>
          <w:rFonts w:ascii="Book Antiqua" w:hAnsi="Book Antiqua"/>
          <w:color w:val="000000" w:themeColor="text1"/>
        </w:rPr>
        <w:t>之風險資本額為：</w:t>
      </w:r>
    </w:p>
    <w:p w14:paraId="0F79F1DA" w14:textId="77777777" w:rsidR="00065C53" w:rsidRPr="00E224E9" w:rsidRDefault="00065C53">
      <w:pPr>
        <w:pStyle w:val="Layer30"/>
        <w:autoSpaceDN w:val="0"/>
        <w:spacing w:line="440" w:lineRule="exact"/>
        <w:ind w:left="975"/>
        <w:jc w:val="both"/>
        <w:rPr>
          <w:rFonts w:ascii="Book Antiqua" w:hAnsi="Book Antiqua"/>
          <w:color w:val="000000" w:themeColor="text1"/>
        </w:rPr>
      </w:pPr>
      <w:r w:rsidRPr="00E224E9">
        <w:rPr>
          <w:rFonts w:ascii="Book Antiqua" w:hAnsi="Book Antiqua"/>
          <w:color w:val="000000" w:themeColor="text1"/>
        </w:rPr>
        <w:t>[1.2</w:t>
      </w:r>
      <w:r w:rsidRPr="00E224E9">
        <w:rPr>
          <w:rFonts w:ascii="Book Antiqua" w:hAnsi="Book Antiqua"/>
          <w:color w:val="000000" w:themeColor="text1"/>
        </w:rPr>
        <w:t>＋</w:t>
      </w:r>
      <w:r w:rsidRPr="00E224E9">
        <w:rPr>
          <w:rFonts w:ascii="Book Antiqua" w:hAnsi="Book Antiqua"/>
          <w:color w:val="000000" w:themeColor="text1"/>
        </w:rPr>
        <w:t>1.3</w:t>
      </w:r>
      <w:r w:rsidRPr="00E224E9">
        <w:rPr>
          <w:rFonts w:ascii="Book Antiqua" w:hAnsi="Book Antiqua"/>
          <w:color w:val="000000" w:themeColor="text1"/>
        </w:rPr>
        <w:t>＋</w:t>
      </w:r>
      <w:r w:rsidRPr="00E224E9">
        <w:rPr>
          <w:rFonts w:ascii="Book Antiqua" w:hAnsi="Book Antiqua"/>
          <w:color w:val="000000" w:themeColor="text1"/>
        </w:rPr>
        <w:t>1.4]</w:t>
      </w:r>
      <w:r w:rsidRPr="00E224E9">
        <w:rPr>
          <w:rFonts w:ascii="Book Antiqua" w:hAnsi="Book Antiqua"/>
          <w:color w:val="000000" w:themeColor="text1"/>
        </w:rPr>
        <w:t>之風險資本額</w:t>
      </w:r>
      <w:r w:rsidRPr="00E224E9">
        <w:rPr>
          <w:rFonts w:ascii="Book Antiqua" w:hAnsi="Book Antiqua"/>
          <w:color w:val="000000" w:themeColor="text1"/>
        </w:rPr>
        <w:t>×1.6</w:t>
      </w:r>
      <w:r w:rsidRPr="00E224E9">
        <w:rPr>
          <w:rFonts w:ascii="Book Antiqua" w:hAnsi="Book Antiqua"/>
          <w:color w:val="000000" w:themeColor="text1"/>
        </w:rPr>
        <w:t>查得之係數</w:t>
      </w:r>
    </w:p>
    <w:p w14:paraId="543FF496" w14:textId="77777777" w:rsidR="00065C53" w:rsidRPr="00E224E9" w:rsidRDefault="00065C53">
      <w:pPr>
        <w:pStyle w:val="Layer30"/>
        <w:autoSpaceDN w:val="0"/>
        <w:spacing w:line="440" w:lineRule="exact"/>
        <w:ind w:left="975"/>
        <w:jc w:val="both"/>
        <w:rPr>
          <w:rFonts w:ascii="Book Antiqua" w:hAnsi="Book Antiqua"/>
          <w:color w:val="000000" w:themeColor="text1"/>
        </w:rPr>
      </w:pPr>
    </w:p>
    <w:p w14:paraId="349707C4" w14:textId="77777777" w:rsidR="00065C53" w:rsidRPr="00E224E9" w:rsidRDefault="00065C53">
      <w:pPr>
        <w:pStyle w:val="Layer3"/>
        <w:spacing w:line="440" w:lineRule="exact"/>
        <w:ind w:left="585"/>
        <w:jc w:val="both"/>
        <w:rPr>
          <w:rFonts w:ascii="Book Antiqua" w:hAnsi="Book Antiqua"/>
          <w:color w:val="000000" w:themeColor="text1"/>
        </w:rPr>
      </w:pPr>
      <w:bookmarkStart w:id="128" w:name="_Toc7492336"/>
      <w:r w:rsidRPr="00E224E9">
        <w:rPr>
          <w:rFonts w:ascii="Book Antiqua" w:hAnsi="Book Antiqua"/>
          <w:color w:val="000000" w:themeColor="text1"/>
        </w:rPr>
        <w:t>1.7</w:t>
      </w:r>
      <w:r w:rsidRPr="00E224E9">
        <w:rPr>
          <w:rFonts w:ascii="Book Antiqua" w:hAnsi="Book Antiqua"/>
          <w:color w:val="000000" w:themeColor="text1"/>
        </w:rPr>
        <w:t>應收款項</w:t>
      </w:r>
      <w:bookmarkEnd w:id="128"/>
    </w:p>
    <w:p w14:paraId="2111CBE9" w14:textId="77777777" w:rsidR="00065C53" w:rsidRPr="00E224E9" w:rsidRDefault="00065C53">
      <w:pPr>
        <w:pStyle w:val="Layer40"/>
        <w:spacing w:line="440" w:lineRule="exact"/>
        <w:jc w:val="both"/>
        <w:rPr>
          <w:rFonts w:ascii="Book Antiqua" w:hAnsi="Book Antiqua"/>
          <w:color w:val="000000" w:themeColor="text1"/>
        </w:rPr>
      </w:pPr>
    </w:p>
    <w:p w14:paraId="42C87E17" w14:textId="77777777" w:rsidR="00065C53" w:rsidRPr="00E224E9" w:rsidRDefault="00065C53">
      <w:pPr>
        <w:pStyle w:val="Layer40"/>
        <w:spacing w:line="440" w:lineRule="exact"/>
        <w:jc w:val="both"/>
        <w:rPr>
          <w:rFonts w:ascii="Book Antiqua" w:hAnsi="Book Antiqua"/>
          <w:color w:val="000000" w:themeColor="text1"/>
        </w:rPr>
      </w:pPr>
      <w:r w:rsidRPr="00E224E9">
        <w:rPr>
          <w:rFonts w:ascii="Book Antiqua" w:hAnsi="Book Antiqua"/>
          <w:color w:val="000000" w:themeColor="text1"/>
        </w:rPr>
        <w:t>1.7.1</w:t>
      </w:r>
      <w:r w:rsidRPr="00E224E9">
        <w:rPr>
          <w:rFonts w:ascii="Book Antiqua" w:hAnsi="Book Antiqua"/>
          <w:color w:val="000000" w:themeColor="text1"/>
        </w:rPr>
        <w:t>應收保費</w:t>
      </w:r>
    </w:p>
    <w:p w14:paraId="209A0708" w14:textId="77777777" w:rsidR="00065C53" w:rsidRPr="00E224E9" w:rsidRDefault="00065C53">
      <w:pPr>
        <w:pStyle w:val="21"/>
        <w:spacing w:line="440" w:lineRule="exact"/>
        <w:ind w:leftChars="600" w:left="1560" w:firstLine="7"/>
        <w:rPr>
          <w:rFonts w:ascii="Book Antiqua" w:hAnsi="Book Antiqua"/>
          <w:color w:val="000000" w:themeColor="text1"/>
          <w:sz w:val="24"/>
        </w:rPr>
      </w:pPr>
      <w:r w:rsidRPr="00E224E9">
        <w:rPr>
          <w:rFonts w:ascii="Book Antiqua" w:hAnsi="Book Antiqua"/>
          <w:color w:val="000000" w:themeColor="text1"/>
          <w:sz w:val="24"/>
        </w:rPr>
        <w:t>係指直接簽單業務應收之各項保險費，按「</w:t>
      </w:r>
      <w:r w:rsidRPr="00E224E9">
        <w:rPr>
          <w:rFonts w:ascii="Book Antiqua" w:hAnsi="Book Antiqua" w:cs="Times New Roman"/>
          <w:color w:val="000000" w:themeColor="text1"/>
          <w:sz w:val="24"/>
        </w:rPr>
        <w:t>表</w:t>
      </w:r>
      <w:r w:rsidRPr="00E224E9">
        <w:rPr>
          <w:rFonts w:ascii="Book Antiqua" w:hAnsi="Book Antiqua" w:cs="Times New Roman"/>
          <w:color w:val="000000" w:themeColor="text1"/>
          <w:sz w:val="24"/>
        </w:rPr>
        <w:t>03</w:t>
      </w:r>
      <w:r w:rsidRPr="00E224E9">
        <w:rPr>
          <w:rFonts w:ascii="Book Antiqua" w:hAnsi="Book Antiqua" w:cs="Times New Roman"/>
          <w:color w:val="000000" w:themeColor="text1"/>
          <w:sz w:val="24"/>
        </w:rPr>
        <w:t>：</w:t>
      </w:r>
      <w:r w:rsidRPr="00E224E9">
        <w:rPr>
          <w:rFonts w:ascii="Book Antiqua" w:hAnsi="Book Antiqua"/>
          <w:color w:val="000000" w:themeColor="text1"/>
          <w:sz w:val="24"/>
        </w:rPr>
        <w:t>資產負債表」之相關欄位金額，乘以其所對應之風險係數計算風險資本額。</w:t>
      </w:r>
    </w:p>
    <w:p w14:paraId="500C8D1B" w14:textId="77777777" w:rsidR="00065C53" w:rsidRPr="00E224E9" w:rsidRDefault="00065C53">
      <w:pPr>
        <w:pStyle w:val="Layer40"/>
        <w:spacing w:line="440" w:lineRule="exact"/>
        <w:jc w:val="both"/>
        <w:rPr>
          <w:rFonts w:ascii="Book Antiqua" w:hAnsi="Book Antiqua"/>
          <w:color w:val="000000" w:themeColor="text1"/>
        </w:rPr>
      </w:pPr>
    </w:p>
    <w:p w14:paraId="0C8E1E6D" w14:textId="77777777" w:rsidR="00065C53" w:rsidRPr="00E224E9" w:rsidRDefault="00065C53">
      <w:pPr>
        <w:pStyle w:val="Layer40"/>
        <w:spacing w:line="440" w:lineRule="exact"/>
        <w:jc w:val="both"/>
        <w:rPr>
          <w:rFonts w:ascii="Book Antiqua" w:hAnsi="Book Antiqua"/>
          <w:color w:val="000000" w:themeColor="text1"/>
        </w:rPr>
      </w:pPr>
      <w:r w:rsidRPr="00E224E9">
        <w:rPr>
          <w:rFonts w:ascii="Book Antiqua" w:hAnsi="Book Antiqua"/>
          <w:color w:val="000000" w:themeColor="text1"/>
        </w:rPr>
        <w:t>1.7.2</w:t>
      </w:r>
      <w:r w:rsidRPr="00E224E9">
        <w:rPr>
          <w:rFonts w:ascii="Book Antiqua" w:hAnsi="Book Antiqua"/>
          <w:color w:val="000000" w:themeColor="text1"/>
        </w:rPr>
        <w:t>應收利息及收益</w:t>
      </w:r>
    </w:p>
    <w:p w14:paraId="4331F85D" w14:textId="77777777" w:rsidR="00065C53" w:rsidRPr="00E224E9" w:rsidRDefault="00065C53">
      <w:pPr>
        <w:pStyle w:val="21"/>
        <w:spacing w:line="440" w:lineRule="exact"/>
        <w:ind w:leftChars="600" w:left="1560" w:firstLine="7"/>
        <w:rPr>
          <w:rFonts w:ascii="Book Antiqua" w:hAnsi="Book Antiqua"/>
          <w:color w:val="000000" w:themeColor="text1"/>
          <w:sz w:val="24"/>
        </w:rPr>
      </w:pPr>
      <w:r w:rsidRPr="00E224E9">
        <w:rPr>
          <w:rFonts w:ascii="Book Antiqua" w:hAnsi="Book Antiqua"/>
          <w:color w:val="000000" w:themeColor="text1"/>
          <w:sz w:val="24"/>
        </w:rPr>
        <w:t>係指應收之各項利息及收益，按「</w:t>
      </w:r>
      <w:r w:rsidRPr="00E224E9">
        <w:rPr>
          <w:rFonts w:ascii="Book Antiqua" w:hAnsi="Book Antiqua" w:cs="Times New Roman"/>
          <w:color w:val="000000" w:themeColor="text1"/>
          <w:sz w:val="24"/>
        </w:rPr>
        <w:t>表</w:t>
      </w:r>
      <w:r w:rsidRPr="00E224E9">
        <w:rPr>
          <w:rFonts w:ascii="Book Antiqua" w:hAnsi="Book Antiqua" w:cs="Times New Roman"/>
          <w:color w:val="000000" w:themeColor="text1"/>
          <w:sz w:val="24"/>
        </w:rPr>
        <w:t>03</w:t>
      </w:r>
      <w:r w:rsidRPr="00E224E9">
        <w:rPr>
          <w:rFonts w:ascii="Book Antiqua" w:hAnsi="Book Antiqua" w:cs="Times New Roman"/>
          <w:color w:val="000000" w:themeColor="text1"/>
          <w:sz w:val="24"/>
        </w:rPr>
        <w:t>：</w:t>
      </w:r>
      <w:r w:rsidRPr="00E224E9">
        <w:rPr>
          <w:rFonts w:ascii="Book Antiqua" w:hAnsi="Book Antiqua"/>
          <w:color w:val="000000" w:themeColor="text1"/>
          <w:sz w:val="24"/>
        </w:rPr>
        <w:t>資產負債表」之相關欄位金額，乘以其所對應之風險係數計算風險資本額。</w:t>
      </w:r>
    </w:p>
    <w:p w14:paraId="6F11ED89" w14:textId="77777777" w:rsidR="00065C53" w:rsidRPr="00E224E9" w:rsidRDefault="00065C53">
      <w:pPr>
        <w:pStyle w:val="Layer40"/>
        <w:spacing w:line="440" w:lineRule="exact"/>
        <w:jc w:val="both"/>
        <w:rPr>
          <w:rFonts w:ascii="Book Antiqua" w:hAnsi="Book Antiqua"/>
          <w:color w:val="000000" w:themeColor="text1"/>
        </w:rPr>
      </w:pPr>
    </w:p>
    <w:p w14:paraId="1DD2943D" w14:textId="77777777" w:rsidR="00065C53" w:rsidRPr="00E224E9" w:rsidRDefault="00065C53">
      <w:pPr>
        <w:pStyle w:val="Layer40"/>
        <w:spacing w:line="440" w:lineRule="exact"/>
        <w:jc w:val="both"/>
        <w:rPr>
          <w:rFonts w:ascii="Book Antiqua" w:hAnsi="Book Antiqua"/>
          <w:color w:val="000000" w:themeColor="text1"/>
        </w:rPr>
      </w:pPr>
      <w:r w:rsidRPr="00E224E9">
        <w:rPr>
          <w:rFonts w:ascii="Book Antiqua" w:hAnsi="Book Antiqua"/>
          <w:color w:val="000000" w:themeColor="text1"/>
        </w:rPr>
        <w:t>1.7.3</w:t>
      </w:r>
      <w:r w:rsidRPr="00E224E9">
        <w:rPr>
          <w:rFonts w:ascii="Book Antiqua" w:hAnsi="Book Antiqua"/>
          <w:color w:val="000000" w:themeColor="text1"/>
        </w:rPr>
        <w:t>應收票據</w:t>
      </w:r>
    </w:p>
    <w:p w14:paraId="328D9831" w14:textId="77777777" w:rsidR="00065C53" w:rsidRPr="00E224E9" w:rsidRDefault="00065C53">
      <w:pPr>
        <w:pStyle w:val="21"/>
        <w:spacing w:line="440" w:lineRule="exact"/>
        <w:ind w:leftChars="600" w:left="1560" w:firstLine="7"/>
        <w:rPr>
          <w:rFonts w:ascii="Book Antiqua" w:hAnsi="Book Antiqua"/>
          <w:color w:val="000000" w:themeColor="text1"/>
          <w:sz w:val="24"/>
        </w:rPr>
      </w:pPr>
      <w:r w:rsidRPr="00E224E9">
        <w:rPr>
          <w:rFonts w:ascii="Book Antiqua" w:hAnsi="Book Antiqua"/>
          <w:color w:val="000000" w:themeColor="text1"/>
          <w:sz w:val="24"/>
        </w:rPr>
        <w:t>係指收到客戶或債務往來尚未到期之票據，按「</w:t>
      </w:r>
      <w:r w:rsidRPr="00E224E9">
        <w:rPr>
          <w:rFonts w:ascii="Book Antiqua" w:hAnsi="Book Antiqua" w:cs="Times New Roman"/>
          <w:color w:val="000000" w:themeColor="text1"/>
          <w:sz w:val="24"/>
        </w:rPr>
        <w:t>表</w:t>
      </w:r>
      <w:r w:rsidRPr="00E224E9">
        <w:rPr>
          <w:rFonts w:ascii="Book Antiqua" w:hAnsi="Book Antiqua" w:cs="Times New Roman"/>
          <w:color w:val="000000" w:themeColor="text1"/>
          <w:sz w:val="24"/>
        </w:rPr>
        <w:t>03</w:t>
      </w:r>
      <w:r w:rsidRPr="00E224E9">
        <w:rPr>
          <w:rFonts w:ascii="Book Antiqua" w:hAnsi="Book Antiqua" w:cs="Times New Roman"/>
          <w:color w:val="000000" w:themeColor="text1"/>
          <w:sz w:val="24"/>
        </w:rPr>
        <w:t>：</w:t>
      </w:r>
      <w:r w:rsidRPr="00E224E9">
        <w:rPr>
          <w:rFonts w:ascii="Book Antiqua" w:hAnsi="Book Antiqua"/>
          <w:color w:val="000000" w:themeColor="text1"/>
          <w:sz w:val="24"/>
        </w:rPr>
        <w:t>資產負債表」之相關欄位金額，乘以其所對應之風險係數計算風險資本額。</w:t>
      </w:r>
    </w:p>
    <w:p w14:paraId="7D1453D5" w14:textId="77777777" w:rsidR="00065C53" w:rsidRPr="00E224E9" w:rsidRDefault="00065C53">
      <w:pPr>
        <w:pStyle w:val="Layer40"/>
        <w:spacing w:line="440" w:lineRule="exact"/>
        <w:jc w:val="both"/>
        <w:rPr>
          <w:rFonts w:ascii="Book Antiqua" w:hAnsi="Book Antiqua"/>
          <w:color w:val="000000" w:themeColor="text1"/>
        </w:rPr>
      </w:pPr>
    </w:p>
    <w:p w14:paraId="0FE10FE3" w14:textId="77777777" w:rsidR="00065C53" w:rsidRPr="00E224E9" w:rsidRDefault="00065C53">
      <w:pPr>
        <w:pStyle w:val="Layer40"/>
        <w:spacing w:line="440" w:lineRule="exact"/>
        <w:jc w:val="both"/>
        <w:rPr>
          <w:rFonts w:ascii="Book Antiqua" w:hAnsi="Book Antiqua"/>
          <w:color w:val="000000" w:themeColor="text1"/>
        </w:rPr>
      </w:pPr>
      <w:r w:rsidRPr="00E224E9">
        <w:rPr>
          <w:rFonts w:ascii="Book Antiqua" w:hAnsi="Book Antiqua"/>
          <w:color w:val="000000" w:themeColor="text1"/>
        </w:rPr>
        <w:t>1.7.4</w:t>
      </w:r>
      <w:r w:rsidRPr="00E224E9">
        <w:rPr>
          <w:rFonts w:ascii="Book Antiqua" w:hAnsi="Book Antiqua"/>
          <w:color w:val="000000" w:themeColor="text1"/>
        </w:rPr>
        <w:t>催收款項</w:t>
      </w:r>
    </w:p>
    <w:p w14:paraId="482B3488" w14:textId="77777777" w:rsidR="00065C53" w:rsidRPr="00E224E9" w:rsidRDefault="00065C53">
      <w:pPr>
        <w:pStyle w:val="Layer4"/>
        <w:spacing w:line="440" w:lineRule="exact"/>
        <w:ind w:left="1560"/>
        <w:jc w:val="both"/>
        <w:rPr>
          <w:rFonts w:ascii="Book Antiqua" w:hAnsi="Book Antiqua"/>
          <w:color w:val="000000" w:themeColor="text1"/>
        </w:rPr>
      </w:pPr>
      <w:r w:rsidRPr="00E224E9">
        <w:rPr>
          <w:rFonts w:ascii="Book Antiqua" w:hAnsi="Book Antiqua"/>
          <w:color w:val="000000" w:themeColor="text1"/>
        </w:rPr>
        <w:t>「催收款項」依其產生來源的不同詳細再區分為「放款」、「直接業務」、「再保險業務」及「其他業務」。</w:t>
      </w:r>
    </w:p>
    <w:p w14:paraId="3C8B20AB" w14:textId="77777777" w:rsidR="00065C53" w:rsidRPr="00E224E9" w:rsidRDefault="00065C53">
      <w:pPr>
        <w:pStyle w:val="Layer4"/>
        <w:spacing w:line="440" w:lineRule="exact"/>
        <w:ind w:left="1560"/>
        <w:jc w:val="both"/>
        <w:rPr>
          <w:rFonts w:ascii="Book Antiqua" w:hAnsi="Book Antiqua"/>
          <w:color w:val="000000" w:themeColor="text1"/>
        </w:rPr>
      </w:pPr>
    </w:p>
    <w:p w14:paraId="4071231A" w14:textId="77777777" w:rsidR="00065C53" w:rsidRPr="00E224E9" w:rsidRDefault="00065C53">
      <w:pPr>
        <w:pStyle w:val="Layer5"/>
        <w:spacing w:line="440" w:lineRule="exact"/>
        <w:jc w:val="both"/>
        <w:rPr>
          <w:rFonts w:ascii="Book Antiqua" w:hAnsi="Book Antiqua"/>
          <w:color w:val="000000" w:themeColor="text1"/>
        </w:rPr>
      </w:pPr>
      <w:r w:rsidRPr="00E224E9">
        <w:rPr>
          <w:rFonts w:ascii="Book Antiqua" w:hAnsi="Book Antiqua"/>
          <w:color w:val="000000" w:themeColor="text1"/>
        </w:rPr>
        <w:t>1.7.4.1</w:t>
      </w:r>
      <w:r w:rsidRPr="00E224E9">
        <w:rPr>
          <w:rFonts w:ascii="Book Antiqua" w:hAnsi="Book Antiqua"/>
          <w:color w:val="000000" w:themeColor="text1"/>
        </w:rPr>
        <w:t>直接業務</w:t>
      </w:r>
    </w:p>
    <w:p w14:paraId="4F5C7443" w14:textId="77777777" w:rsidR="00065C53" w:rsidRPr="00E224E9" w:rsidRDefault="00065C53">
      <w:pPr>
        <w:pStyle w:val="Layer50"/>
        <w:spacing w:line="440" w:lineRule="exact"/>
        <w:ind w:left="1560"/>
        <w:jc w:val="both"/>
        <w:rPr>
          <w:rFonts w:ascii="Book Antiqua" w:hAnsi="Book Antiqua"/>
          <w:color w:val="000000" w:themeColor="text1"/>
        </w:rPr>
      </w:pPr>
      <w:r w:rsidRPr="00E224E9">
        <w:rPr>
          <w:rFonts w:ascii="Book Antiqua" w:hAnsi="Book Antiqua"/>
          <w:color w:val="000000" w:themeColor="text1"/>
        </w:rPr>
        <w:t>直接業務其應收保費及其他相關款項所產生之收回幾乎無望款項，按「表</w:t>
      </w:r>
      <w:r w:rsidRPr="00E224E9">
        <w:rPr>
          <w:rFonts w:ascii="Book Antiqua" w:hAnsi="Book Antiqua"/>
          <w:color w:val="000000" w:themeColor="text1"/>
        </w:rPr>
        <w:t>03</w:t>
      </w:r>
      <w:r w:rsidRPr="00E224E9">
        <w:rPr>
          <w:rFonts w:ascii="Book Antiqua" w:hAnsi="Book Antiqua"/>
          <w:color w:val="000000" w:themeColor="text1"/>
        </w:rPr>
        <w:t>：資產負債表」之相關欄位金額，乘以其所對應之風險係數計算風險資本額。</w:t>
      </w:r>
    </w:p>
    <w:p w14:paraId="28E503AF" w14:textId="77777777" w:rsidR="00065C53" w:rsidRPr="00E224E9" w:rsidRDefault="00065C53">
      <w:pPr>
        <w:pStyle w:val="Layer50"/>
        <w:spacing w:line="440" w:lineRule="exact"/>
        <w:ind w:left="1560"/>
        <w:jc w:val="both"/>
        <w:rPr>
          <w:rFonts w:ascii="Book Antiqua" w:hAnsi="Book Antiqua"/>
          <w:color w:val="000000" w:themeColor="text1"/>
        </w:rPr>
      </w:pPr>
    </w:p>
    <w:p w14:paraId="74CB2624" w14:textId="77777777" w:rsidR="00065C53" w:rsidRPr="00E224E9" w:rsidRDefault="00065C53">
      <w:pPr>
        <w:pStyle w:val="Layer5"/>
        <w:spacing w:line="440" w:lineRule="exact"/>
        <w:jc w:val="both"/>
        <w:rPr>
          <w:rFonts w:ascii="Book Antiqua" w:hAnsi="Book Antiqua"/>
          <w:color w:val="000000" w:themeColor="text1"/>
        </w:rPr>
      </w:pPr>
      <w:r w:rsidRPr="00E224E9">
        <w:rPr>
          <w:rFonts w:ascii="Book Antiqua" w:hAnsi="Book Antiqua"/>
          <w:color w:val="000000" w:themeColor="text1"/>
        </w:rPr>
        <w:t>1.7.4.2</w:t>
      </w:r>
      <w:r w:rsidRPr="00E224E9">
        <w:rPr>
          <w:rFonts w:ascii="Book Antiqua" w:hAnsi="Book Antiqua"/>
          <w:color w:val="000000" w:themeColor="text1"/>
        </w:rPr>
        <w:t>再保險業務</w:t>
      </w:r>
    </w:p>
    <w:p w14:paraId="30831D8D" w14:textId="77777777" w:rsidR="00065C53" w:rsidRPr="00E224E9" w:rsidRDefault="00065C53">
      <w:pPr>
        <w:pStyle w:val="Layer50"/>
        <w:spacing w:line="440" w:lineRule="exact"/>
        <w:ind w:left="1560"/>
        <w:jc w:val="both"/>
        <w:rPr>
          <w:rFonts w:ascii="Book Antiqua" w:hAnsi="Book Antiqua"/>
          <w:color w:val="000000" w:themeColor="text1"/>
        </w:rPr>
      </w:pPr>
      <w:r w:rsidRPr="00E224E9">
        <w:rPr>
          <w:rFonts w:ascii="Book Antiqua" w:hAnsi="Book Antiqua"/>
          <w:color w:val="000000" w:themeColor="text1"/>
        </w:rPr>
        <w:t>再保業務其應攤回款項及其他相關款項所產生之收回幾乎無望款項，按</w:t>
      </w:r>
      <w:r w:rsidRPr="00E224E9">
        <w:rPr>
          <w:rFonts w:ascii="Book Antiqua" w:hAnsi="Book Antiqua"/>
          <w:color w:val="000000" w:themeColor="text1"/>
        </w:rPr>
        <w:lastRenderedPageBreak/>
        <w:t>「表</w:t>
      </w:r>
      <w:r w:rsidRPr="00E224E9">
        <w:rPr>
          <w:rFonts w:ascii="Book Antiqua" w:hAnsi="Book Antiqua"/>
          <w:color w:val="000000" w:themeColor="text1"/>
        </w:rPr>
        <w:t>03</w:t>
      </w:r>
      <w:r w:rsidRPr="00E224E9">
        <w:rPr>
          <w:rFonts w:ascii="Book Antiqua" w:hAnsi="Book Antiqua"/>
          <w:color w:val="000000" w:themeColor="text1"/>
        </w:rPr>
        <w:t>：資產負債表」之相關欄位金額，乘以其所對應之風險係數計算風險資本額。</w:t>
      </w:r>
    </w:p>
    <w:p w14:paraId="31118869" w14:textId="77777777" w:rsidR="00065C53" w:rsidRPr="00E224E9" w:rsidRDefault="00065C53">
      <w:pPr>
        <w:pStyle w:val="Layer5"/>
        <w:spacing w:line="440" w:lineRule="exact"/>
        <w:jc w:val="both"/>
        <w:rPr>
          <w:rFonts w:ascii="Book Antiqua" w:hAnsi="Book Antiqua"/>
          <w:color w:val="000000" w:themeColor="text1"/>
        </w:rPr>
      </w:pPr>
    </w:p>
    <w:p w14:paraId="08AAE3FD" w14:textId="77777777" w:rsidR="00065C53" w:rsidRPr="00E224E9" w:rsidRDefault="00065C53">
      <w:pPr>
        <w:pStyle w:val="Layer5"/>
        <w:spacing w:line="440" w:lineRule="exact"/>
        <w:jc w:val="both"/>
        <w:rPr>
          <w:rFonts w:ascii="Book Antiqua" w:hAnsi="Book Antiqua"/>
          <w:color w:val="000000" w:themeColor="text1"/>
        </w:rPr>
      </w:pPr>
      <w:r w:rsidRPr="00E224E9">
        <w:rPr>
          <w:rFonts w:ascii="Book Antiqua" w:hAnsi="Book Antiqua"/>
          <w:color w:val="000000" w:themeColor="text1"/>
        </w:rPr>
        <w:t>1.7.4.3</w:t>
      </w:r>
      <w:r w:rsidRPr="00E224E9">
        <w:rPr>
          <w:rFonts w:ascii="Book Antiqua" w:hAnsi="Book Antiqua"/>
          <w:color w:val="000000" w:themeColor="text1"/>
        </w:rPr>
        <w:t>其他業務</w:t>
      </w:r>
    </w:p>
    <w:p w14:paraId="1EF90B19" w14:textId="77777777" w:rsidR="00065C53" w:rsidRPr="00E224E9" w:rsidRDefault="00065C53">
      <w:pPr>
        <w:pStyle w:val="Layer50"/>
        <w:spacing w:line="440" w:lineRule="exact"/>
        <w:ind w:left="1560"/>
        <w:jc w:val="both"/>
        <w:rPr>
          <w:rFonts w:ascii="Book Antiqua" w:hAnsi="Book Antiqua"/>
          <w:color w:val="000000" w:themeColor="text1"/>
        </w:rPr>
      </w:pPr>
      <w:r w:rsidRPr="00E224E9">
        <w:rPr>
          <w:rFonts w:ascii="Book Antiqua" w:hAnsi="Book Antiqua"/>
          <w:color w:val="000000" w:themeColor="text1"/>
        </w:rPr>
        <w:t>非屬於直接業務與再保業務之外的其他業務其應收保費及其他相關款項所產生之收回幾乎無望款項，按「表</w:t>
      </w:r>
      <w:r w:rsidRPr="00E224E9">
        <w:rPr>
          <w:rFonts w:ascii="Book Antiqua" w:hAnsi="Book Antiqua"/>
          <w:color w:val="000000" w:themeColor="text1"/>
        </w:rPr>
        <w:t>03</w:t>
      </w:r>
      <w:r w:rsidRPr="00E224E9">
        <w:rPr>
          <w:rFonts w:ascii="Book Antiqua" w:hAnsi="Book Antiqua"/>
          <w:color w:val="000000" w:themeColor="text1"/>
        </w:rPr>
        <w:t>：資產負債表」之相關欄位金額，乘以其所對應之風險係數計算風險資本額。</w:t>
      </w:r>
    </w:p>
    <w:p w14:paraId="532B7BAC" w14:textId="77777777" w:rsidR="00065C53" w:rsidRPr="00E224E9" w:rsidRDefault="00065C53">
      <w:pPr>
        <w:spacing w:line="440" w:lineRule="exact"/>
        <w:ind w:left="900"/>
        <w:jc w:val="both"/>
        <w:rPr>
          <w:rFonts w:ascii="Book Antiqua" w:hAnsi="Book Antiqua"/>
          <w:color w:val="000000" w:themeColor="text1"/>
          <w:sz w:val="24"/>
        </w:rPr>
      </w:pPr>
    </w:p>
    <w:p w14:paraId="46345B29" w14:textId="77777777" w:rsidR="00065C53" w:rsidRPr="00E224E9" w:rsidRDefault="00065C53">
      <w:pPr>
        <w:pStyle w:val="Layer40"/>
        <w:spacing w:line="440" w:lineRule="exact"/>
        <w:jc w:val="both"/>
        <w:rPr>
          <w:rFonts w:ascii="Book Antiqua" w:hAnsi="Book Antiqua"/>
          <w:color w:val="000000" w:themeColor="text1"/>
        </w:rPr>
      </w:pPr>
      <w:r w:rsidRPr="00E224E9">
        <w:rPr>
          <w:rFonts w:ascii="Book Antiqua" w:hAnsi="Book Antiqua"/>
          <w:color w:val="000000" w:themeColor="text1"/>
        </w:rPr>
        <w:t>1.7.5</w:t>
      </w:r>
      <w:r w:rsidRPr="00E224E9">
        <w:rPr>
          <w:rFonts w:ascii="Book Antiqua" w:hAnsi="Book Antiqua"/>
          <w:color w:val="000000" w:themeColor="text1"/>
        </w:rPr>
        <w:t>其他應收款項</w:t>
      </w:r>
    </w:p>
    <w:p w14:paraId="619A2064" w14:textId="77777777" w:rsidR="00065C53" w:rsidRPr="00E224E9" w:rsidRDefault="00065C53">
      <w:pPr>
        <w:pStyle w:val="21"/>
        <w:spacing w:line="440" w:lineRule="exact"/>
        <w:ind w:leftChars="600" w:left="1560" w:firstLine="7"/>
        <w:rPr>
          <w:rFonts w:ascii="Book Antiqua" w:hAnsi="Book Antiqua"/>
          <w:color w:val="000000" w:themeColor="text1"/>
          <w:sz w:val="24"/>
        </w:rPr>
      </w:pPr>
      <w:r w:rsidRPr="00E224E9">
        <w:rPr>
          <w:rFonts w:ascii="Book Antiqua" w:hAnsi="Book Antiqua"/>
          <w:color w:val="000000" w:themeColor="text1"/>
          <w:sz w:val="24"/>
        </w:rPr>
        <w:t>非屬於</w:t>
      </w:r>
      <w:r w:rsidRPr="00E224E9">
        <w:rPr>
          <w:rFonts w:ascii="Book Antiqua" w:hAnsi="Book Antiqua"/>
          <w:color w:val="000000" w:themeColor="text1"/>
          <w:sz w:val="24"/>
        </w:rPr>
        <w:t>1.7.1~1.7.4</w:t>
      </w:r>
      <w:r w:rsidRPr="00E224E9">
        <w:rPr>
          <w:rFonts w:ascii="Book Antiqua" w:hAnsi="Book Antiqua"/>
          <w:color w:val="000000" w:themeColor="text1"/>
          <w:sz w:val="24"/>
        </w:rPr>
        <w:t>所規定類別項目之其他類別，按「</w:t>
      </w:r>
      <w:r w:rsidRPr="00E224E9">
        <w:rPr>
          <w:rFonts w:ascii="Book Antiqua" w:hAnsi="Book Antiqua" w:cs="Times New Roman"/>
          <w:color w:val="000000" w:themeColor="text1"/>
          <w:sz w:val="24"/>
        </w:rPr>
        <w:t>表</w:t>
      </w:r>
      <w:r w:rsidRPr="00E224E9">
        <w:rPr>
          <w:rFonts w:ascii="Book Antiqua" w:hAnsi="Book Antiqua" w:cs="Times New Roman"/>
          <w:color w:val="000000" w:themeColor="text1"/>
          <w:sz w:val="24"/>
        </w:rPr>
        <w:t>03</w:t>
      </w:r>
      <w:r w:rsidRPr="00E224E9">
        <w:rPr>
          <w:rFonts w:ascii="Book Antiqua" w:hAnsi="Book Antiqua" w:cs="Times New Roman"/>
          <w:color w:val="000000" w:themeColor="text1"/>
          <w:sz w:val="24"/>
        </w:rPr>
        <w:t>：</w:t>
      </w:r>
      <w:r w:rsidRPr="00E224E9">
        <w:rPr>
          <w:rFonts w:ascii="Book Antiqua" w:hAnsi="Book Antiqua"/>
          <w:color w:val="000000" w:themeColor="text1"/>
          <w:sz w:val="24"/>
        </w:rPr>
        <w:t>資產負債表」之相關欄位金額，乘以其所對應之風險係數計算風險資本額。</w:t>
      </w:r>
    </w:p>
    <w:p w14:paraId="70D976C4" w14:textId="77777777" w:rsidR="00065C53" w:rsidRPr="00E224E9" w:rsidRDefault="00065C53">
      <w:pPr>
        <w:spacing w:line="440" w:lineRule="exact"/>
        <w:jc w:val="both"/>
        <w:rPr>
          <w:rFonts w:ascii="Book Antiqua" w:hAnsi="Book Antiqua"/>
          <w:color w:val="000000" w:themeColor="text1"/>
          <w:sz w:val="24"/>
        </w:rPr>
      </w:pPr>
    </w:p>
    <w:p w14:paraId="61AE2042" w14:textId="77777777" w:rsidR="00065C53" w:rsidRPr="00E224E9" w:rsidRDefault="00065C53">
      <w:pPr>
        <w:pStyle w:val="Layer4"/>
        <w:spacing w:line="440" w:lineRule="exact"/>
        <w:ind w:left="1560"/>
        <w:jc w:val="both"/>
        <w:rPr>
          <w:rFonts w:ascii="Book Antiqua" w:hAnsi="Book Antiqua"/>
          <w:strike/>
          <w:color w:val="000000" w:themeColor="text1"/>
        </w:rPr>
      </w:pPr>
    </w:p>
    <w:p w14:paraId="701862E8" w14:textId="77777777" w:rsidR="00065C53" w:rsidRPr="00E224E9" w:rsidRDefault="00065C53">
      <w:pPr>
        <w:pStyle w:val="Layer40"/>
        <w:spacing w:line="440" w:lineRule="exact"/>
        <w:jc w:val="both"/>
        <w:rPr>
          <w:rFonts w:ascii="Book Antiqua" w:hAnsi="Book Antiqua"/>
          <w:color w:val="000000" w:themeColor="text1"/>
        </w:rPr>
      </w:pPr>
      <w:r w:rsidRPr="00E224E9">
        <w:rPr>
          <w:rFonts w:ascii="Book Antiqua" w:hAnsi="Book Antiqua"/>
          <w:color w:val="000000" w:themeColor="text1"/>
        </w:rPr>
        <w:t>1.8</w:t>
      </w:r>
      <w:r w:rsidRPr="00E224E9">
        <w:rPr>
          <w:rFonts w:ascii="Book Antiqua" w:hAnsi="Book Antiqua"/>
          <w:color w:val="000000" w:themeColor="text1"/>
        </w:rPr>
        <w:t>再保險資產</w:t>
      </w:r>
    </w:p>
    <w:p w14:paraId="729763CD" w14:textId="77777777" w:rsidR="00065C53" w:rsidRPr="00E224E9" w:rsidRDefault="00065C53">
      <w:pPr>
        <w:pStyle w:val="Layer4"/>
        <w:spacing w:line="440" w:lineRule="exact"/>
        <w:ind w:left="1560"/>
        <w:jc w:val="both"/>
        <w:rPr>
          <w:rFonts w:ascii="Book Antiqua" w:hAnsi="Book Antiqua"/>
          <w:color w:val="000000" w:themeColor="text1"/>
        </w:rPr>
      </w:pPr>
      <w:r w:rsidRPr="00E224E9">
        <w:rPr>
          <w:rFonts w:ascii="Book Antiqua" w:hAnsi="Book Antiqua"/>
          <w:color w:val="000000" w:themeColor="text1"/>
        </w:rPr>
        <w:t>此項目衡量再保險人於損失發生前無法償付再保責任之信用風險，並按本表「資料來源」一欄指示所填報之金額及其所對應之風險係數計算風險資本額。</w:t>
      </w:r>
    </w:p>
    <w:p w14:paraId="34DCA3B0" w14:textId="77777777" w:rsidR="00065C53" w:rsidRPr="00E224E9" w:rsidRDefault="00065C53">
      <w:pPr>
        <w:pStyle w:val="Layer2"/>
        <w:snapToGrid w:val="0"/>
        <w:spacing w:line="440" w:lineRule="exact"/>
        <w:jc w:val="both"/>
        <w:rPr>
          <w:rFonts w:ascii="Book Antiqua" w:hAnsi="Book Antiqua"/>
          <w:color w:val="000000" w:themeColor="text1"/>
        </w:rPr>
      </w:pPr>
    </w:p>
    <w:p w14:paraId="0F80664A" w14:textId="77777777" w:rsidR="00065C53" w:rsidRPr="00E224E9" w:rsidRDefault="00065C53">
      <w:pPr>
        <w:pStyle w:val="Layer2"/>
        <w:spacing w:line="440" w:lineRule="exact"/>
        <w:jc w:val="both"/>
        <w:rPr>
          <w:rFonts w:ascii="Book Antiqua" w:hAnsi="Book Antiqua"/>
          <w:color w:val="000000" w:themeColor="text1"/>
        </w:rPr>
      </w:pPr>
      <w:bookmarkStart w:id="129" w:name="_Toc7492337"/>
      <w:r w:rsidRPr="00E224E9">
        <w:rPr>
          <w:rFonts w:ascii="Book Antiqua" w:hAnsi="Book Antiqua"/>
          <w:color w:val="000000" w:themeColor="text1"/>
        </w:rPr>
        <w:t>C1b</w:t>
      </w:r>
      <w:r w:rsidRPr="00E224E9">
        <w:rPr>
          <w:rFonts w:ascii="Book Antiqua" w:hAnsi="Book Antiqua"/>
          <w:color w:val="000000" w:themeColor="text1"/>
        </w:rPr>
        <w:t>國外資產風險</w:t>
      </w:r>
      <w:bookmarkEnd w:id="129"/>
    </w:p>
    <w:p w14:paraId="4BE0E612" w14:textId="77777777" w:rsidR="00065C53" w:rsidRPr="00E224E9" w:rsidRDefault="00065C53" w:rsidP="004373AD">
      <w:pPr>
        <w:pStyle w:val="Item1"/>
        <w:numPr>
          <w:ilvl w:val="0"/>
          <w:numId w:val="17"/>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國外資產請依投資標的所屬之國家區分為</w:t>
      </w:r>
      <w:r w:rsidR="00BA2EB6" w:rsidRPr="00E224E9">
        <w:rPr>
          <w:rFonts w:ascii="Book Antiqua" w:hAnsi="Book Antiqua"/>
          <w:color w:val="000000" w:themeColor="text1"/>
          <w:sz w:val="24"/>
        </w:rPr>
        <w:t>已開發國家</w:t>
      </w:r>
      <w:r w:rsidRPr="00E224E9">
        <w:rPr>
          <w:rFonts w:ascii="Book Antiqua" w:hAnsi="Book Antiqua"/>
          <w:color w:val="000000" w:themeColor="text1"/>
          <w:sz w:val="24"/>
        </w:rPr>
        <w:t>及</w:t>
      </w:r>
      <w:r w:rsidR="00BA2EB6" w:rsidRPr="00E224E9">
        <w:rPr>
          <w:rFonts w:ascii="Book Antiqua" w:hAnsi="Book Antiqua"/>
          <w:color w:val="000000" w:themeColor="text1"/>
          <w:sz w:val="24"/>
        </w:rPr>
        <w:t>新興市場</w:t>
      </w:r>
      <w:r w:rsidRPr="00E224E9">
        <w:rPr>
          <w:rFonts w:ascii="Book Antiqua" w:hAnsi="Book Antiqua"/>
          <w:color w:val="000000" w:themeColor="text1"/>
          <w:sz w:val="24"/>
        </w:rPr>
        <w:t>兩大項。</w:t>
      </w:r>
      <w:r w:rsidR="009E5ED8" w:rsidRPr="00E224E9">
        <w:rPr>
          <w:rFonts w:ascii="Book Antiqua" w:hAnsi="標楷體" w:hint="eastAsia"/>
          <w:color w:val="000000" w:themeColor="text1"/>
          <w:sz w:val="24"/>
        </w:rPr>
        <w:t>已開發國家</w:t>
      </w:r>
      <w:r w:rsidR="009E5ED8" w:rsidRPr="00E224E9">
        <w:rPr>
          <w:rFonts w:ascii="Book Antiqua" w:hAnsi="標楷體"/>
          <w:color w:val="000000" w:themeColor="text1"/>
          <w:sz w:val="24"/>
        </w:rPr>
        <w:t>係指</w:t>
      </w:r>
      <w:r w:rsidR="009E5ED8" w:rsidRPr="00E224E9">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E224E9">
        <w:rPr>
          <w:rFonts w:ascii="Book Antiqua" w:hAnsi="Book Antiqua"/>
          <w:color w:val="000000" w:themeColor="text1"/>
          <w:sz w:val="24"/>
        </w:rPr>
        <w:t>；現金及外幣存款則依其所存之幣別為區分標準。上述兩大項中再細分細項，包括現金及外幣存款、固定型收益投資、股票、受益憑證及信託資金、放款、不動產、對沖基金、</w:t>
      </w:r>
      <w:r w:rsidRPr="00E224E9">
        <w:rPr>
          <w:rFonts w:ascii="Book Antiqua" w:hAnsi="Book Antiqua"/>
          <w:color w:val="000000" w:themeColor="text1"/>
          <w:sz w:val="24"/>
        </w:rPr>
        <w:t>ETF-</w:t>
      </w:r>
      <w:r w:rsidRPr="00E224E9">
        <w:rPr>
          <w:rFonts w:ascii="Book Antiqua" w:hAnsi="Book Antiqua"/>
          <w:color w:val="000000" w:themeColor="text1"/>
          <w:sz w:val="24"/>
        </w:rPr>
        <w:t>股票型、</w:t>
      </w:r>
      <w:r w:rsidRPr="00E224E9">
        <w:rPr>
          <w:rFonts w:ascii="Book Antiqua" w:hAnsi="Book Antiqua"/>
          <w:color w:val="000000" w:themeColor="text1"/>
          <w:sz w:val="24"/>
        </w:rPr>
        <w:t>ETF-</w:t>
      </w:r>
      <w:r w:rsidRPr="00E224E9">
        <w:rPr>
          <w:rFonts w:ascii="Book Antiqua" w:hAnsi="Book Antiqua"/>
          <w:color w:val="000000" w:themeColor="text1"/>
          <w:sz w:val="24"/>
        </w:rPr>
        <w:t>債券型</w:t>
      </w:r>
      <w:r w:rsidR="00583C13" w:rsidRPr="00E224E9">
        <w:rPr>
          <w:rFonts w:ascii="Book Antiqua" w:hAnsi="Book Antiqua"/>
          <w:color w:val="000000" w:themeColor="text1"/>
          <w:sz w:val="24"/>
        </w:rPr>
        <w:t>、</w:t>
      </w:r>
      <w:r w:rsidR="00583C13" w:rsidRPr="00E224E9">
        <w:rPr>
          <w:rFonts w:ascii="Book Antiqua" w:hAnsi="Book Antiqua"/>
          <w:color w:val="000000" w:themeColor="text1"/>
          <w:sz w:val="24"/>
        </w:rPr>
        <w:t>ETF-</w:t>
      </w:r>
      <w:r w:rsidR="00583C13" w:rsidRPr="00E224E9">
        <w:rPr>
          <w:rFonts w:ascii="Book Antiqua" w:hAnsi="Book Antiqua" w:hint="eastAsia"/>
          <w:color w:val="000000" w:themeColor="text1"/>
          <w:sz w:val="24"/>
        </w:rPr>
        <w:t>其他</w:t>
      </w:r>
      <w:r w:rsidR="00583C13" w:rsidRPr="00E224E9">
        <w:rPr>
          <w:rFonts w:ascii="Book Antiqua" w:hAnsi="Book Antiqua"/>
          <w:color w:val="000000" w:themeColor="text1"/>
          <w:sz w:val="24"/>
        </w:rPr>
        <w:t>型、</w:t>
      </w:r>
      <w:r w:rsidR="00583C13" w:rsidRPr="00E224E9">
        <w:rPr>
          <w:rFonts w:ascii="Book Antiqua" w:hAnsi="Book Antiqua" w:hint="eastAsia"/>
          <w:color w:val="000000" w:themeColor="text1"/>
          <w:sz w:val="24"/>
        </w:rPr>
        <w:t>ETN</w:t>
      </w:r>
      <w:r w:rsidRPr="00E224E9">
        <w:rPr>
          <w:rFonts w:ascii="Book Antiqua" w:hAnsi="Book Antiqua"/>
          <w:color w:val="000000" w:themeColor="text1"/>
          <w:sz w:val="24"/>
        </w:rPr>
        <w:t>、組合式存款、其他</w:t>
      </w:r>
      <w:r w:rsidR="00583C13" w:rsidRPr="00E224E9">
        <w:rPr>
          <w:rFonts w:ascii="Book Antiqua" w:hAnsi="Book Antiqua"/>
          <w:color w:val="000000" w:themeColor="text1"/>
          <w:sz w:val="24"/>
        </w:rPr>
        <w:t>等十</w:t>
      </w:r>
      <w:r w:rsidR="00583C13" w:rsidRPr="00E224E9">
        <w:rPr>
          <w:rFonts w:ascii="Book Antiqua" w:hAnsi="Book Antiqua" w:hint="eastAsia"/>
          <w:color w:val="000000" w:themeColor="text1"/>
          <w:sz w:val="24"/>
        </w:rPr>
        <w:t>三</w:t>
      </w:r>
      <w:r w:rsidRPr="00E224E9">
        <w:rPr>
          <w:rFonts w:ascii="Book Antiqua" w:hAnsi="Book Antiqua"/>
          <w:color w:val="000000" w:themeColor="text1"/>
          <w:sz w:val="24"/>
        </w:rPr>
        <w:t>項。其中受益憑證</w:t>
      </w:r>
      <w:r w:rsidR="00A15DFD" w:rsidRPr="00E224E9">
        <w:rPr>
          <w:rFonts w:ascii="Book Antiqua" w:hAnsi="Book Antiqua" w:hint="eastAsia"/>
          <w:color w:val="000000" w:themeColor="text1"/>
          <w:sz w:val="24"/>
        </w:rPr>
        <w:t>及信託資金、對沖基金、</w:t>
      </w:r>
      <w:r w:rsidR="00A15DFD" w:rsidRPr="00E224E9">
        <w:rPr>
          <w:rFonts w:ascii="Book Antiqua" w:hAnsi="Book Antiqua" w:hint="eastAsia"/>
          <w:color w:val="000000" w:themeColor="text1"/>
          <w:sz w:val="24"/>
        </w:rPr>
        <w:t>ETF</w:t>
      </w:r>
      <w:r w:rsidR="00A15DFD" w:rsidRPr="00E224E9">
        <w:rPr>
          <w:rFonts w:ascii="Book Antiqua" w:hAnsi="Book Antiqua" w:hint="eastAsia"/>
          <w:color w:val="000000" w:themeColor="text1"/>
          <w:sz w:val="24"/>
        </w:rPr>
        <w:t>及</w:t>
      </w:r>
      <w:r w:rsidR="00A15DFD" w:rsidRPr="00E224E9">
        <w:rPr>
          <w:rFonts w:ascii="Book Antiqua" w:hAnsi="Book Antiqua" w:hint="eastAsia"/>
          <w:color w:val="000000" w:themeColor="text1"/>
          <w:sz w:val="24"/>
        </w:rPr>
        <w:t>ETN</w:t>
      </w:r>
      <w:r w:rsidRPr="00E224E9">
        <w:rPr>
          <w:rFonts w:ascii="Book Antiqua" w:hAnsi="Book Antiqua"/>
          <w:color w:val="000000" w:themeColor="text1"/>
          <w:sz w:val="24"/>
        </w:rPr>
        <w:t>之投資區域為全球之投資組合者，原則上歸入</w:t>
      </w:r>
      <w:r w:rsidR="00BA2EB6" w:rsidRPr="00E224E9">
        <w:rPr>
          <w:rFonts w:ascii="Book Antiqua" w:hAnsi="Book Antiqua"/>
          <w:color w:val="000000" w:themeColor="text1"/>
          <w:sz w:val="24"/>
        </w:rPr>
        <w:t>新興市場</w:t>
      </w:r>
      <w:r w:rsidRPr="00E224E9">
        <w:rPr>
          <w:rFonts w:ascii="Book Antiqua" w:hAnsi="Book Antiqua"/>
          <w:color w:val="000000" w:themeColor="text1"/>
          <w:sz w:val="24"/>
        </w:rPr>
        <w:t>。然倘若保險業能夠提出明確證據，顯示其投資組合之投資標的投資於</w:t>
      </w:r>
      <w:r w:rsidR="00BA2EB6" w:rsidRPr="00E224E9">
        <w:rPr>
          <w:rFonts w:ascii="Book Antiqua" w:hAnsi="Book Antiqua"/>
          <w:color w:val="000000" w:themeColor="text1"/>
          <w:sz w:val="24"/>
        </w:rPr>
        <w:t>已開發國家</w:t>
      </w:r>
      <w:r w:rsidRPr="00E224E9">
        <w:rPr>
          <w:rFonts w:ascii="Book Antiqua" w:hAnsi="Book Antiqua"/>
          <w:color w:val="000000" w:themeColor="text1"/>
          <w:sz w:val="24"/>
        </w:rPr>
        <w:t>之比例佔百分之五十以上時，則得以歸入</w:t>
      </w:r>
      <w:r w:rsidR="00BA2EB6" w:rsidRPr="00E224E9">
        <w:rPr>
          <w:rFonts w:ascii="Book Antiqua" w:hAnsi="Book Antiqua"/>
          <w:color w:val="000000" w:themeColor="text1"/>
          <w:sz w:val="24"/>
        </w:rPr>
        <w:t>已開發國家</w:t>
      </w:r>
      <w:r w:rsidRPr="00E224E9">
        <w:rPr>
          <w:rFonts w:ascii="Book Antiqua" w:hAnsi="Book Antiqua"/>
          <w:color w:val="000000" w:themeColor="text1"/>
          <w:sz w:val="24"/>
        </w:rPr>
        <w:t>。</w:t>
      </w:r>
    </w:p>
    <w:p w14:paraId="0DE71B6E" w14:textId="77777777" w:rsidR="00065C53" w:rsidRPr="00E224E9" w:rsidRDefault="00065C53" w:rsidP="004373AD">
      <w:pPr>
        <w:pStyle w:val="Item1"/>
        <w:numPr>
          <w:ilvl w:val="0"/>
          <w:numId w:val="17"/>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有關上述各類風險項目之風險資本額計算方式說明如下：</w:t>
      </w:r>
    </w:p>
    <w:p w14:paraId="76140B19"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現金及外幣存款</w:t>
      </w:r>
    </w:p>
    <w:p w14:paraId="79FAAA80" w14:textId="77777777" w:rsidR="00065C53" w:rsidRPr="00E224E9" w:rsidRDefault="00065C53">
      <w:pPr>
        <w:pStyle w:val="Item1"/>
        <w:spacing w:line="440" w:lineRule="exact"/>
        <w:ind w:leftChars="0" w:left="1440" w:firstLineChars="0" w:firstLine="0"/>
        <w:jc w:val="both"/>
        <w:rPr>
          <w:rFonts w:ascii="Book Antiqua" w:hAnsi="Book Antiqua"/>
          <w:color w:val="000000" w:themeColor="text1"/>
          <w:sz w:val="24"/>
        </w:rPr>
      </w:pPr>
      <w:r w:rsidRPr="00E224E9">
        <w:rPr>
          <w:rFonts w:ascii="Book Antiqua" w:hAnsi="Book Antiqua"/>
          <w:color w:val="000000" w:themeColor="text1"/>
          <w:sz w:val="24"/>
        </w:rPr>
        <w:lastRenderedPageBreak/>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：資金運用表」之相關欄位金額，乘以其所對應之風險係數計算風險資本額。</w:t>
      </w:r>
    </w:p>
    <w:p w14:paraId="206BEA69" w14:textId="77777777" w:rsidR="00065C53" w:rsidRPr="00E224E9" w:rsidRDefault="00065C53">
      <w:pPr>
        <w:pStyle w:val="Item1"/>
        <w:spacing w:line="440" w:lineRule="exact"/>
        <w:ind w:leftChars="0" w:left="1440" w:firstLineChars="0" w:firstLine="0"/>
        <w:jc w:val="both"/>
        <w:rPr>
          <w:rFonts w:ascii="Book Antiqua" w:hAnsi="Book Antiqua"/>
          <w:color w:val="000000" w:themeColor="text1"/>
          <w:sz w:val="24"/>
        </w:rPr>
      </w:pPr>
    </w:p>
    <w:p w14:paraId="670C8600"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固定型收益投資</w:t>
      </w:r>
    </w:p>
    <w:p w14:paraId="667D8F41" w14:textId="77777777" w:rsidR="00065C53" w:rsidRPr="00E224E9" w:rsidRDefault="00065C53" w:rsidP="004373AD">
      <w:pPr>
        <w:pStyle w:val="Item1"/>
        <w:numPr>
          <w:ilvl w:val="2"/>
          <w:numId w:val="17"/>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E224E9">
        <w:rPr>
          <w:rFonts w:ascii="Book Antiqua" w:hAnsi="Book Antiqua"/>
          <w:color w:val="000000" w:themeColor="text1"/>
          <w:sz w:val="24"/>
        </w:rPr>
        <w:t>公債、公司債及金融資產受益證券、不動產投資信託基金，其他有信用評等之固定型收益投資：</w:t>
      </w:r>
    </w:p>
    <w:p w14:paraId="79EDA7F9" w14:textId="77777777" w:rsidR="00065C53" w:rsidRPr="00E224E9" w:rsidRDefault="00065C53">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color w:val="000000" w:themeColor="text1"/>
          <w:sz w:val="24"/>
        </w:rPr>
        <w:t>按其信用評等等級填報於「表</w:t>
      </w:r>
      <w:r w:rsidRPr="00E224E9">
        <w:rPr>
          <w:rFonts w:ascii="Book Antiqua" w:hAnsi="Book Antiqua"/>
          <w:color w:val="000000" w:themeColor="text1"/>
          <w:sz w:val="24"/>
        </w:rPr>
        <w:t>30-3-2</w:t>
      </w:r>
      <w:r w:rsidRPr="00E224E9">
        <w:rPr>
          <w:rFonts w:ascii="Book Antiqua" w:hAnsi="Book Antiqua"/>
          <w:color w:val="000000" w:themeColor="text1"/>
          <w:sz w:val="24"/>
        </w:rPr>
        <w:t>：</w:t>
      </w:r>
      <w:r w:rsidRPr="00E224E9">
        <w:rPr>
          <w:rFonts w:ascii="Book Antiqua" w:hAnsi="Book Antiqua"/>
          <w:color w:val="000000" w:themeColor="text1"/>
          <w:sz w:val="24"/>
        </w:rPr>
        <w:t>C1b</w:t>
      </w:r>
      <w:r w:rsidRPr="00E224E9">
        <w:rPr>
          <w:rFonts w:ascii="Book Antiqua" w:hAnsi="Book Antiqua"/>
          <w:color w:val="000000" w:themeColor="text1"/>
          <w:sz w:val="24"/>
        </w:rPr>
        <w:t>：國外資產風險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非關係人信用風險計算表」並依其所對應之風險係數據以計算風險資本額。</w:t>
      </w:r>
    </w:p>
    <w:p w14:paraId="2D51E2DC" w14:textId="77777777" w:rsidR="00065C53" w:rsidRPr="00E224E9" w:rsidRDefault="00065C53">
      <w:pPr>
        <w:pStyle w:val="Item1"/>
        <w:spacing w:line="440" w:lineRule="exact"/>
        <w:ind w:leftChars="0" w:left="1800" w:firstLineChars="0" w:firstLine="0"/>
        <w:jc w:val="both"/>
        <w:rPr>
          <w:rFonts w:ascii="Book Antiqua" w:hAnsi="Book Antiqua"/>
          <w:color w:val="000000" w:themeColor="text1"/>
          <w:sz w:val="24"/>
        </w:rPr>
      </w:pPr>
    </w:p>
    <w:p w14:paraId="3978DEE0" w14:textId="77777777" w:rsidR="00065C53" w:rsidRPr="00E224E9" w:rsidRDefault="00065C53" w:rsidP="004373AD">
      <w:pPr>
        <w:pStyle w:val="Item1"/>
        <w:numPr>
          <w:ilvl w:val="2"/>
          <w:numId w:val="17"/>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E224E9">
        <w:rPr>
          <w:rFonts w:ascii="Book Antiqua" w:hAnsi="Book Antiqua"/>
          <w:color w:val="000000" w:themeColor="text1"/>
          <w:sz w:val="24"/>
        </w:rPr>
        <w:t>除上述</w:t>
      </w:r>
      <w:r w:rsidRPr="00E224E9">
        <w:rPr>
          <w:rFonts w:ascii="Book Antiqua" w:hAnsi="Book Antiqua"/>
          <w:color w:val="000000" w:themeColor="text1"/>
          <w:sz w:val="24"/>
        </w:rPr>
        <w:t>1.</w:t>
      </w:r>
      <w:r w:rsidRPr="00E224E9">
        <w:rPr>
          <w:rFonts w:ascii="Book Antiqua" w:hAnsi="Book Antiqua"/>
          <w:color w:val="000000" w:themeColor="text1"/>
          <w:sz w:val="24"/>
        </w:rPr>
        <w:t>所列者外，其他無信用評等之固定型收益投資：</w:t>
      </w:r>
    </w:p>
    <w:p w14:paraId="6D0AFFC1" w14:textId="77777777" w:rsidR="00065C53" w:rsidRPr="00E224E9" w:rsidRDefault="00065C53">
      <w:pPr>
        <w:pStyle w:val="Item1"/>
        <w:spacing w:line="440" w:lineRule="exact"/>
        <w:ind w:leftChars="692" w:left="1799"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：資金運用表」之相關欄位金額，乘以其所對應之風險係數計算風險資本額。</w:t>
      </w:r>
    </w:p>
    <w:p w14:paraId="5A027AC9" w14:textId="77777777" w:rsidR="00065C53" w:rsidRPr="00E224E9" w:rsidRDefault="00065C53">
      <w:pPr>
        <w:pStyle w:val="Item1"/>
        <w:spacing w:line="440" w:lineRule="exact"/>
        <w:ind w:leftChars="692" w:left="1799" w:firstLineChars="0" w:firstLine="0"/>
        <w:jc w:val="both"/>
        <w:rPr>
          <w:rFonts w:ascii="Book Antiqua" w:hAnsi="Book Antiqua"/>
          <w:color w:val="000000" w:themeColor="text1"/>
          <w:sz w:val="24"/>
        </w:rPr>
      </w:pPr>
    </w:p>
    <w:p w14:paraId="2C2D4B9C"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股票</w:t>
      </w:r>
    </w:p>
    <w:p w14:paraId="60BA6A4C" w14:textId="77777777" w:rsidR="00065C53" w:rsidRPr="00E224E9" w:rsidRDefault="00065C53">
      <w:pPr>
        <w:pStyle w:val="Item1"/>
        <w:spacing w:line="440" w:lineRule="exact"/>
        <w:ind w:leftChars="0" w:left="0" w:firstLineChars="600" w:firstLine="1440"/>
        <w:jc w:val="both"/>
        <w:rPr>
          <w:rFonts w:ascii="Book Antiqua" w:hAnsi="Book Antiqua"/>
          <w:color w:val="000000" w:themeColor="text1"/>
          <w:sz w:val="24"/>
        </w:rPr>
      </w:pPr>
      <w:r w:rsidRPr="00E224E9">
        <w:rPr>
          <w:rFonts w:ascii="Book Antiqua" w:hAnsi="Book Antiqua"/>
          <w:color w:val="000000" w:themeColor="text1"/>
          <w:sz w:val="24"/>
        </w:rPr>
        <w:t>依其股權特性又區分為「普通股」與「特別股」兩類：</w:t>
      </w:r>
    </w:p>
    <w:p w14:paraId="6A8CE283" w14:textId="77777777" w:rsidR="00065C53" w:rsidRPr="00E224E9" w:rsidRDefault="00065C53" w:rsidP="004373AD">
      <w:pPr>
        <w:pStyle w:val="Item1"/>
        <w:numPr>
          <w:ilvl w:val="3"/>
          <w:numId w:val="18"/>
        </w:numPr>
        <w:tabs>
          <w:tab w:val="clear" w:pos="3360"/>
          <w:tab w:val="num" w:pos="1800"/>
        </w:tabs>
        <w:spacing w:line="440" w:lineRule="exact"/>
        <w:ind w:leftChars="0" w:firstLineChars="0" w:hanging="1920"/>
        <w:jc w:val="both"/>
        <w:rPr>
          <w:rFonts w:ascii="Book Antiqua" w:hAnsi="Book Antiqua"/>
          <w:color w:val="000000" w:themeColor="text1"/>
          <w:sz w:val="24"/>
        </w:rPr>
      </w:pPr>
      <w:r w:rsidRPr="00E224E9">
        <w:rPr>
          <w:rFonts w:ascii="Book Antiqua" w:hAnsi="Book Antiqua"/>
          <w:color w:val="000000" w:themeColor="text1"/>
          <w:sz w:val="24"/>
        </w:rPr>
        <w:t>普通股</w:t>
      </w:r>
    </w:p>
    <w:p w14:paraId="39DAB3ED" w14:textId="77777777" w:rsidR="00065C53" w:rsidRPr="00E224E9" w:rsidRDefault="00065C53">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color w:val="000000" w:themeColor="text1"/>
          <w:sz w:val="24"/>
        </w:rPr>
        <w:t>上市上櫃普通股採</w:t>
      </w:r>
      <w:r w:rsidR="00A65DB4" w:rsidRPr="00E224E9">
        <w:rPr>
          <w:rFonts w:ascii="Book Antiqua" w:hAnsi="Book Antiqua"/>
          <w:color w:val="000000" w:themeColor="text1"/>
          <w:sz w:val="24"/>
        </w:rPr>
        <w:t>公允價值</w:t>
      </w:r>
      <w:r w:rsidRPr="00E224E9">
        <w:rPr>
          <w:rFonts w:ascii="Book Antiqua" w:hAnsi="Book Antiqua"/>
          <w:color w:val="000000" w:themeColor="text1"/>
          <w:sz w:val="24"/>
        </w:rPr>
        <w:t>(</w:t>
      </w:r>
      <w:r w:rsidRPr="00E224E9">
        <w:rPr>
          <w:rFonts w:ascii="Book Antiqua" w:hAnsi="Book Antiqua"/>
          <w:color w:val="000000" w:themeColor="text1"/>
          <w:sz w:val="24"/>
        </w:rPr>
        <w:t>亦即該股票投資於資產負債表日之收盤價</w:t>
      </w:r>
      <w:r w:rsidRPr="00E224E9">
        <w:rPr>
          <w:rFonts w:ascii="Book Antiqua" w:hAnsi="Book Antiqua"/>
          <w:color w:val="000000" w:themeColor="text1"/>
          <w:sz w:val="24"/>
        </w:rPr>
        <w:t>)</w:t>
      </w:r>
      <w:r w:rsidRPr="00E224E9">
        <w:rPr>
          <w:rFonts w:ascii="Book Antiqua" w:hAnsi="Book Antiqua"/>
          <w:color w:val="000000" w:themeColor="text1"/>
          <w:sz w:val="24"/>
        </w:rPr>
        <w:t>計算風險部位金額，非上市上櫃普通股則以</w:t>
      </w:r>
      <w:r w:rsidR="00AE35CF" w:rsidRPr="00E224E9">
        <w:rPr>
          <w:rFonts w:ascii="Book Antiqua" w:hAnsi="Book Antiqua" w:hint="eastAsia"/>
          <w:color w:val="000000" w:themeColor="text1"/>
          <w:sz w:val="24"/>
        </w:rPr>
        <w:t>帳載金額與</w:t>
      </w:r>
      <w:r w:rsidRPr="00E224E9">
        <w:rPr>
          <w:rFonts w:ascii="Book Antiqua" w:hAnsi="Book Antiqua"/>
          <w:color w:val="000000" w:themeColor="text1"/>
          <w:sz w:val="24"/>
        </w:rPr>
        <w:t>該發行股票公司資產負債表日之淨值</w:t>
      </w:r>
      <w:r w:rsidR="00AE35CF" w:rsidRPr="00E224E9">
        <w:rPr>
          <w:rFonts w:ascii="Book Antiqua" w:hAnsi="Book Antiqua" w:hint="eastAsia"/>
          <w:color w:val="000000" w:themeColor="text1"/>
          <w:sz w:val="24"/>
        </w:rPr>
        <w:t>孰低</w:t>
      </w:r>
      <w:r w:rsidRPr="00E224E9">
        <w:rPr>
          <w:rFonts w:ascii="Book Antiqua" w:hAnsi="Book Antiqua"/>
          <w:color w:val="000000" w:themeColor="text1"/>
          <w:sz w:val="24"/>
        </w:rPr>
        <w:t>計算風險部位金額。兩者均按「表</w:t>
      </w:r>
      <w:r w:rsidRPr="00E224E9">
        <w:rPr>
          <w:rFonts w:ascii="Book Antiqua" w:hAnsi="Book Antiqua"/>
          <w:color w:val="000000" w:themeColor="text1"/>
          <w:sz w:val="24"/>
        </w:rPr>
        <w:t>10-4</w:t>
      </w:r>
      <w:r w:rsidRPr="00E224E9">
        <w:rPr>
          <w:rFonts w:ascii="Book Antiqua" w:hAnsi="Book Antiqua"/>
          <w:color w:val="000000" w:themeColor="text1"/>
          <w:sz w:val="24"/>
        </w:rPr>
        <w:t>：非關係人股票投資明細表」之相關欄位金額及其所對應之風險係數計算風險資本額。</w:t>
      </w:r>
    </w:p>
    <w:p w14:paraId="16355A00" w14:textId="77777777" w:rsidR="00065C53" w:rsidRPr="00E224E9" w:rsidRDefault="00065C53">
      <w:pPr>
        <w:pStyle w:val="Item1"/>
        <w:spacing w:line="440" w:lineRule="exact"/>
        <w:ind w:leftChars="0" w:firstLineChars="0" w:firstLine="24"/>
        <w:jc w:val="both"/>
        <w:rPr>
          <w:rFonts w:ascii="Book Antiqua" w:hAnsi="Book Antiqua"/>
          <w:color w:val="000000" w:themeColor="text1"/>
          <w:sz w:val="24"/>
        </w:rPr>
      </w:pPr>
    </w:p>
    <w:p w14:paraId="17CA6FBE" w14:textId="77777777" w:rsidR="00065C53" w:rsidRPr="00E224E9" w:rsidRDefault="00065C53" w:rsidP="004373AD">
      <w:pPr>
        <w:pStyle w:val="Item1"/>
        <w:numPr>
          <w:ilvl w:val="3"/>
          <w:numId w:val="18"/>
        </w:numPr>
        <w:tabs>
          <w:tab w:val="clear" w:pos="3360"/>
          <w:tab w:val="num" w:pos="1800"/>
        </w:tabs>
        <w:spacing w:line="440" w:lineRule="exact"/>
        <w:ind w:leftChars="0" w:firstLineChars="0" w:hanging="1920"/>
        <w:jc w:val="both"/>
        <w:rPr>
          <w:rFonts w:ascii="Book Antiqua" w:hAnsi="Book Antiqua"/>
          <w:color w:val="000000" w:themeColor="text1"/>
          <w:sz w:val="24"/>
        </w:rPr>
      </w:pPr>
      <w:r w:rsidRPr="00E224E9">
        <w:rPr>
          <w:rFonts w:ascii="Book Antiqua" w:hAnsi="Book Antiqua"/>
          <w:color w:val="000000" w:themeColor="text1"/>
          <w:sz w:val="24"/>
        </w:rPr>
        <w:t>特別股</w:t>
      </w:r>
    </w:p>
    <w:p w14:paraId="4C2D9946" w14:textId="77777777" w:rsidR="00065C53" w:rsidRPr="00E224E9" w:rsidRDefault="00065C53" w:rsidP="004373AD">
      <w:pPr>
        <w:pStyle w:val="Item1"/>
        <w:numPr>
          <w:ilvl w:val="4"/>
          <w:numId w:val="18"/>
        </w:numPr>
        <w:tabs>
          <w:tab w:val="clear" w:pos="3840"/>
          <w:tab w:val="num" w:pos="2160"/>
        </w:tabs>
        <w:spacing w:line="440" w:lineRule="exact"/>
        <w:ind w:leftChars="0" w:left="2160" w:firstLineChars="0" w:hanging="360"/>
        <w:jc w:val="both"/>
        <w:rPr>
          <w:rFonts w:ascii="Book Antiqua" w:hAnsi="Book Antiqua"/>
          <w:color w:val="000000" w:themeColor="text1"/>
          <w:sz w:val="24"/>
        </w:rPr>
      </w:pPr>
      <w:r w:rsidRPr="00E224E9">
        <w:rPr>
          <w:rFonts w:ascii="Book Antiqua" w:hAnsi="Book Antiqua"/>
          <w:color w:val="000000" w:themeColor="text1"/>
          <w:sz w:val="24"/>
        </w:rPr>
        <w:t>固定收益特別股：</w:t>
      </w:r>
    </w:p>
    <w:p w14:paraId="0C5DF6B0" w14:textId="77777777" w:rsidR="00065C53" w:rsidRPr="00E224E9" w:rsidRDefault="00065C53">
      <w:pPr>
        <w:pStyle w:val="Item1"/>
        <w:spacing w:line="440" w:lineRule="exact"/>
        <w:ind w:leftChars="0" w:left="2160" w:firstLineChars="0" w:firstLine="0"/>
        <w:jc w:val="both"/>
        <w:rPr>
          <w:rFonts w:ascii="Book Antiqua" w:hAnsi="Book Antiqua"/>
          <w:color w:val="000000" w:themeColor="text1"/>
          <w:sz w:val="24"/>
        </w:rPr>
      </w:pPr>
      <w:r w:rsidRPr="00E224E9">
        <w:rPr>
          <w:rFonts w:ascii="Book Antiqua" w:hAnsi="Book Antiqua"/>
          <w:color w:val="000000" w:themeColor="text1"/>
          <w:sz w:val="24"/>
        </w:rPr>
        <w:t>按其信用評等等級填報於「表</w:t>
      </w:r>
      <w:r w:rsidRPr="00E224E9">
        <w:rPr>
          <w:rFonts w:ascii="Book Antiqua" w:hAnsi="Book Antiqua"/>
          <w:color w:val="000000" w:themeColor="text1"/>
          <w:sz w:val="24"/>
        </w:rPr>
        <w:t>30-3-2</w:t>
      </w:r>
      <w:r w:rsidRPr="00E224E9">
        <w:rPr>
          <w:rFonts w:ascii="Book Antiqua" w:hAnsi="Book Antiqua"/>
          <w:color w:val="000000" w:themeColor="text1"/>
          <w:sz w:val="24"/>
        </w:rPr>
        <w:t>：</w:t>
      </w:r>
      <w:r w:rsidRPr="00E224E9">
        <w:rPr>
          <w:rFonts w:ascii="Book Antiqua" w:hAnsi="Book Antiqua"/>
          <w:color w:val="000000" w:themeColor="text1"/>
          <w:sz w:val="24"/>
        </w:rPr>
        <w:t>C1b</w:t>
      </w:r>
      <w:r w:rsidRPr="00E224E9">
        <w:rPr>
          <w:rFonts w:ascii="Book Antiqua" w:hAnsi="Book Antiqua"/>
          <w:color w:val="000000" w:themeColor="text1"/>
          <w:sz w:val="24"/>
        </w:rPr>
        <w:t>：國外資產風險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非關係人信用風險計算表」並依其所對應之風險係數據以計算風險資本額。</w:t>
      </w:r>
    </w:p>
    <w:p w14:paraId="0BCD72C4" w14:textId="77777777" w:rsidR="00065C53" w:rsidRPr="00E224E9" w:rsidRDefault="00065C53">
      <w:pPr>
        <w:pStyle w:val="Item1"/>
        <w:spacing w:line="440" w:lineRule="exact"/>
        <w:ind w:leftChars="0" w:left="2160" w:firstLineChars="0" w:firstLine="0"/>
        <w:jc w:val="both"/>
        <w:rPr>
          <w:rFonts w:ascii="Book Antiqua" w:hAnsi="Book Antiqua"/>
          <w:color w:val="000000" w:themeColor="text1"/>
          <w:sz w:val="24"/>
        </w:rPr>
      </w:pPr>
    </w:p>
    <w:p w14:paraId="63B87EDA" w14:textId="77777777" w:rsidR="00065C53" w:rsidRPr="00E224E9" w:rsidRDefault="00065C53" w:rsidP="004373AD">
      <w:pPr>
        <w:pStyle w:val="Item1"/>
        <w:numPr>
          <w:ilvl w:val="4"/>
          <w:numId w:val="18"/>
        </w:numPr>
        <w:tabs>
          <w:tab w:val="clear" w:pos="3840"/>
          <w:tab w:val="num" w:pos="2160"/>
        </w:tabs>
        <w:spacing w:line="440" w:lineRule="exact"/>
        <w:ind w:leftChars="0" w:firstLineChars="0" w:hanging="2040"/>
        <w:jc w:val="both"/>
        <w:rPr>
          <w:rFonts w:ascii="Book Antiqua" w:hAnsi="Book Antiqua"/>
          <w:color w:val="000000" w:themeColor="text1"/>
          <w:sz w:val="24"/>
        </w:rPr>
      </w:pPr>
      <w:r w:rsidRPr="00E224E9">
        <w:rPr>
          <w:rFonts w:ascii="Book Antiqua" w:hAnsi="Book Antiqua"/>
          <w:color w:val="000000" w:themeColor="text1"/>
          <w:sz w:val="24"/>
        </w:rPr>
        <w:t>非固定收益特別股：</w:t>
      </w:r>
    </w:p>
    <w:p w14:paraId="37E74D22" w14:textId="77777777" w:rsidR="00065C53" w:rsidRPr="00E224E9" w:rsidRDefault="00065C53">
      <w:pPr>
        <w:pStyle w:val="Item1"/>
        <w:spacing w:line="440" w:lineRule="exact"/>
        <w:ind w:leftChars="0" w:left="2160" w:firstLineChars="0" w:firstLine="0"/>
        <w:jc w:val="both"/>
        <w:rPr>
          <w:rFonts w:ascii="Book Antiqua" w:hAnsi="Book Antiqua"/>
          <w:color w:val="000000" w:themeColor="text1"/>
          <w:sz w:val="24"/>
        </w:rPr>
      </w:pPr>
      <w:r w:rsidRPr="00E224E9">
        <w:rPr>
          <w:rFonts w:ascii="Book Antiqua" w:hAnsi="Book Antiqua"/>
          <w:color w:val="000000" w:themeColor="text1"/>
          <w:sz w:val="24"/>
        </w:rPr>
        <w:t>「非固定收益特別股」之風險部位金額則比照普通股之填報原則，亦即按「表</w:t>
      </w:r>
      <w:r w:rsidRPr="00E224E9">
        <w:rPr>
          <w:rFonts w:ascii="Book Antiqua" w:hAnsi="Book Antiqua"/>
          <w:color w:val="000000" w:themeColor="text1"/>
          <w:sz w:val="24"/>
        </w:rPr>
        <w:t>10-4</w:t>
      </w:r>
      <w:r w:rsidRPr="00E224E9">
        <w:rPr>
          <w:rFonts w:ascii="Book Antiqua" w:hAnsi="Book Antiqua"/>
          <w:color w:val="000000" w:themeColor="text1"/>
          <w:sz w:val="24"/>
        </w:rPr>
        <w:t>：非關係人股票投資明細表」之相關欄位金額填報，並依其所對應之風險係數計算風險資本額。</w:t>
      </w:r>
    </w:p>
    <w:p w14:paraId="3F86E652" w14:textId="77777777" w:rsidR="00065C53" w:rsidRPr="00E224E9" w:rsidRDefault="00065C53">
      <w:pPr>
        <w:pStyle w:val="Item1"/>
        <w:spacing w:line="440" w:lineRule="exact"/>
        <w:ind w:leftChars="0" w:left="2160" w:firstLineChars="0" w:firstLine="0"/>
        <w:jc w:val="both"/>
        <w:rPr>
          <w:rFonts w:ascii="Book Antiqua" w:hAnsi="Book Antiqua"/>
          <w:color w:val="000000" w:themeColor="text1"/>
          <w:sz w:val="24"/>
        </w:rPr>
      </w:pPr>
    </w:p>
    <w:p w14:paraId="353EB0E1"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受益憑證及信託資金</w:t>
      </w:r>
    </w:p>
    <w:p w14:paraId="41148074" w14:textId="77777777" w:rsidR="0052588C" w:rsidRPr="00E224E9" w:rsidRDefault="0052588C">
      <w:pPr>
        <w:pStyle w:val="Item1"/>
        <w:spacing w:line="440" w:lineRule="exact"/>
        <w:ind w:leftChars="0" w:left="1440" w:firstLineChars="0" w:firstLine="0"/>
        <w:jc w:val="both"/>
        <w:rPr>
          <w:rFonts w:ascii="Book Antiqua" w:hAnsi="Book Antiqua"/>
          <w:color w:val="000000" w:themeColor="text1"/>
          <w:sz w:val="24"/>
        </w:rPr>
      </w:pPr>
      <w:r w:rsidRPr="00E224E9">
        <w:rPr>
          <w:rFonts w:ascii="Book Antiqua" w:hAnsi="Book Antiqua" w:hint="eastAsia"/>
          <w:color w:val="000000" w:themeColor="text1"/>
          <w:sz w:val="24"/>
        </w:rPr>
        <w:t>此類別依該基金之投資組合內容再細分為「股票型共同基金」、「債券型共同基金」及「平衡型共同基金</w:t>
      </w:r>
      <w:r w:rsidR="008104D8" w:rsidRPr="00E224E9">
        <w:rPr>
          <w:rFonts w:ascii="Book Antiqua" w:hAnsi="Book Antiqua" w:hint="eastAsia"/>
          <w:color w:val="000000" w:themeColor="text1"/>
          <w:sz w:val="24"/>
        </w:rPr>
        <w:t>及多重資產型基金</w:t>
      </w:r>
      <w:r w:rsidRPr="00E224E9">
        <w:rPr>
          <w:rFonts w:ascii="Book Antiqua" w:hAnsi="Book Antiqua" w:hint="eastAsia"/>
          <w:color w:val="000000" w:themeColor="text1"/>
          <w:sz w:val="24"/>
        </w:rPr>
        <w:t>」、「貨幣型共同基金」</w:t>
      </w:r>
      <w:r w:rsidR="00572835" w:rsidRPr="00E224E9">
        <w:rPr>
          <w:rFonts w:ascii="Book Antiqua" w:hAnsi="Book Antiqua" w:hint="eastAsia"/>
          <w:color w:val="000000" w:themeColor="text1"/>
          <w:sz w:val="24"/>
        </w:rPr>
        <w:t>、「私募股權基金」</w:t>
      </w:r>
      <w:r w:rsidR="00944AD4" w:rsidRPr="00E224E9">
        <w:rPr>
          <w:rFonts w:ascii="Book Antiqua" w:hAnsi="Book Antiqua" w:hint="eastAsia"/>
          <w:color w:val="000000" w:themeColor="text1"/>
          <w:sz w:val="24"/>
        </w:rPr>
        <w:t>、「私募債權基金」、「不動產私募基金」、「基礎建設型共同基金</w:t>
      </w:r>
      <w:r w:rsidR="00944AD4" w:rsidRPr="00E224E9">
        <w:rPr>
          <w:rFonts w:ascii="Book Antiqua" w:hAnsi="Book Antiqua" w:hint="eastAsia"/>
          <w:color w:val="000000" w:themeColor="text1"/>
          <w:sz w:val="24"/>
        </w:rPr>
        <w:t>(</w:t>
      </w:r>
      <w:r w:rsidR="00944AD4" w:rsidRPr="00E224E9">
        <w:rPr>
          <w:rFonts w:ascii="Book Antiqua" w:hAnsi="Book Antiqua" w:hint="eastAsia"/>
          <w:color w:val="000000" w:themeColor="text1"/>
          <w:sz w:val="24"/>
        </w:rPr>
        <w:t>已開發國家</w:t>
      </w:r>
      <w:r w:rsidR="00944AD4" w:rsidRPr="00E224E9">
        <w:rPr>
          <w:rFonts w:ascii="Book Antiqua" w:hAnsi="Book Antiqua" w:hint="eastAsia"/>
          <w:color w:val="000000" w:themeColor="text1"/>
          <w:sz w:val="24"/>
        </w:rPr>
        <w:t>)</w:t>
      </w:r>
      <w:r w:rsidR="00944AD4"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等細項。另，各類受益憑證風險資本額之計算方式分別說明如下：</w:t>
      </w:r>
      <w:r w:rsidRPr="00E224E9">
        <w:rPr>
          <w:rFonts w:ascii="Book Antiqua" w:hAnsi="Book Antiqua" w:hint="eastAsia"/>
          <w:color w:val="000000" w:themeColor="text1"/>
          <w:sz w:val="24"/>
        </w:rPr>
        <w:tab/>
      </w:r>
    </w:p>
    <w:p w14:paraId="4A90BE61" w14:textId="77777777" w:rsidR="0052588C" w:rsidRPr="00E224E9" w:rsidRDefault="0052588C" w:rsidP="004373AD">
      <w:pPr>
        <w:pStyle w:val="Item1"/>
        <w:numPr>
          <w:ilvl w:val="2"/>
          <w:numId w:val="17"/>
        </w:numPr>
        <w:spacing w:line="440" w:lineRule="exact"/>
        <w:ind w:leftChars="0" w:firstLineChars="0" w:hanging="22"/>
        <w:jc w:val="both"/>
        <w:rPr>
          <w:rFonts w:ascii="Book Antiqua" w:hAnsi="Book Antiqua"/>
          <w:color w:val="000000" w:themeColor="text1"/>
          <w:sz w:val="24"/>
        </w:rPr>
      </w:pPr>
      <w:r w:rsidRPr="00E224E9">
        <w:rPr>
          <w:rFonts w:ascii="Book Antiqua" w:hAnsi="Book Antiqua" w:hint="eastAsia"/>
          <w:color w:val="000000" w:themeColor="text1"/>
          <w:sz w:val="24"/>
        </w:rPr>
        <w:t>「股票型共同基金」</w:t>
      </w:r>
    </w:p>
    <w:p w14:paraId="2DE459B8" w14:textId="77777777" w:rsidR="0052588C" w:rsidRPr="00E224E9" w:rsidRDefault="0052588C" w:rsidP="00460EE8">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hint="eastAsia"/>
          <w:color w:val="000000" w:themeColor="text1"/>
          <w:sz w:val="24"/>
        </w:rPr>
        <w:t>按「表</w:t>
      </w:r>
      <w:r w:rsidRPr="00E224E9">
        <w:rPr>
          <w:rFonts w:ascii="Book Antiqua" w:hAnsi="Book Antiqua" w:hint="eastAsia"/>
          <w:color w:val="000000" w:themeColor="text1"/>
          <w:sz w:val="24"/>
        </w:rPr>
        <w:t>12-2</w:t>
      </w:r>
      <w:r w:rsidRPr="00E224E9">
        <w:rPr>
          <w:rFonts w:ascii="Book Antiqua" w:hAnsi="Book Antiqua" w:hint="eastAsia"/>
          <w:color w:val="000000" w:themeColor="text1"/>
          <w:sz w:val="24"/>
        </w:rPr>
        <w:t>：受益憑證及國外表彰基金餘額明細表</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總計</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」相關欄位金額加計「表</w:t>
      </w:r>
      <w:r w:rsidRPr="00E224E9">
        <w:rPr>
          <w:rFonts w:ascii="Book Antiqua" w:hAnsi="Book Antiqua" w:hint="eastAsia"/>
          <w:color w:val="000000" w:themeColor="text1"/>
          <w:sz w:val="24"/>
        </w:rPr>
        <w:t>30-14-1</w:t>
      </w:r>
      <w:r w:rsidRPr="00E224E9">
        <w:rPr>
          <w:rFonts w:ascii="Book Antiqua" w:hAnsi="Book Antiqua" w:hint="eastAsia"/>
          <w:color w:val="000000" w:themeColor="text1"/>
          <w:sz w:val="24"/>
        </w:rPr>
        <w:t>：公司上市股票及基金β值計算表」國內發行其投資區域包含國外之股票型共同基金帳載價值後之數額，乘以其所對應之風險係數計算風險資本額。</w:t>
      </w:r>
    </w:p>
    <w:p w14:paraId="2C52B073" w14:textId="77777777" w:rsidR="002B123D" w:rsidRPr="00E224E9" w:rsidRDefault="002B123D" w:rsidP="004373AD">
      <w:pPr>
        <w:pStyle w:val="Item1"/>
        <w:numPr>
          <w:ilvl w:val="2"/>
          <w:numId w:val="17"/>
        </w:numPr>
        <w:spacing w:line="440" w:lineRule="exact"/>
        <w:ind w:leftChars="0" w:firstLineChars="0" w:hanging="22"/>
        <w:jc w:val="both"/>
        <w:rPr>
          <w:rFonts w:ascii="Book Antiqua" w:hAnsi="Book Antiqua"/>
          <w:color w:val="000000" w:themeColor="text1"/>
          <w:sz w:val="24"/>
        </w:rPr>
      </w:pPr>
      <w:r w:rsidRPr="00E224E9">
        <w:rPr>
          <w:rFonts w:ascii="Book Antiqua" w:hAnsi="Book Antiqua" w:hint="eastAsia"/>
          <w:color w:val="000000" w:themeColor="text1"/>
          <w:sz w:val="24"/>
        </w:rPr>
        <w:t>「債券型共同基金」</w:t>
      </w:r>
    </w:p>
    <w:p w14:paraId="7B4805FD" w14:textId="77777777" w:rsidR="002B123D" w:rsidRPr="00E224E9" w:rsidRDefault="002B123D" w:rsidP="00460EE8">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hint="eastAsia"/>
          <w:color w:val="000000" w:themeColor="text1"/>
          <w:sz w:val="24"/>
        </w:rPr>
        <w:t>按「表</w:t>
      </w:r>
      <w:r w:rsidRPr="00E224E9">
        <w:rPr>
          <w:rFonts w:ascii="Book Antiqua" w:hAnsi="Book Antiqua" w:hint="eastAsia"/>
          <w:color w:val="000000" w:themeColor="text1"/>
          <w:sz w:val="24"/>
        </w:rPr>
        <w:t>12-2</w:t>
      </w:r>
      <w:r w:rsidRPr="00E224E9">
        <w:rPr>
          <w:rFonts w:ascii="Book Antiqua" w:hAnsi="Book Antiqua" w:hint="eastAsia"/>
          <w:color w:val="000000" w:themeColor="text1"/>
          <w:sz w:val="24"/>
        </w:rPr>
        <w:t>：受益憑證及國外表彰基金餘額明細表</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總計</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」相關欄位金額加計「表</w:t>
      </w:r>
      <w:r w:rsidRPr="00E224E9">
        <w:rPr>
          <w:rFonts w:ascii="Book Antiqua" w:hAnsi="Book Antiqua" w:hint="eastAsia"/>
          <w:color w:val="000000" w:themeColor="text1"/>
          <w:sz w:val="24"/>
        </w:rPr>
        <w:t>30-14-1</w:t>
      </w:r>
      <w:r w:rsidRPr="00E224E9">
        <w:rPr>
          <w:rFonts w:ascii="Book Antiqua" w:hAnsi="Book Antiqua" w:hint="eastAsia"/>
          <w:color w:val="000000" w:themeColor="text1"/>
          <w:sz w:val="24"/>
        </w:rPr>
        <w:t>：公司上市股票及基金β值計算表」國內發行其投資區域包含國外之債券型共同基金帳載價值後之數額，乘以其所對應之風險係數計算風險資本額。</w:t>
      </w:r>
    </w:p>
    <w:p w14:paraId="151AAF6D" w14:textId="77777777" w:rsidR="0052588C" w:rsidRPr="00E224E9" w:rsidRDefault="0052588C" w:rsidP="004373AD">
      <w:pPr>
        <w:pStyle w:val="Item1"/>
        <w:numPr>
          <w:ilvl w:val="2"/>
          <w:numId w:val="17"/>
        </w:numPr>
        <w:spacing w:line="440" w:lineRule="exact"/>
        <w:ind w:leftChars="0" w:firstLineChars="0" w:hanging="22"/>
        <w:jc w:val="both"/>
        <w:rPr>
          <w:rFonts w:ascii="Book Antiqua" w:hAnsi="Book Antiqua"/>
          <w:color w:val="000000" w:themeColor="text1"/>
          <w:sz w:val="24"/>
        </w:rPr>
      </w:pPr>
      <w:r w:rsidRPr="00E224E9">
        <w:rPr>
          <w:rFonts w:ascii="Book Antiqua" w:hAnsi="Book Antiqua" w:hint="eastAsia"/>
          <w:color w:val="000000" w:themeColor="text1"/>
          <w:sz w:val="24"/>
        </w:rPr>
        <w:t>「平衡型共同基金</w:t>
      </w:r>
      <w:r w:rsidR="008104D8" w:rsidRPr="00E224E9">
        <w:rPr>
          <w:rFonts w:ascii="Book Antiqua" w:hAnsi="Book Antiqua" w:hint="eastAsia"/>
          <w:color w:val="000000" w:themeColor="text1"/>
          <w:sz w:val="24"/>
        </w:rPr>
        <w:t>及多重資產型基金</w:t>
      </w:r>
      <w:r w:rsidRPr="00E224E9">
        <w:rPr>
          <w:rFonts w:ascii="Book Antiqua" w:hAnsi="Book Antiqua" w:hint="eastAsia"/>
          <w:color w:val="000000" w:themeColor="text1"/>
          <w:sz w:val="24"/>
        </w:rPr>
        <w:t>」</w:t>
      </w:r>
    </w:p>
    <w:p w14:paraId="3BC8AD75" w14:textId="5C036F9A" w:rsidR="0052588C" w:rsidRPr="00E224E9" w:rsidRDefault="0052588C" w:rsidP="00460EE8">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hint="eastAsia"/>
          <w:color w:val="000000" w:themeColor="text1"/>
          <w:sz w:val="24"/>
        </w:rPr>
        <w:t>按「表</w:t>
      </w:r>
      <w:r w:rsidRPr="00E224E9">
        <w:rPr>
          <w:rFonts w:ascii="Book Antiqua" w:hAnsi="Book Antiqua" w:hint="eastAsia"/>
          <w:color w:val="000000" w:themeColor="text1"/>
          <w:sz w:val="24"/>
        </w:rPr>
        <w:t>12-2</w:t>
      </w:r>
      <w:r w:rsidRPr="00E224E9">
        <w:rPr>
          <w:rFonts w:ascii="Book Antiqua" w:hAnsi="Book Antiqua" w:hint="eastAsia"/>
          <w:color w:val="000000" w:themeColor="text1"/>
          <w:sz w:val="24"/>
        </w:rPr>
        <w:t>：受益憑證及國外表彰基金餘額明細表</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總計</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」相關欄位金額加計「表</w:t>
      </w:r>
      <w:r w:rsidRPr="00E224E9">
        <w:rPr>
          <w:rFonts w:ascii="Book Antiqua" w:hAnsi="Book Antiqua" w:hint="eastAsia"/>
          <w:color w:val="000000" w:themeColor="text1"/>
          <w:sz w:val="24"/>
        </w:rPr>
        <w:t>30-14-1</w:t>
      </w:r>
      <w:r w:rsidRPr="00E224E9">
        <w:rPr>
          <w:rFonts w:ascii="Book Antiqua" w:hAnsi="Book Antiqua" w:hint="eastAsia"/>
          <w:color w:val="000000" w:themeColor="text1"/>
          <w:sz w:val="24"/>
        </w:rPr>
        <w:t>：公司上市股票及基金β值計算表」國內發行其投資區域包含國外之股票型共同基金帳載價值後之數額，乘以其所對應之風險係數計算風險資本額。</w:t>
      </w:r>
    </w:p>
    <w:p w14:paraId="6472D78B" w14:textId="100C259F" w:rsidR="00BB48EA" w:rsidRPr="00E224E9" w:rsidRDefault="00BB48EA" w:rsidP="004373AD">
      <w:pPr>
        <w:pStyle w:val="Item1"/>
        <w:numPr>
          <w:ilvl w:val="2"/>
          <w:numId w:val="17"/>
        </w:numPr>
        <w:spacing w:line="440" w:lineRule="exact"/>
        <w:ind w:leftChars="0" w:firstLineChars="0" w:hanging="22"/>
        <w:jc w:val="both"/>
        <w:rPr>
          <w:rFonts w:ascii="Book Antiqua" w:hAnsi="Book Antiqua"/>
          <w:color w:val="000000" w:themeColor="text1"/>
          <w:sz w:val="24"/>
        </w:rPr>
      </w:pPr>
      <w:r w:rsidRPr="00E224E9">
        <w:rPr>
          <w:rFonts w:ascii="Book Antiqua" w:hAnsi="Book Antiqua" w:hint="eastAsia"/>
          <w:color w:val="000000" w:themeColor="text1"/>
          <w:sz w:val="24"/>
        </w:rPr>
        <w:t>「私募股權基金」</w:t>
      </w:r>
    </w:p>
    <w:p w14:paraId="24C3E37D" w14:textId="46DC19A9" w:rsidR="00BB48EA" w:rsidRPr="00E224E9" w:rsidRDefault="00BB48EA" w:rsidP="00BB48EA">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hint="eastAsia"/>
          <w:color w:val="000000" w:themeColor="text1"/>
          <w:sz w:val="24"/>
        </w:rPr>
        <w:t>按「表</w:t>
      </w:r>
      <w:r w:rsidRPr="00E224E9">
        <w:rPr>
          <w:rFonts w:ascii="Book Antiqua" w:hAnsi="Book Antiqua" w:hint="eastAsia"/>
          <w:color w:val="000000" w:themeColor="text1"/>
          <w:sz w:val="24"/>
        </w:rPr>
        <w:t>12-2</w:t>
      </w:r>
      <w:r w:rsidRPr="00E224E9">
        <w:rPr>
          <w:rFonts w:ascii="Book Antiqua" w:hAnsi="Book Antiqua" w:hint="eastAsia"/>
          <w:color w:val="000000" w:themeColor="text1"/>
          <w:sz w:val="24"/>
        </w:rPr>
        <w:t>：受益憑證及國外表彰基金餘額明細表</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總計</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」相關欄位金額加計「表</w:t>
      </w:r>
      <w:r w:rsidRPr="00E224E9">
        <w:rPr>
          <w:rFonts w:ascii="Book Antiqua" w:hAnsi="Book Antiqua" w:hint="eastAsia"/>
          <w:color w:val="000000" w:themeColor="text1"/>
          <w:sz w:val="24"/>
        </w:rPr>
        <w:t>30-14-1</w:t>
      </w:r>
      <w:r w:rsidRPr="00E224E9">
        <w:rPr>
          <w:rFonts w:ascii="Book Antiqua" w:hAnsi="Book Antiqua" w:hint="eastAsia"/>
          <w:color w:val="000000" w:themeColor="text1"/>
          <w:sz w:val="24"/>
        </w:rPr>
        <w:t>：公司上市股票及基金β值計算表」國內發行其投資區域包含國外之私募基金帳載價值後之數額，乘以其所對應之風險係數計算風險資本額。</w:t>
      </w:r>
    </w:p>
    <w:p w14:paraId="1CB33893" w14:textId="5927FACA" w:rsidR="0052588C" w:rsidRPr="00E224E9" w:rsidRDefault="0052588C" w:rsidP="004373AD">
      <w:pPr>
        <w:pStyle w:val="Item1"/>
        <w:numPr>
          <w:ilvl w:val="2"/>
          <w:numId w:val="17"/>
        </w:numPr>
        <w:spacing w:line="440" w:lineRule="exact"/>
        <w:ind w:leftChars="0" w:firstLineChars="0" w:hanging="22"/>
        <w:jc w:val="both"/>
        <w:rPr>
          <w:rFonts w:ascii="Book Antiqua" w:hAnsi="Book Antiqua"/>
          <w:color w:val="000000" w:themeColor="text1"/>
          <w:sz w:val="24"/>
        </w:rPr>
      </w:pPr>
      <w:r w:rsidRPr="00E224E9">
        <w:rPr>
          <w:rFonts w:ascii="Book Antiqua" w:hAnsi="Book Antiqua"/>
          <w:color w:val="000000" w:themeColor="text1"/>
          <w:sz w:val="24"/>
        </w:rPr>
        <w:t>除上述</w:t>
      </w:r>
      <w:r w:rsidR="00944AD4" w:rsidRPr="00E224E9">
        <w:rPr>
          <w:rFonts w:ascii="Book Antiqua" w:hAnsi="Book Antiqua" w:hint="eastAsia"/>
          <w:color w:val="000000" w:themeColor="text1"/>
          <w:sz w:val="24"/>
        </w:rPr>
        <w:t>1</w:t>
      </w:r>
      <w:r w:rsidR="00216CB3" w:rsidRPr="00E224E9">
        <w:rPr>
          <w:rFonts w:ascii="Book Antiqua" w:hAnsi="Book Antiqua" w:hint="eastAsia"/>
          <w:color w:val="000000" w:themeColor="text1"/>
          <w:sz w:val="24"/>
        </w:rPr>
        <w:t>~</w:t>
      </w:r>
      <w:r w:rsidR="00BB48EA" w:rsidRPr="00E224E9">
        <w:rPr>
          <w:rFonts w:ascii="Book Antiqua" w:hAnsi="Book Antiqua" w:hint="eastAsia"/>
          <w:color w:val="000000" w:themeColor="text1"/>
          <w:sz w:val="24"/>
        </w:rPr>
        <w:t xml:space="preserve"> 4</w:t>
      </w:r>
      <w:r w:rsidRPr="00E224E9">
        <w:rPr>
          <w:rFonts w:ascii="Book Antiqua" w:hAnsi="Book Antiqua"/>
          <w:color w:val="000000" w:themeColor="text1"/>
          <w:sz w:val="24"/>
        </w:rPr>
        <w:t>以外之</w:t>
      </w:r>
      <w:r w:rsidR="00944AD4" w:rsidRPr="00E224E9">
        <w:rPr>
          <w:rFonts w:ascii="Book Antiqua" w:hAnsi="Book Antiqua" w:hint="eastAsia"/>
          <w:color w:val="000000" w:themeColor="text1"/>
          <w:sz w:val="24"/>
        </w:rPr>
        <w:t>受益憑證及國外表彰</w:t>
      </w:r>
      <w:r w:rsidRPr="00E224E9">
        <w:rPr>
          <w:rFonts w:ascii="Book Antiqua" w:hAnsi="Book Antiqua"/>
          <w:color w:val="000000" w:themeColor="text1"/>
          <w:sz w:val="24"/>
        </w:rPr>
        <w:t>基金</w:t>
      </w:r>
    </w:p>
    <w:p w14:paraId="228E156E" w14:textId="77777777" w:rsidR="0052588C" w:rsidRPr="00E224E9" w:rsidRDefault="0052588C" w:rsidP="00460EE8">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color w:val="000000" w:themeColor="text1"/>
          <w:sz w:val="24"/>
        </w:rPr>
        <w:t>按</w:t>
      </w:r>
      <w:r w:rsidR="005943A4" w:rsidRPr="00E224E9">
        <w:rPr>
          <w:rFonts w:ascii="Book Antiqua" w:hAnsi="Book Antiqua"/>
          <w:color w:val="000000" w:themeColor="text1"/>
          <w:sz w:val="24"/>
        </w:rPr>
        <w:t>「</w:t>
      </w:r>
      <w:r w:rsidR="005943A4" w:rsidRPr="00E224E9">
        <w:rPr>
          <w:rFonts w:ascii="Book Antiqua" w:hAnsi="Book Antiqua" w:hint="eastAsia"/>
          <w:color w:val="000000" w:themeColor="text1"/>
          <w:sz w:val="24"/>
        </w:rPr>
        <w:t>表</w:t>
      </w:r>
      <w:r w:rsidR="005943A4" w:rsidRPr="00E224E9">
        <w:rPr>
          <w:rFonts w:ascii="Book Antiqua" w:hAnsi="Book Antiqua" w:hint="eastAsia"/>
          <w:color w:val="000000" w:themeColor="text1"/>
          <w:sz w:val="24"/>
        </w:rPr>
        <w:t>05-1</w:t>
      </w:r>
      <w:r w:rsidR="005943A4" w:rsidRPr="00E224E9">
        <w:rPr>
          <w:rFonts w:ascii="Book Antiqua" w:hAnsi="Book Antiqua" w:hint="eastAsia"/>
          <w:color w:val="000000" w:themeColor="text1"/>
          <w:sz w:val="24"/>
        </w:rPr>
        <w:t>：資金運用表</w:t>
      </w:r>
      <w:r w:rsidR="005943A4" w:rsidRPr="00E224E9">
        <w:rPr>
          <w:rFonts w:ascii="Book Antiqua" w:hAnsi="Book Antiqua"/>
          <w:color w:val="000000" w:themeColor="text1"/>
          <w:sz w:val="24"/>
        </w:rPr>
        <w:t>」</w:t>
      </w:r>
      <w:r w:rsidR="00D64DAE" w:rsidRPr="00E224E9">
        <w:rPr>
          <w:rFonts w:ascii="Book Antiqua" w:hAnsi="Book Antiqua" w:hint="eastAsia"/>
          <w:color w:val="000000" w:themeColor="text1"/>
          <w:sz w:val="24"/>
        </w:rPr>
        <w:t>及</w:t>
      </w:r>
      <w:r w:rsidR="005943A4" w:rsidRPr="00E224E9">
        <w:rPr>
          <w:rFonts w:ascii="Book Antiqua" w:hAnsi="Book Antiqua"/>
          <w:color w:val="000000" w:themeColor="text1"/>
          <w:sz w:val="24"/>
        </w:rPr>
        <w:t>「</w:t>
      </w:r>
      <w:r w:rsidR="005943A4" w:rsidRPr="00E224E9">
        <w:rPr>
          <w:rFonts w:ascii="Book Antiqua" w:hAnsi="Book Antiqua" w:hint="eastAsia"/>
          <w:color w:val="000000" w:themeColor="text1"/>
          <w:sz w:val="24"/>
        </w:rPr>
        <w:t>表</w:t>
      </w:r>
      <w:r w:rsidR="005943A4" w:rsidRPr="00E224E9">
        <w:rPr>
          <w:rFonts w:ascii="Book Antiqua" w:hAnsi="Book Antiqua" w:hint="eastAsia"/>
          <w:color w:val="000000" w:themeColor="text1"/>
          <w:sz w:val="24"/>
        </w:rPr>
        <w:t>12-2</w:t>
      </w:r>
      <w:r w:rsidR="005943A4" w:rsidRPr="00E224E9">
        <w:rPr>
          <w:rFonts w:ascii="Book Antiqua" w:hAnsi="Book Antiqua" w:hint="eastAsia"/>
          <w:color w:val="000000" w:themeColor="text1"/>
          <w:sz w:val="24"/>
        </w:rPr>
        <w:t>：受益憑證及國外表彰基金餘額明細表</w:t>
      </w:r>
      <w:r w:rsidR="005943A4" w:rsidRPr="00E224E9">
        <w:rPr>
          <w:rFonts w:ascii="Book Antiqua" w:hAnsi="Book Antiqua" w:hint="eastAsia"/>
          <w:color w:val="000000" w:themeColor="text1"/>
          <w:sz w:val="24"/>
        </w:rPr>
        <w:t>(</w:t>
      </w:r>
      <w:r w:rsidR="005943A4" w:rsidRPr="00E224E9">
        <w:rPr>
          <w:rFonts w:ascii="Book Antiqua" w:hAnsi="Book Antiqua" w:hint="eastAsia"/>
          <w:color w:val="000000" w:themeColor="text1"/>
          <w:sz w:val="24"/>
        </w:rPr>
        <w:t>總計</w:t>
      </w:r>
      <w:r w:rsidR="005943A4" w:rsidRPr="00E224E9">
        <w:rPr>
          <w:rFonts w:ascii="Book Antiqua" w:hAnsi="Book Antiqua" w:hint="eastAsia"/>
          <w:color w:val="000000" w:themeColor="text1"/>
          <w:sz w:val="24"/>
        </w:rPr>
        <w:t>)</w:t>
      </w:r>
      <w:r w:rsidR="005943A4" w:rsidRPr="00E224E9">
        <w:rPr>
          <w:rFonts w:ascii="Book Antiqua" w:hAnsi="Book Antiqua"/>
          <w:color w:val="000000" w:themeColor="text1"/>
          <w:sz w:val="24"/>
        </w:rPr>
        <w:t>」</w:t>
      </w:r>
      <w:r w:rsidRPr="00E224E9">
        <w:rPr>
          <w:rFonts w:ascii="Book Antiqua" w:hAnsi="Book Antiqua"/>
          <w:color w:val="000000" w:themeColor="text1"/>
          <w:sz w:val="24"/>
        </w:rPr>
        <w:t>之相關欄位金額，乘以其所對應之風險係數計算風險資本額。</w:t>
      </w:r>
    </w:p>
    <w:p w14:paraId="3FD8CF03" w14:textId="77777777" w:rsidR="00065C53" w:rsidRPr="00E224E9" w:rsidRDefault="00065C53">
      <w:pPr>
        <w:pStyle w:val="Item1"/>
        <w:spacing w:line="440" w:lineRule="exact"/>
        <w:ind w:leftChars="0" w:left="1440" w:firstLineChars="0" w:firstLine="0"/>
        <w:jc w:val="both"/>
        <w:rPr>
          <w:rFonts w:ascii="Book Antiqua" w:hAnsi="Book Antiqua"/>
          <w:color w:val="000000" w:themeColor="text1"/>
          <w:sz w:val="24"/>
        </w:rPr>
      </w:pPr>
    </w:p>
    <w:p w14:paraId="7B8A8CD0" w14:textId="77777777" w:rsidR="00065C53" w:rsidRPr="00E224E9" w:rsidRDefault="00065C53">
      <w:pPr>
        <w:pStyle w:val="Item1"/>
        <w:spacing w:line="440" w:lineRule="exact"/>
        <w:ind w:leftChars="0" w:left="1440" w:firstLineChars="0" w:firstLine="0"/>
        <w:jc w:val="both"/>
        <w:rPr>
          <w:rFonts w:ascii="Book Antiqua" w:hAnsi="Book Antiqua"/>
          <w:color w:val="000000" w:themeColor="text1"/>
          <w:sz w:val="24"/>
        </w:rPr>
      </w:pPr>
      <w:r w:rsidRPr="00E224E9">
        <w:rPr>
          <w:rFonts w:ascii="Book Antiqua" w:hAnsi="Book Antiqua"/>
          <w:color w:val="000000" w:themeColor="text1"/>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BA2EB6" w:rsidRPr="00E224E9">
        <w:rPr>
          <w:rFonts w:ascii="Book Antiqua" w:hAnsi="Book Antiqua"/>
          <w:color w:val="000000" w:themeColor="text1"/>
          <w:sz w:val="24"/>
        </w:rPr>
        <w:t>已開發國家</w:t>
      </w:r>
      <w:r w:rsidRPr="00E224E9">
        <w:rPr>
          <w:rFonts w:ascii="Book Antiqua" w:hAnsi="Book Antiqua"/>
          <w:color w:val="000000" w:themeColor="text1"/>
          <w:sz w:val="24"/>
        </w:rPr>
        <w:t>時，原則上歸入</w:t>
      </w:r>
      <w:r w:rsidR="00BA2EB6" w:rsidRPr="00E224E9">
        <w:rPr>
          <w:rFonts w:ascii="Book Antiqua" w:hAnsi="Book Antiqua"/>
          <w:color w:val="000000" w:themeColor="text1"/>
          <w:sz w:val="24"/>
        </w:rPr>
        <w:t>新興市場</w:t>
      </w:r>
      <w:r w:rsidRPr="00E224E9">
        <w:rPr>
          <w:rFonts w:ascii="Book Antiqua" w:hAnsi="Book Antiqua"/>
          <w:color w:val="000000" w:themeColor="text1"/>
          <w:sz w:val="24"/>
        </w:rPr>
        <w:t>。然徜若保險業能夠提出明確證據，顯示其投資組合之投資標的投資於</w:t>
      </w:r>
      <w:r w:rsidR="00BA2EB6" w:rsidRPr="00E224E9">
        <w:rPr>
          <w:rFonts w:ascii="Book Antiqua" w:hAnsi="Book Antiqua"/>
          <w:color w:val="000000" w:themeColor="text1"/>
          <w:sz w:val="24"/>
        </w:rPr>
        <w:t>已開發國家</w:t>
      </w:r>
      <w:r w:rsidRPr="00E224E9">
        <w:rPr>
          <w:rFonts w:ascii="Book Antiqua" w:hAnsi="Book Antiqua"/>
          <w:color w:val="000000" w:themeColor="text1"/>
          <w:sz w:val="24"/>
        </w:rPr>
        <w:t>之比例佔百分之五十以上時，則得以歸入</w:t>
      </w:r>
      <w:r w:rsidR="00BA2EB6" w:rsidRPr="00E224E9">
        <w:rPr>
          <w:rFonts w:ascii="Book Antiqua" w:hAnsi="Book Antiqua"/>
          <w:color w:val="000000" w:themeColor="text1"/>
          <w:sz w:val="24"/>
        </w:rPr>
        <w:t>已開發國家</w:t>
      </w:r>
      <w:r w:rsidRPr="00E224E9">
        <w:rPr>
          <w:rFonts w:ascii="Book Antiqua" w:hAnsi="Book Antiqua"/>
          <w:color w:val="000000" w:themeColor="text1"/>
          <w:sz w:val="24"/>
        </w:rPr>
        <w:t>。</w:t>
      </w:r>
    </w:p>
    <w:p w14:paraId="0D4908E4" w14:textId="77777777" w:rsidR="00065C53" w:rsidRPr="00E224E9" w:rsidRDefault="00065C53">
      <w:pPr>
        <w:pStyle w:val="Item1"/>
        <w:spacing w:line="440" w:lineRule="exact"/>
        <w:ind w:leftChars="0" w:left="900" w:firstLineChars="225" w:firstLine="540"/>
        <w:jc w:val="both"/>
        <w:rPr>
          <w:rFonts w:ascii="Book Antiqua" w:hAnsi="Book Antiqua"/>
          <w:color w:val="000000" w:themeColor="text1"/>
          <w:sz w:val="24"/>
        </w:rPr>
      </w:pPr>
    </w:p>
    <w:p w14:paraId="45E6DA16"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放款</w:t>
      </w:r>
    </w:p>
    <w:p w14:paraId="44494DDE" w14:textId="77777777" w:rsidR="00065C53" w:rsidRPr="00E224E9" w:rsidRDefault="00065C53">
      <w:pPr>
        <w:pStyle w:val="Item1"/>
        <w:spacing w:line="440" w:lineRule="exact"/>
        <w:ind w:leftChars="0" w:left="1440" w:firstLineChars="0" w:hanging="1"/>
        <w:jc w:val="both"/>
        <w:rPr>
          <w:rFonts w:ascii="Book Antiqua" w:hAnsi="Book Antiqua"/>
          <w:color w:val="000000" w:themeColor="text1"/>
          <w:sz w:val="24"/>
        </w:rPr>
      </w:pPr>
      <w:r w:rsidRPr="00E224E9">
        <w:rPr>
          <w:rFonts w:ascii="Book Antiqua" w:hAnsi="Book Antiqua"/>
          <w:color w:val="000000" w:themeColor="text1"/>
          <w:sz w:val="24"/>
        </w:rPr>
        <w:t>又區分為「外幣保單放款」及「其他放款」兩項，均按「表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：資金運用表」之相關欄位金額，乘以其所對應之風險係數計算風險資本額。</w:t>
      </w:r>
    </w:p>
    <w:p w14:paraId="4B3D0940" w14:textId="77777777" w:rsidR="00065C53" w:rsidRPr="00E224E9" w:rsidRDefault="00065C53">
      <w:pPr>
        <w:pStyle w:val="Item1"/>
        <w:spacing w:line="440" w:lineRule="exact"/>
        <w:ind w:leftChars="0" w:left="900" w:firstLineChars="225" w:firstLine="540"/>
        <w:jc w:val="both"/>
        <w:rPr>
          <w:rFonts w:ascii="Book Antiqua" w:hAnsi="Book Antiqua"/>
          <w:color w:val="000000" w:themeColor="text1"/>
          <w:sz w:val="24"/>
        </w:rPr>
      </w:pPr>
    </w:p>
    <w:p w14:paraId="7F98C0A6"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不動產</w:t>
      </w:r>
    </w:p>
    <w:p w14:paraId="2223AFCB" w14:textId="1F51A393"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13-2</w:t>
      </w:r>
      <w:r w:rsidRPr="00E224E9">
        <w:rPr>
          <w:rFonts w:ascii="Book Antiqua" w:hAnsi="Book Antiqua"/>
          <w:color w:val="000000" w:themeColor="text1"/>
          <w:sz w:val="24"/>
        </w:rPr>
        <w:t>：不動產餘額明細表</w:t>
      </w:r>
      <w:r w:rsidRPr="00E224E9">
        <w:rPr>
          <w:rFonts w:ascii="Book Antiqua" w:hAnsi="Book Antiqua"/>
          <w:color w:val="000000" w:themeColor="text1"/>
          <w:sz w:val="24"/>
        </w:rPr>
        <w:t>(</w:t>
      </w:r>
      <w:r w:rsidRPr="00E224E9">
        <w:rPr>
          <w:rFonts w:ascii="Book Antiqua" w:hAnsi="Book Antiqua"/>
          <w:color w:val="000000" w:themeColor="text1"/>
          <w:sz w:val="24"/>
        </w:rPr>
        <w:t>總計</w:t>
      </w:r>
      <w:r w:rsidRPr="00E224E9">
        <w:rPr>
          <w:rFonts w:ascii="Book Antiqua" w:hAnsi="Book Antiqua"/>
          <w:color w:val="000000" w:themeColor="text1"/>
          <w:sz w:val="24"/>
        </w:rPr>
        <w:t>)</w:t>
      </w:r>
      <w:r w:rsidRPr="00E224E9">
        <w:rPr>
          <w:rFonts w:ascii="Book Antiqua" w:hAnsi="Book Antiqua"/>
          <w:color w:val="000000" w:themeColor="text1"/>
          <w:sz w:val="24"/>
        </w:rPr>
        <w:t>」之相關欄位金額加計</w:t>
      </w:r>
      <w:r w:rsidRPr="00E224E9">
        <w:rPr>
          <w:rFonts w:ascii="Book Antiqua" w:hAnsi="Book Antiqua"/>
          <w:color w:val="000000" w:themeColor="text1"/>
          <w:spacing w:val="10"/>
          <w:sz w:val="24"/>
        </w:rPr>
        <w:t>「表</w:t>
      </w:r>
      <w:r w:rsidRPr="00E224E9">
        <w:rPr>
          <w:rFonts w:ascii="Book Antiqua" w:hAnsi="Book Antiqua"/>
          <w:color w:val="000000" w:themeColor="text1"/>
          <w:spacing w:val="10"/>
          <w:sz w:val="24"/>
        </w:rPr>
        <w:t>30-7-3</w:t>
      </w:r>
      <w:r w:rsidRPr="00E224E9">
        <w:rPr>
          <w:rFonts w:ascii="Book Antiqua" w:hAnsi="Book Antiqua"/>
          <w:color w:val="000000" w:themeColor="text1"/>
          <w:spacing w:val="10"/>
          <w:sz w:val="24"/>
        </w:rPr>
        <w:t>：不動產投資採</w:t>
      </w:r>
      <w:r w:rsidR="00A65DB4" w:rsidRPr="00E224E9">
        <w:rPr>
          <w:rFonts w:ascii="Book Antiqua" w:hAnsi="Book Antiqua"/>
          <w:color w:val="000000" w:themeColor="text1"/>
          <w:spacing w:val="10"/>
          <w:sz w:val="24"/>
        </w:rPr>
        <w:t>公允價值</w:t>
      </w:r>
      <w:r w:rsidRPr="00E224E9">
        <w:rPr>
          <w:rFonts w:ascii="Book Antiqua" w:hAnsi="Book Antiqua"/>
          <w:color w:val="000000" w:themeColor="text1"/>
          <w:spacing w:val="10"/>
          <w:sz w:val="24"/>
        </w:rPr>
        <w:t>評價計入自有資本調整計算表」、及</w:t>
      </w:r>
      <w:r w:rsidRPr="00E224E9">
        <w:rPr>
          <w:rFonts w:ascii="Book Antiqua" w:eastAsia="新細明體" w:hAnsi="Book Antiqua"/>
          <w:color w:val="000000" w:themeColor="text1"/>
          <w:spacing w:val="10"/>
          <w:sz w:val="24"/>
        </w:rPr>
        <w:t>「</w:t>
      </w:r>
      <w:r w:rsidRPr="00E224E9">
        <w:rPr>
          <w:rFonts w:ascii="Book Antiqua" w:hAnsi="Book Antiqua"/>
          <w:color w:val="000000" w:themeColor="text1"/>
          <w:spacing w:val="10"/>
          <w:sz w:val="24"/>
        </w:rPr>
        <w:t>表</w:t>
      </w:r>
      <w:r w:rsidRPr="00E224E9">
        <w:rPr>
          <w:rFonts w:ascii="Book Antiqua" w:hAnsi="Book Antiqua"/>
          <w:color w:val="000000" w:themeColor="text1"/>
          <w:spacing w:val="10"/>
          <w:sz w:val="24"/>
        </w:rPr>
        <w:t>30-7-4</w:t>
      </w:r>
      <w:r w:rsidRPr="00E224E9">
        <w:rPr>
          <w:rFonts w:ascii="Book Antiqua" w:hAnsi="Book Antiqua"/>
          <w:color w:val="000000" w:themeColor="text1"/>
          <w:spacing w:val="10"/>
          <w:sz w:val="24"/>
        </w:rPr>
        <w:t>：</w:t>
      </w:r>
      <w:r w:rsidR="003064C1" w:rsidRPr="00E224E9">
        <w:rPr>
          <w:rFonts w:ascii="Book Antiqua" w:hAnsi="Book Antiqua"/>
          <w:color w:val="000000" w:themeColor="text1"/>
          <w:spacing w:val="10"/>
          <w:sz w:val="24"/>
        </w:rPr>
        <w:t>投資性不動產</w:t>
      </w:r>
      <w:r w:rsidRPr="00E224E9">
        <w:rPr>
          <w:rFonts w:ascii="Book Antiqua" w:hAnsi="Book Antiqua"/>
          <w:color w:val="000000" w:themeColor="text1"/>
          <w:spacing w:val="10"/>
          <w:sz w:val="24"/>
        </w:rPr>
        <w:t>為素地或未能符合即時利用並有收益認定</w:t>
      </w:r>
      <w:r w:rsidR="00773B71" w:rsidRPr="00E224E9">
        <w:rPr>
          <w:rFonts w:ascii="Book Antiqua" w:hAnsi="Book Antiqua" w:hint="eastAsia"/>
          <w:color w:val="000000" w:themeColor="text1"/>
          <w:spacing w:val="10"/>
          <w:sz w:val="24"/>
        </w:rPr>
        <w:t>基</w:t>
      </w:r>
      <w:r w:rsidRPr="00E224E9">
        <w:rPr>
          <w:rFonts w:ascii="Book Antiqua" w:hAnsi="Book Antiqua"/>
          <w:color w:val="000000" w:themeColor="text1"/>
          <w:spacing w:val="10"/>
          <w:sz w:val="24"/>
        </w:rPr>
        <w:t>準者加計風險資本額調整計算表」之相關欄位金</w:t>
      </w:r>
      <w:r w:rsidRPr="00E224E9">
        <w:rPr>
          <w:rFonts w:ascii="Book Antiqua" w:hAnsi="Book Antiqua"/>
          <w:color w:val="000000" w:themeColor="text1"/>
          <w:sz w:val="24"/>
        </w:rPr>
        <w:t>額，乘以其所對應之風險係數計算風險資本額。</w:t>
      </w:r>
    </w:p>
    <w:p w14:paraId="4E1BD297" w14:textId="77777777" w:rsidR="00065C53" w:rsidRPr="00E224E9" w:rsidRDefault="00065C53">
      <w:pPr>
        <w:pStyle w:val="Item1"/>
        <w:spacing w:line="440" w:lineRule="exact"/>
        <w:ind w:leftChars="0" w:left="0" w:firstLineChars="600" w:firstLine="1440"/>
        <w:jc w:val="both"/>
        <w:rPr>
          <w:rFonts w:ascii="Book Antiqua" w:hAnsi="Book Antiqua"/>
          <w:color w:val="000000" w:themeColor="text1"/>
          <w:sz w:val="24"/>
        </w:rPr>
      </w:pPr>
    </w:p>
    <w:p w14:paraId="1C6ACE83"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對沖基金</w:t>
      </w:r>
    </w:p>
    <w:p w14:paraId="48814165"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：資金運用表」之相關欄位金額，乘以其所對應之風險係數計算風險資本額。所稱「對沖基金」係指依「保險業辦理國外投資管理辦法」第八條第一項第五款規定之有價證券種類。</w:t>
      </w:r>
    </w:p>
    <w:p w14:paraId="21B69650" w14:textId="77777777" w:rsidR="00065C53" w:rsidRPr="00E224E9" w:rsidRDefault="00065C53">
      <w:pPr>
        <w:pStyle w:val="Item1"/>
        <w:spacing w:line="440" w:lineRule="exact"/>
        <w:ind w:leftChars="0" w:left="0" w:firstLineChars="600" w:firstLine="1440"/>
        <w:jc w:val="both"/>
        <w:rPr>
          <w:rFonts w:ascii="Book Antiqua" w:hAnsi="Book Antiqua"/>
          <w:color w:val="000000" w:themeColor="text1"/>
          <w:sz w:val="24"/>
        </w:rPr>
      </w:pPr>
    </w:p>
    <w:p w14:paraId="74B12DA3"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ETF-</w:t>
      </w:r>
      <w:r w:rsidRPr="00E224E9">
        <w:rPr>
          <w:rFonts w:ascii="Book Antiqua" w:hAnsi="Book Antiqua"/>
          <w:color w:val="000000" w:themeColor="text1"/>
          <w:sz w:val="24"/>
        </w:rPr>
        <w:t>股票型</w:t>
      </w:r>
    </w:p>
    <w:p w14:paraId="4C30B75B"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：資金運用表」相關欄位金額加計「表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color w:val="000000" w:themeColor="text1"/>
          <w:sz w:val="24"/>
        </w:rPr>
        <w:t>ETF-</w:t>
      </w:r>
      <w:r w:rsidRPr="00E224E9">
        <w:rPr>
          <w:rFonts w:ascii="Book Antiqua" w:hAnsi="Book Antiqua"/>
          <w:color w:val="000000" w:themeColor="text1"/>
          <w:sz w:val="24"/>
        </w:rPr>
        <w:t>股票型帳載價值</w:t>
      </w:r>
      <w:r w:rsidRPr="00E224E9">
        <w:rPr>
          <w:rFonts w:ascii="Book Antiqua" w:hAnsi="Book Antiqua"/>
          <w:color w:val="000000" w:themeColor="text1"/>
          <w:sz w:val="24"/>
        </w:rPr>
        <w:t>--</w:t>
      </w:r>
      <w:r w:rsidR="00680BDC" w:rsidRPr="00E224E9">
        <w:rPr>
          <w:rFonts w:ascii="Book Antiqua" w:hAnsi="Book Antiqua"/>
          <w:color w:val="000000" w:themeColor="text1"/>
          <w:sz w:val="24"/>
        </w:rPr>
        <w:t>已開發國家</w:t>
      </w:r>
      <w:r w:rsidRPr="00E224E9">
        <w:rPr>
          <w:rFonts w:ascii="Book Antiqua" w:hAnsi="Book Antiqua"/>
          <w:color w:val="000000" w:themeColor="text1"/>
          <w:sz w:val="24"/>
        </w:rPr>
        <w:t>後之數額，乘以其所對應之風險係數計算風險資本額。</w:t>
      </w:r>
    </w:p>
    <w:p w14:paraId="03F702B1" w14:textId="77777777" w:rsidR="00065C53" w:rsidRPr="00E224E9" w:rsidRDefault="00065C53">
      <w:pPr>
        <w:pStyle w:val="Item1"/>
        <w:spacing w:line="440" w:lineRule="exact"/>
        <w:ind w:leftChars="0" w:left="0" w:firstLineChars="600" w:firstLine="1440"/>
        <w:jc w:val="both"/>
        <w:rPr>
          <w:rFonts w:ascii="Book Antiqua" w:hAnsi="Book Antiqua"/>
          <w:color w:val="000000" w:themeColor="text1"/>
          <w:sz w:val="24"/>
        </w:rPr>
      </w:pPr>
    </w:p>
    <w:p w14:paraId="362EF19B"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ETF-</w:t>
      </w:r>
      <w:r w:rsidRPr="00E224E9">
        <w:rPr>
          <w:rFonts w:ascii="Book Antiqua" w:hAnsi="Book Antiqua"/>
          <w:color w:val="000000" w:themeColor="text1"/>
          <w:sz w:val="24"/>
        </w:rPr>
        <w:t>債券型</w:t>
      </w:r>
    </w:p>
    <w:p w14:paraId="41F78EB7"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lastRenderedPageBreak/>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w:t>
      </w:r>
      <w:r w:rsidR="002B123D" w:rsidRPr="00E224E9">
        <w:rPr>
          <w:rFonts w:ascii="Book Antiqua" w:hAnsi="Book Antiqua"/>
          <w:color w:val="000000" w:themeColor="text1"/>
          <w:sz w:val="24"/>
        </w:rPr>
        <w:t>加計「表</w:t>
      </w:r>
      <w:r w:rsidR="002B123D" w:rsidRPr="00E224E9">
        <w:rPr>
          <w:rFonts w:ascii="Book Antiqua" w:hAnsi="Book Antiqua"/>
          <w:color w:val="000000" w:themeColor="text1"/>
          <w:sz w:val="24"/>
        </w:rPr>
        <w:t>30-14-1</w:t>
      </w:r>
      <w:r w:rsidR="002B123D" w:rsidRPr="00E224E9">
        <w:rPr>
          <w:rFonts w:ascii="Book Antiqua" w:hAnsi="Book Antiqua"/>
          <w:color w:val="000000" w:themeColor="text1"/>
          <w:sz w:val="24"/>
        </w:rPr>
        <w:t>：公司上市股票及基金</w:t>
      </w:r>
      <w:r w:rsidR="002B123D" w:rsidRPr="00E224E9">
        <w:rPr>
          <w:rFonts w:ascii="Book Antiqua" w:hAnsi="Book Antiqua"/>
          <w:color w:val="000000" w:themeColor="text1"/>
          <w:sz w:val="24"/>
        </w:rPr>
        <w:t>β</w:t>
      </w:r>
      <w:r w:rsidR="002B123D" w:rsidRPr="00E224E9">
        <w:rPr>
          <w:rFonts w:ascii="Book Antiqua" w:hAnsi="Book Antiqua"/>
          <w:color w:val="000000" w:themeColor="text1"/>
          <w:sz w:val="24"/>
        </w:rPr>
        <w:t>值計算表」國內發行其投資區域包含國外之</w:t>
      </w:r>
      <w:r w:rsidR="002B123D" w:rsidRPr="00E224E9">
        <w:rPr>
          <w:rFonts w:ascii="Book Antiqua" w:hAnsi="Book Antiqua"/>
          <w:color w:val="000000" w:themeColor="text1"/>
          <w:sz w:val="24"/>
        </w:rPr>
        <w:t>ETF-</w:t>
      </w:r>
      <w:r w:rsidR="002B123D" w:rsidRPr="00E224E9">
        <w:rPr>
          <w:rFonts w:ascii="Book Antiqua" w:hAnsi="Book Antiqua" w:hint="eastAsia"/>
          <w:color w:val="000000" w:themeColor="text1"/>
          <w:sz w:val="24"/>
        </w:rPr>
        <w:t>債券</w:t>
      </w:r>
      <w:r w:rsidR="002B123D" w:rsidRPr="00E224E9">
        <w:rPr>
          <w:rFonts w:ascii="Book Antiqua" w:hAnsi="Book Antiqua"/>
          <w:color w:val="000000" w:themeColor="text1"/>
          <w:sz w:val="24"/>
        </w:rPr>
        <w:t>型帳載價值</w:t>
      </w:r>
      <w:r w:rsidR="002B123D" w:rsidRPr="00E224E9">
        <w:rPr>
          <w:rFonts w:ascii="Book Antiqua" w:hAnsi="Book Antiqua"/>
          <w:color w:val="000000" w:themeColor="text1"/>
          <w:sz w:val="24"/>
        </w:rPr>
        <w:t>--</w:t>
      </w:r>
      <w:r w:rsidR="002B123D" w:rsidRPr="00E224E9">
        <w:rPr>
          <w:rFonts w:ascii="Book Antiqua" w:hAnsi="Book Antiqua"/>
          <w:color w:val="000000" w:themeColor="text1"/>
          <w:sz w:val="24"/>
        </w:rPr>
        <w:t>已開發國家後之數額</w:t>
      </w:r>
      <w:r w:rsidRPr="00E224E9">
        <w:rPr>
          <w:rFonts w:ascii="Book Antiqua" w:hAnsi="Book Antiqua"/>
          <w:color w:val="000000" w:themeColor="text1"/>
          <w:sz w:val="24"/>
        </w:rPr>
        <w:t>，乘以其所對應之風險係數計算風險資本額。</w:t>
      </w:r>
    </w:p>
    <w:p w14:paraId="512AE04A"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p>
    <w:p w14:paraId="74EB609B" w14:textId="77777777" w:rsidR="002B123D" w:rsidRPr="00E224E9" w:rsidRDefault="002B123D"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ETF-</w:t>
      </w:r>
      <w:r w:rsidRPr="00E224E9">
        <w:rPr>
          <w:rFonts w:ascii="Book Antiqua" w:hAnsi="Book Antiqua" w:hint="eastAsia"/>
          <w:color w:val="000000" w:themeColor="text1"/>
          <w:sz w:val="24"/>
        </w:rPr>
        <w:t>其他</w:t>
      </w:r>
      <w:r w:rsidRPr="00E224E9">
        <w:rPr>
          <w:rFonts w:ascii="Book Antiqua" w:hAnsi="Book Antiqua"/>
          <w:color w:val="000000" w:themeColor="text1"/>
          <w:sz w:val="24"/>
        </w:rPr>
        <w:t>型</w:t>
      </w:r>
    </w:p>
    <w:p w14:paraId="04E5FF77" w14:textId="77777777" w:rsidR="002B123D" w:rsidRPr="00E224E9" w:rsidRDefault="002B123D" w:rsidP="002B123D">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：資金運用表」之相關欄位金額加計「表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color w:val="000000" w:themeColor="text1"/>
          <w:sz w:val="24"/>
        </w:rPr>
        <w:t>ETF-</w:t>
      </w:r>
      <w:r w:rsidRPr="00E224E9">
        <w:rPr>
          <w:rFonts w:ascii="Book Antiqua" w:hAnsi="Book Antiqua" w:hint="eastAsia"/>
          <w:color w:val="000000" w:themeColor="text1"/>
          <w:sz w:val="24"/>
        </w:rPr>
        <w:t>其他</w:t>
      </w:r>
      <w:r w:rsidRPr="00E224E9">
        <w:rPr>
          <w:rFonts w:ascii="Book Antiqua" w:hAnsi="Book Antiqua"/>
          <w:color w:val="000000" w:themeColor="text1"/>
          <w:sz w:val="24"/>
        </w:rPr>
        <w:t>型帳載價值</w:t>
      </w:r>
      <w:r w:rsidRPr="00E224E9">
        <w:rPr>
          <w:rFonts w:ascii="Book Antiqua" w:hAnsi="Book Antiqua"/>
          <w:color w:val="000000" w:themeColor="text1"/>
          <w:sz w:val="24"/>
        </w:rPr>
        <w:t>--</w:t>
      </w:r>
      <w:r w:rsidRPr="00E224E9">
        <w:rPr>
          <w:rFonts w:ascii="Book Antiqua" w:hAnsi="Book Antiqua"/>
          <w:color w:val="000000" w:themeColor="text1"/>
          <w:sz w:val="24"/>
        </w:rPr>
        <w:t>已開發國家後之數額，乘以其所對應之風險係數計算風險資本額。</w:t>
      </w:r>
    </w:p>
    <w:p w14:paraId="0686341A" w14:textId="77777777" w:rsidR="002B123D" w:rsidRPr="00E224E9" w:rsidRDefault="002B123D">
      <w:pPr>
        <w:pStyle w:val="Item1"/>
        <w:spacing w:line="440" w:lineRule="exact"/>
        <w:ind w:leftChars="553" w:left="1438" w:firstLineChars="0" w:firstLine="0"/>
        <w:jc w:val="both"/>
        <w:rPr>
          <w:rFonts w:ascii="Book Antiqua" w:hAnsi="Book Antiqua"/>
          <w:color w:val="000000" w:themeColor="text1"/>
          <w:sz w:val="24"/>
        </w:rPr>
      </w:pPr>
    </w:p>
    <w:p w14:paraId="658981F0" w14:textId="77777777" w:rsidR="002B123D" w:rsidRPr="00E224E9" w:rsidRDefault="002B123D"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ET</w:t>
      </w:r>
      <w:r w:rsidRPr="00E224E9">
        <w:rPr>
          <w:rFonts w:ascii="Book Antiqua" w:hAnsi="Book Antiqua" w:hint="eastAsia"/>
          <w:color w:val="000000" w:themeColor="text1"/>
          <w:sz w:val="24"/>
        </w:rPr>
        <w:t>N</w:t>
      </w:r>
    </w:p>
    <w:p w14:paraId="674AD2BD" w14:textId="77777777" w:rsidR="002B123D" w:rsidRPr="00E224E9" w:rsidRDefault="002B123D" w:rsidP="002B123D">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color w:val="000000" w:themeColor="text1"/>
          <w:sz w:val="24"/>
        </w:rPr>
        <w:t>ET</w:t>
      </w:r>
      <w:r w:rsidR="00E15F8F" w:rsidRPr="00E224E9">
        <w:rPr>
          <w:rFonts w:ascii="Book Antiqua" w:hAnsi="Book Antiqua" w:hint="eastAsia"/>
          <w:color w:val="000000" w:themeColor="text1"/>
          <w:sz w:val="24"/>
        </w:rPr>
        <w:t>N</w:t>
      </w:r>
      <w:r w:rsidRPr="00E224E9">
        <w:rPr>
          <w:rFonts w:ascii="Book Antiqua" w:hAnsi="Book Antiqua"/>
          <w:color w:val="000000" w:themeColor="text1"/>
          <w:sz w:val="24"/>
        </w:rPr>
        <w:t>帳載價值</w:t>
      </w:r>
      <w:r w:rsidRPr="00E224E9">
        <w:rPr>
          <w:rFonts w:ascii="Book Antiqua" w:hAnsi="Book Antiqua"/>
          <w:color w:val="000000" w:themeColor="text1"/>
          <w:sz w:val="24"/>
        </w:rPr>
        <w:t>--</w:t>
      </w:r>
      <w:r w:rsidRPr="00E224E9">
        <w:rPr>
          <w:rFonts w:ascii="Book Antiqua" w:hAnsi="Book Antiqua"/>
          <w:color w:val="000000" w:themeColor="text1"/>
          <w:sz w:val="24"/>
        </w:rPr>
        <w:t>已開發國家後之數額，乘以其所對應之風險係數計算風險資本額。</w:t>
      </w:r>
    </w:p>
    <w:p w14:paraId="3C8394D8" w14:textId="77777777" w:rsidR="002B123D" w:rsidRPr="00E224E9" w:rsidRDefault="002B123D">
      <w:pPr>
        <w:pStyle w:val="Item1"/>
        <w:spacing w:line="440" w:lineRule="exact"/>
        <w:ind w:leftChars="553" w:left="1438" w:firstLineChars="0" w:firstLine="0"/>
        <w:jc w:val="both"/>
        <w:rPr>
          <w:rFonts w:ascii="Book Antiqua" w:hAnsi="Book Antiqua"/>
          <w:color w:val="000000" w:themeColor="text1"/>
          <w:sz w:val="24"/>
        </w:rPr>
      </w:pPr>
    </w:p>
    <w:p w14:paraId="1EF209CC"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組合式存款</w:t>
      </w:r>
    </w:p>
    <w:p w14:paraId="466E9D18"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又區分為「</w:t>
      </w:r>
      <w:r w:rsidRPr="00E224E9">
        <w:rPr>
          <w:rFonts w:ascii="Book Antiqua" w:hAnsi="Book Antiqua"/>
          <w:color w:val="000000" w:themeColor="text1"/>
          <w:sz w:val="24"/>
        </w:rPr>
        <w:t>100%"</w:t>
      </w:r>
      <w:r w:rsidRPr="00E224E9">
        <w:rPr>
          <w:rFonts w:ascii="Book Antiqua" w:hAnsi="Book Antiqua"/>
          <w:color w:val="000000" w:themeColor="text1"/>
          <w:sz w:val="24"/>
        </w:rPr>
        <w:t>保本組合式存款」及「</w:t>
      </w:r>
      <w:r w:rsidRPr="00E224E9">
        <w:rPr>
          <w:rFonts w:ascii="Book Antiqua" w:hAnsi="Book Antiqua"/>
          <w:color w:val="000000" w:themeColor="text1"/>
          <w:sz w:val="24"/>
        </w:rPr>
        <w:t>90%"</w:t>
      </w:r>
      <w:r w:rsidRPr="00E224E9">
        <w:rPr>
          <w:rFonts w:ascii="Book Antiqua" w:hAnsi="Book Antiqua"/>
          <w:color w:val="000000" w:themeColor="text1"/>
          <w:sz w:val="24"/>
        </w:rPr>
        <w:t>保本組合式存款」兩項，均按「表</w:t>
      </w:r>
      <w:r w:rsidRPr="00E224E9">
        <w:rPr>
          <w:rFonts w:ascii="Book Antiqua" w:hAnsi="Book Antiqua"/>
          <w:color w:val="000000" w:themeColor="text1"/>
          <w:sz w:val="24"/>
        </w:rPr>
        <w:t>30-3-4</w:t>
      </w:r>
      <w:r w:rsidRPr="00E224E9">
        <w:rPr>
          <w:rFonts w:ascii="Book Antiqua" w:hAnsi="Book Antiqua"/>
          <w:color w:val="000000" w:themeColor="text1"/>
          <w:sz w:val="24"/>
        </w:rPr>
        <w:t>：組合式存款風險資本額計算表」之相關欄位金額填報，並依其所對應之風險係數計算風險資本額。</w:t>
      </w:r>
    </w:p>
    <w:p w14:paraId="1C8D6E39"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p>
    <w:p w14:paraId="78CA45A3"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其他</w:t>
      </w:r>
    </w:p>
    <w:p w14:paraId="02DE829E"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w:t>
      </w:r>
      <w:r w:rsidR="00F66C18" w:rsidRPr="00E224E9">
        <w:rPr>
          <w:rFonts w:ascii="Book Antiqua" w:hAnsi="Book Antiqua"/>
          <w:color w:val="000000" w:themeColor="text1"/>
          <w:spacing w:val="10"/>
          <w:sz w:val="24"/>
        </w:rPr>
        <w:t>及</w:t>
      </w:r>
      <w:r w:rsidR="00F66C18" w:rsidRPr="00E224E9">
        <w:rPr>
          <w:rFonts w:ascii="Book Antiqua" w:eastAsia="新細明體" w:hAnsi="Book Antiqua"/>
          <w:color w:val="000000" w:themeColor="text1"/>
          <w:spacing w:val="10"/>
          <w:sz w:val="24"/>
        </w:rPr>
        <w:t>「</w:t>
      </w:r>
      <w:r w:rsidR="00F66C18" w:rsidRPr="00E224E9">
        <w:rPr>
          <w:rFonts w:ascii="Book Antiqua" w:hAnsi="Book Antiqua" w:hint="eastAsia"/>
          <w:color w:val="000000" w:themeColor="text1"/>
          <w:spacing w:val="10"/>
          <w:sz w:val="24"/>
        </w:rPr>
        <w:t>表</w:t>
      </w:r>
      <w:r w:rsidR="00F66C18" w:rsidRPr="00E224E9">
        <w:rPr>
          <w:rFonts w:ascii="Book Antiqua" w:hAnsi="Book Antiqua" w:hint="eastAsia"/>
          <w:color w:val="000000" w:themeColor="text1"/>
          <w:spacing w:val="10"/>
          <w:sz w:val="24"/>
        </w:rPr>
        <w:t>13-4</w:t>
      </w:r>
      <w:r w:rsidR="00F66C18" w:rsidRPr="00E224E9">
        <w:rPr>
          <w:rFonts w:ascii="Book Antiqua" w:hAnsi="Book Antiqua" w:hint="eastAsia"/>
          <w:color w:val="000000" w:themeColor="text1"/>
          <w:spacing w:val="10"/>
          <w:sz w:val="24"/>
        </w:rPr>
        <w:t>：國外及大陸地區不動產投資情形明細表</w:t>
      </w:r>
      <w:r w:rsidR="00F66C18" w:rsidRPr="00E224E9">
        <w:rPr>
          <w:rFonts w:ascii="Book Antiqua" w:hAnsi="Book Antiqua"/>
          <w:color w:val="000000" w:themeColor="text1"/>
          <w:spacing w:val="10"/>
          <w:sz w:val="24"/>
        </w:rPr>
        <w:t>」</w:t>
      </w:r>
      <w:r w:rsidRPr="00E224E9">
        <w:rPr>
          <w:rFonts w:ascii="Book Antiqua" w:hAnsi="Book Antiqua"/>
          <w:color w:val="000000" w:themeColor="text1"/>
          <w:sz w:val="24"/>
        </w:rPr>
        <w:t>之相關欄位金額，乘以其所對應之風險係數計算風險資本額。所稱「其他」係指依「保險業辦理國外投資管理辦法」第八條</w:t>
      </w:r>
      <w:r w:rsidR="000D1C84" w:rsidRPr="00E224E9">
        <w:rPr>
          <w:rFonts w:ascii="Book Antiqua" w:hAnsi="Book Antiqua" w:hint="eastAsia"/>
          <w:color w:val="000000" w:themeColor="text1"/>
          <w:sz w:val="24"/>
        </w:rPr>
        <w:t>規定，除受益憑證及信託資金、不動產投資信託基金、對沖基金、</w:t>
      </w:r>
      <w:r w:rsidR="000D1C84" w:rsidRPr="00E224E9">
        <w:rPr>
          <w:rFonts w:ascii="Book Antiqua" w:hAnsi="Book Antiqua" w:hint="eastAsia"/>
          <w:color w:val="000000" w:themeColor="text1"/>
          <w:sz w:val="24"/>
        </w:rPr>
        <w:t xml:space="preserve">ETF - </w:t>
      </w:r>
      <w:r w:rsidR="000D1C84" w:rsidRPr="00E224E9">
        <w:rPr>
          <w:rFonts w:ascii="Book Antiqua" w:hAnsi="Book Antiqua" w:hint="eastAsia"/>
          <w:color w:val="000000" w:themeColor="text1"/>
          <w:sz w:val="24"/>
        </w:rPr>
        <w:t>股票型及</w:t>
      </w:r>
      <w:r w:rsidR="000D1C84" w:rsidRPr="00E224E9">
        <w:rPr>
          <w:rFonts w:ascii="Book Antiqua" w:hAnsi="Book Antiqua" w:hint="eastAsia"/>
          <w:color w:val="000000" w:themeColor="text1"/>
          <w:sz w:val="24"/>
        </w:rPr>
        <w:t xml:space="preserve">ETF - </w:t>
      </w:r>
      <w:r w:rsidR="000D1C84" w:rsidRPr="00E224E9">
        <w:rPr>
          <w:rFonts w:ascii="Book Antiqua" w:hAnsi="Book Antiqua" w:hint="eastAsia"/>
          <w:color w:val="000000" w:themeColor="text1"/>
          <w:sz w:val="24"/>
        </w:rPr>
        <w:t>債券型</w:t>
      </w:r>
      <w:r w:rsidR="00E15F8F" w:rsidRPr="00E224E9">
        <w:rPr>
          <w:rFonts w:ascii="Book Antiqua" w:hAnsi="Book Antiqua" w:hint="eastAsia"/>
          <w:color w:val="000000" w:themeColor="text1"/>
          <w:sz w:val="24"/>
        </w:rPr>
        <w:t>、</w:t>
      </w:r>
      <w:r w:rsidR="00E15F8F" w:rsidRPr="00E224E9">
        <w:rPr>
          <w:rFonts w:ascii="Book Antiqua" w:hAnsi="Book Antiqua" w:hint="eastAsia"/>
          <w:color w:val="000000" w:themeColor="text1"/>
          <w:sz w:val="24"/>
        </w:rPr>
        <w:t>ETF-</w:t>
      </w:r>
      <w:r w:rsidR="00E15F8F" w:rsidRPr="00E224E9">
        <w:rPr>
          <w:rFonts w:ascii="Book Antiqua" w:hAnsi="Book Antiqua" w:hint="eastAsia"/>
          <w:color w:val="000000" w:themeColor="text1"/>
          <w:sz w:val="24"/>
        </w:rPr>
        <w:t>其他型</w:t>
      </w:r>
      <w:r w:rsidR="000D1C84" w:rsidRPr="00E224E9">
        <w:rPr>
          <w:rFonts w:ascii="Book Antiqua" w:hAnsi="Book Antiqua" w:hint="eastAsia"/>
          <w:color w:val="000000" w:themeColor="text1"/>
          <w:sz w:val="24"/>
        </w:rPr>
        <w:t>以外所投資</w:t>
      </w:r>
      <w:r w:rsidRPr="00E224E9">
        <w:rPr>
          <w:rFonts w:ascii="Book Antiqua" w:hAnsi="Book Antiqua"/>
          <w:color w:val="000000" w:themeColor="text1"/>
          <w:sz w:val="24"/>
        </w:rPr>
        <w:t>之有價證券種類</w:t>
      </w:r>
      <w:r w:rsidR="000D1C84" w:rsidRPr="00E224E9">
        <w:rPr>
          <w:rFonts w:ascii="Book Antiqua" w:hAnsi="Book Antiqua" w:hint="eastAsia"/>
          <w:color w:val="000000" w:themeColor="text1"/>
          <w:sz w:val="24"/>
        </w:rPr>
        <w:t>，</w:t>
      </w:r>
      <w:r w:rsidR="00F66C18" w:rsidRPr="00E224E9">
        <w:rPr>
          <w:rFonts w:ascii="Book Antiqua" w:hAnsi="Book Antiqua" w:hint="eastAsia"/>
          <w:color w:val="000000" w:themeColor="text1"/>
          <w:sz w:val="24"/>
        </w:rPr>
        <w:t>及第十一</w:t>
      </w:r>
      <w:r w:rsidR="00276D0C" w:rsidRPr="00E224E9">
        <w:rPr>
          <w:rFonts w:ascii="Book Antiqua" w:hAnsi="Book Antiqua" w:hint="eastAsia"/>
          <w:color w:val="000000" w:themeColor="text1"/>
          <w:sz w:val="24"/>
        </w:rPr>
        <w:t>條</w:t>
      </w:r>
      <w:r w:rsidR="00F66C18" w:rsidRPr="00E224E9">
        <w:rPr>
          <w:rFonts w:ascii="Book Antiqua" w:hAnsi="Book Antiqua" w:hint="eastAsia"/>
          <w:color w:val="000000" w:themeColor="text1"/>
          <w:sz w:val="24"/>
        </w:rPr>
        <w:t>之一第一項第四款經由信託方式取得國外及大陸地區不動產</w:t>
      </w:r>
      <w:r w:rsidRPr="00E224E9">
        <w:rPr>
          <w:rFonts w:ascii="Book Antiqua" w:hAnsi="Book Antiqua"/>
          <w:color w:val="000000" w:themeColor="text1"/>
          <w:sz w:val="24"/>
        </w:rPr>
        <w:t>。</w:t>
      </w:r>
    </w:p>
    <w:p w14:paraId="2D459961"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p>
    <w:p w14:paraId="6219D7A2" w14:textId="77777777" w:rsidR="00065C53" w:rsidRPr="00E224E9" w:rsidRDefault="00065C53" w:rsidP="004373AD">
      <w:pPr>
        <w:pStyle w:val="Item1"/>
        <w:numPr>
          <w:ilvl w:val="0"/>
          <w:numId w:val="17"/>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外匯</w:t>
      </w:r>
      <w:r w:rsidR="00DE4597" w:rsidRPr="00E224E9">
        <w:rPr>
          <w:rFonts w:ascii="Book Antiqua" w:hAnsi="Book Antiqua" w:hint="eastAsia"/>
          <w:color w:val="000000" w:themeColor="text1"/>
          <w:sz w:val="24"/>
        </w:rPr>
        <w:t>風險</w:t>
      </w:r>
    </w:p>
    <w:p w14:paraId="147257F1"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兌台幣之風險：</w:t>
      </w:r>
    </w:p>
    <w:p w14:paraId="01A47639" w14:textId="77777777" w:rsidR="00065C53" w:rsidRPr="00E224E9" w:rsidRDefault="00065C53">
      <w:pPr>
        <w:pStyle w:val="Item1"/>
        <w:spacing w:line="440" w:lineRule="exact"/>
        <w:ind w:leftChars="0" w:firstLineChars="0" w:firstLine="24"/>
        <w:jc w:val="both"/>
        <w:rPr>
          <w:rFonts w:ascii="Book Antiqua" w:hAnsi="Book Antiqua"/>
          <w:color w:val="000000" w:themeColor="text1"/>
          <w:sz w:val="24"/>
        </w:rPr>
      </w:pPr>
      <w:r w:rsidRPr="00E224E9">
        <w:rPr>
          <w:rFonts w:ascii="Book Antiqua" w:hAnsi="Book Antiqua"/>
          <w:color w:val="000000" w:themeColor="text1"/>
          <w:sz w:val="24"/>
        </w:rPr>
        <w:t>外匯係以</w:t>
      </w:r>
      <w:r w:rsidR="008605AB" w:rsidRPr="00E224E9">
        <w:rPr>
          <w:rFonts w:ascii="Book Antiqua" w:hAnsi="Book Antiqua" w:hint="eastAsia"/>
          <w:color w:val="000000" w:themeColor="text1"/>
          <w:sz w:val="24"/>
        </w:rPr>
        <w:t>國外資產</w:t>
      </w:r>
      <w:r w:rsidRPr="00E224E9">
        <w:rPr>
          <w:rFonts w:ascii="Book Antiqua" w:hAnsi="Book Antiqua"/>
          <w:color w:val="000000" w:themeColor="text1"/>
          <w:sz w:val="24"/>
        </w:rPr>
        <w:t>現金及外幣存款、固定型收益投資、股票、受益憑證及信託資金、放款、不動產、對沖基金、</w:t>
      </w:r>
      <w:r w:rsidRPr="00E224E9">
        <w:rPr>
          <w:rFonts w:ascii="Book Antiqua" w:hAnsi="Book Antiqua"/>
          <w:color w:val="000000" w:themeColor="text1"/>
          <w:sz w:val="24"/>
        </w:rPr>
        <w:t>ETF-</w:t>
      </w:r>
      <w:r w:rsidRPr="00E224E9">
        <w:rPr>
          <w:rFonts w:ascii="Book Antiqua" w:hAnsi="Book Antiqua"/>
          <w:color w:val="000000" w:themeColor="text1"/>
          <w:sz w:val="24"/>
        </w:rPr>
        <w:t>股票型、</w:t>
      </w:r>
      <w:r w:rsidRPr="00E224E9">
        <w:rPr>
          <w:rFonts w:ascii="Book Antiqua" w:hAnsi="Book Antiqua"/>
          <w:color w:val="000000" w:themeColor="text1"/>
          <w:sz w:val="24"/>
        </w:rPr>
        <w:t>ETF-</w:t>
      </w:r>
      <w:r w:rsidRPr="00E224E9">
        <w:rPr>
          <w:rFonts w:ascii="Book Antiqua" w:hAnsi="Book Antiqua"/>
          <w:color w:val="000000" w:themeColor="text1"/>
          <w:sz w:val="24"/>
        </w:rPr>
        <w:t>債券型</w:t>
      </w:r>
      <w:r w:rsidR="00A15DFD" w:rsidRPr="00E224E9">
        <w:rPr>
          <w:rFonts w:ascii="Book Antiqua" w:hAnsi="Book Antiqua"/>
          <w:color w:val="000000" w:themeColor="text1"/>
          <w:sz w:val="24"/>
        </w:rPr>
        <w:t>、</w:t>
      </w:r>
      <w:r w:rsidR="00A15DFD" w:rsidRPr="00E224E9">
        <w:rPr>
          <w:rFonts w:ascii="Book Antiqua" w:hAnsi="Book Antiqua"/>
          <w:color w:val="000000" w:themeColor="text1"/>
          <w:sz w:val="24"/>
        </w:rPr>
        <w:t>ETF-</w:t>
      </w:r>
      <w:r w:rsidR="00A15DFD" w:rsidRPr="00E224E9">
        <w:rPr>
          <w:rFonts w:ascii="Book Antiqua" w:hAnsi="Book Antiqua" w:hint="eastAsia"/>
          <w:color w:val="000000" w:themeColor="text1"/>
          <w:sz w:val="24"/>
        </w:rPr>
        <w:t>其他</w:t>
      </w:r>
      <w:r w:rsidR="00A15DFD" w:rsidRPr="00E224E9">
        <w:rPr>
          <w:rFonts w:ascii="Book Antiqua" w:hAnsi="Book Antiqua"/>
          <w:color w:val="000000" w:themeColor="text1"/>
          <w:sz w:val="24"/>
        </w:rPr>
        <w:lastRenderedPageBreak/>
        <w:t>型、</w:t>
      </w:r>
      <w:r w:rsidR="00A15DFD" w:rsidRPr="00E224E9">
        <w:rPr>
          <w:rFonts w:ascii="Book Antiqua" w:hAnsi="Book Antiqua" w:hint="eastAsia"/>
          <w:color w:val="000000" w:themeColor="text1"/>
          <w:sz w:val="24"/>
        </w:rPr>
        <w:t>ETN</w:t>
      </w:r>
      <w:r w:rsidRPr="00E224E9">
        <w:rPr>
          <w:rFonts w:ascii="Book Antiqua" w:hAnsi="Book Antiqua"/>
          <w:color w:val="000000" w:themeColor="text1"/>
          <w:sz w:val="24"/>
        </w:rPr>
        <w:t>、組合式存款及其他等各項部位總和扣除依「表</w:t>
      </w:r>
      <w:r w:rsidRPr="00E224E9">
        <w:rPr>
          <w:rFonts w:ascii="Book Antiqua" w:hAnsi="Book Antiqua"/>
          <w:color w:val="000000" w:themeColor="text1"/>
          <w:sz w:val="24"/>
        </w:rPr>
        <w:t>16-2-1</w:t>
      </w:r>
      <w:r w:rsidRPr="00E224E9">
        <w:rPr>
          <w:rFonts w:ascii="Book Antiqua" w:hAnsi="Book Antiqua"/>
          <w:color w:val="000000" w:themeColor="text1"/>
          <w:sz w:val="24"/>
        </w:rPr>
        <w:t>衍生性商品餘額明細表</w:t>
      </w:r>
      <w:r w:rsidRPr="00E224E9">
        <w:rPr>
          <w:rFonts w:ascii="Book Antiqua" w:hAnsi="Book Antiqua"/>
          <w:color w:val="000000" w:themeColor="text1"/>
          <w:sz w:val="24"/>
        </w:rPr>
        <w:t>(</w:t>
      </w:r>
      <w:r w:rsidRPr="00E224E9">
        <w:rPr>
          <w:rFonts w:ascii="Book Antiqua" w:hAnsi="Book Antiqua"/>
          <w:color w:val="000000" w:themeColor="text1"/>
          <w:sz w:val="24"/>
        </w:rPr>
        <w:t>總計</w:t>
      </w:r>
      <w:r w:rsidRPr="00E224E9">
        <w:rPr>
          <w:rFonts w:ascii="Book Antiqua" w:hAnsi="Book Antiqua"/>
          <w:color w:val="000000" w:themeColor="text1"/>
          <w:sz w:val="24"/>
        </w:rPr>
        <w:t>)</w:t>
      </w:r>
      <w:r w:rsidRPr="00E224E9">
        <w:rPr>
          <w:rFonts w:ascii="Book Antiqua" w:hAnsi="Book Antiqua"/>
          <w:color w:val="000000" w:themeColor="text1"/>
          <w:sz w:val="24"/>
        </w:rPr>
        <w:t>－以避險為目的」中衍生性金融商品屬於匯率相關</w:t>
      </w:r>
      <w:r w:rsidRPr="00E224E9">
        <w:rPr>
          <w:rFonts w:ascii="Book Antiqua" w:hAnsi="Book Antiqua"/>
          <w:color w:val="000000" w:themeColor="text1"/>
          <w:sz w:val="24"/>
        </w:rPr>
        <w:t>(</w:t>
      </w:r>
      <w:r w:rsidRPr="00E224E9">
        <w:rPr>
          <w:rFonts w:ascii="Book Antiqua" w:hAnsi="Book Antiqua"/>
          <w:color w:val="000000" w:themeColor="text1"/>
          <w:sz w:val="24"/>
        </w:rPr>
        <w:t>標準避險</w:t>
      </w:r>
      <w:r w:rsidRPr="00E224E9">
        <w:rPr>
          <w:rFonts w:ascii="Book Antiqua" w:hAnsi="Book Antiqua"/>
          <w:color w:val="000000" w:themeColor="text1"/>
          <w:sz w:val="24"/>
        </w:rPr>
        <w:t>)</w:t>
      </w:r>
      <w:r w:rsidRPr="00E224E9">
        <w:rPr>
          <w:rFonts w:ascii="Book Antiqua" w:hAnsi="Book Antiqua"/>
          <w:color w:val="000000" w:themeColor="text1"/>
          <w:sz w:val="24"/>
        </w:rPr>
        <w:t>之名目部位金額總額－</w:t>
      </w:r>
      <w:r w:rsidRPr="00E224E9">
        <w:rPr>
          <w:rFonts w:ascii="Book Antiqua" w:hAnsi="Book Antiqua"/>
          <w:color w:val="000000" w:themeColor="text1"/>
          <w:sz w:val="24"/>
        </w:rPr>
        <w:t>(2)</w:t>
      </w:r>
      <w:r w:rsidRPr="00E224E9">
        <w:rPr>
          <w:rFonts w:ascii="Book Antiqua" w:hAnsi="Book Antiqua"/>
          <w:color w:val="000000" w:themeColor="text1"/>
          <w:sz w:val="24"/>
        </w:rPr>
        <w:t>兌外幣之風險其填列之部位金額</w:t>
      </w:r>
      <w:r w:rsidR="007855AB" w:rsidRPr="00E224E9">
        <w:rPr>
          <w:rFonts w:ascii="Book Antiqua" w:hAnsi="Book Antiqua"/>
          <w:color w:val="000000" w:themeColor="text1"/>
          <w:sz w:val="24"/>
        </w:rPr>
        <w:t>（若扣除部位大於原部位，則以</w:t>
      </w:r>
      <w:r w:rsidR="007855AB" w:rsidRPr="00E224E9">
        <w:rPr>
          <w:rFonts w:ascii="Book Antiqua" w:hAnsi="Book Antiqua"/>
          <w:color w:val="000000" w:themeColor="text1"/>
          <w:sz w:val="24"/>
        </w:rPr>
        <w:t>0</w:t>
      </w:r>
      <w:r w:rsidR="007855AB" w:rsidRPr="00E224E9">
        <w:rPr>
          <w:rFonts w:ascii="Book Antiqua" w:hAnsi="Book Antiqua"/>
          <w:color w:val="000000" w:themeColor="text1"/>
          <w:sz w:val="24"/>
        </w:rPr>
        <w:t>列示）</w:t>
      </w:r>
      <w:r w:rsidRPr="00E224E9">
        <w:rPr>
          <w:rFonts w:ascii="Book Antiqua" w:hAnsi="Book Antiqua"/>
          <w:color w:val="000000" w:themeColor="text1"/>
          <w:sz w:val="24"/>
        </w:rPr>
        <w:t>。</w:t>
      </w:r>
    </w:p>
    <w:p w14:paraId="1D5808A1"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兌外幣之風險：</w:t>
      </w:r>
    </w:p>
    <w:p w14:paraId="554FCA80" w14:textId="77777777" w:rsidR="00065C53" w:rsidRPr="00E224E9" w:rsidRDefault="00065C53">
      <w:pPr>
        <w:pStyle w:val="Item1"/>
        <w:spacing w:line="440" w:lineRule="exact"/>
        <w:ind w:leftChars="0" w:left="1440" w:firstLineChars="0" w:firstLine="0"/>
        <w:jc w:val="both"/>
        <w:rPr>
          <w:rFonts w:ascii="Book Antiqua" w:hAnsi="Book Antiqua"/>
          <w:color w:val="000000" w:themeColor="text1"/>
          <w:sz w:val="24"/>
        </w:rPr>
      </w:pPr>
      <w:r w:rsidRPr="00E224E9">
        <w:rPr>
          <w:rFonts w:ascii="Book Antiqua" w:hAnsi="Book Antiqua"/>
          <w:color w:val="000000" w:themeColor="text1"/>
          <w:sz w:val="24"/>
        </w:rPr>
        <w:t>係按「表</w:t>
      </w:r>
      <w:r w:rsidRPr="00E224E9">
        <w:rPr>
          <w:rFonts w:ascii="Book Antiqua" w:hAnsi="Book Antiqua"/>
          <w:color w:val="000000" w:themeColor="text1"/>
          <w:sz w:val="24"/>
        </w:rPr>
        <w:t>30-3-3</w:t>
      </w:r>
      <w:r w:rsidRPr="00E224E9">
        <w:rPr>
          <w:rFonts w:ascii="Book Antiqua" w:hAnsi="Book Antiqua"/>
          <w:color w:val="000000" w:themeColor="text1"/>
          <w:sz w:val="24"/>
        </w:rPr>
        <w:t>：傳統型外幣保單外匯風險計算表」之相關欄位金額填報，並依其所對應之風險係數計算風險資本額。</w:t>
      </w:r>
    </w:p>
    <w:p w14:paraId="711876D0" w14:textId="77777777" w:rsidR="00065C53" w:rsidRPr="00E224E9" w:rsidRDefault="00065C53">
      <w:pPr>
        <w:pStyle w:val="Item1"/>
        <w:spacing w:line="440" w:lineRule="exact"/>
        <w:ind w:leftChars="0" w:left="520" w:firstLineChars="0" w:firstLine="0"/>
        <w:jc w:val="both"/>
        <w:rPr>
          <w:rFonts w:ascii="Book Antiqua" w:hAnsi="Book Antiqua"/>
          <w:color w:val="000000" w:themeColor="text1"/>
          <w:sz w:val="24"/>
        </w:rPr>
      </w:pPr>
    </w:p>
    <w:p w14:paraId="5292F7B5" w14:textId="77777777" w:rsidR="00065C53" w:rsidRPr="00E224E9" w:rsidRDefault="00065C53" w:rsidP="004373AD">
      <w:pPr>
        <w:pStyle w:val="Item1"/>
        <w:numPr>
          <w:ilvl w:val="0"/>
          <w:numId w:val="17"/>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「借券再投資風險」一項，按「表</w:t>
      </w:r>
      <w:r w:rsidRPr="00E224E9">
        <w:rPr>
          <w:rFonts w:ascii="Book Antiqua" w:hAnsi="Book Antiqua"/>
          <w:color w:val="000000" w:themeColor="text1"/>
          <w:sz w:val="24"/>
        </w:rPr>
        <w:t>30-16</w:t>
      </w:r>
      <w:r w:rsidRPr="00E224E9">
        <w:rPr>
          <w:rFonts w:ascii="Book Antiqua" w:hAnsi="Book Antiqua"/>
          <w:color w:val="000000" w:themeColor="text1"/>
          <w:sz w:val="24"/>
        </w:rPr>
        <w:t>：國外再投資風險資本額計算表」相關欄位金額填報其風險部位金額，惟暫不作風險資本額之計算。</w:t>
      </w:r>
    </w:p>
    <w:p w14:paraId="6B35B531" w14:textId="77777777" w:rsidR="00065C53" w:rsidRPr="00E224E9" w:rsidRDefault="00065C53">
      <w:pPr>
        <w:pStyle w:val="Item1"/>
        <w:spacing w:line="440" w:lineRule="exact"/>
        <w:ind w:leftChars="0" w:left="520" w:firstLineChars="0" w:firstLine="0"/>
        <w:jc w:val="both"/>
        <w:rPr>
          <w:rFonts w:ascii="Book Antiqua" w:hAnsi="Book Antiqua"/>
          <w:color w:val="000000" w:themeColor="text1"/>
          <w:sz w:val="24"/>
        </w:rPr>
      </w:pPr>
    </w:p>
    <w:p w14:paraId="0674FBDC" w14:textId="77777777" w:rsidR="00065C53" w:rsidRPr="00E224E9" w:rsidRDefault="00065C53" w:rsidP="004373AD">
      <w:pPr>
        <w:pStyle w:val="Item1"/>
        <w:numPr>
          <w:ilvl w:val="0"/>
          <w:numId w:val="17"/>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國內外資產集中度風險</w:t>
      </w:r>
      <w:r w:rsidRPr="00E224E9">
        <w:rPr>
          <w:rFonts w:ascii="Book Antiqua" w:hAnsi="Book Antiqua"/>
          <w:color w:val="000000" w:themeColor="text1"/>
          <w:sz w:val="24"/>
        </w:rPr>
        <w:t>-</w:t>
      </w:r>
      <w:r w:rsidRPr="00E224E9">
        <w:rPr>
          <w:rFonts w:ascii="Book Antiqua" w:hAnsi="Book Antiqua"/>
          <w:color w:val="000000" w:themeColor="text1"/>
          <w:sz w:val="24"/>
        </w:rPr>
        <w:t>國外資產部份</w:t>
      </w:r>
    </w:p>
    <w:p w14:paraId="50EEDF7E" w14:textId="77777777" w:rsidR="00A03C24" w:rsidRPr="00E224E9" w:rsidRDefault="00065C53">
      <w:pPr>
        <w:pStyle w:val="Item1"/>
        <w:spacing w:line="440" w:lineRule="exact"/>
        <w:ind w:leftChars="400" w:left="1040" w:firstLineChars="0" w:firstLine="0"/>
        <w:jc w:val="both"/>
        <w:rPr>
          <w:rFonts w:ascii="Book Antiqua" w:hAnsi="Book Antiqua"/>
          <w:color w:val="000000" w:themeColor="text1"/>
          <w:sz w:val="24"/>
        </w:rPr>
      </w:pPr>
      <w:r w:rsidRPr="00E224E9">
        <w:rPr>
          <w:rFonts w:ascii="Book Antiqua" w:hAnsi="Book Antiqua"/>
          <w:color w:val="000000" w:themeColor="text1"/>
          <w:sz w:val="24"/>
        </w:rPr>
        <w:t>國內外資產集中度風險之係數的計算及查表方式如前面</w:t>
      </w:r>
      <w:r w:rsidRPr="00E224E9">
        <w:rPr>
          <w:rFonts w:ascii="Book Antiqua" w:hAnsi="Book Antiqua"/>
          <w:color w:val="000000" w:themeColor="text1"/>
          <w:sz w:val="24"/>
        </w:rPr>
        <w:t>C1a.</w:t>
      </w:r>
      <w:r w:rsidRPr="00E224E9">
        <w:rPr>
          <w:rFonts w:ascii="Book Antiqua" w:hAnsi="Book Antiqua"/>
          <w:color w:val="000000" w:themeColor="text1"/>
          <w:sz w:val="24"/>
        </w:rPr>
        <w:t>國內資產風險</w:t>
      </w:r>
      <w:r w:rsidRPr="00E224E9">
        <w:rPr>
          <w:rFonts w:ascii="Book Antiqua" w:hAnsi="Book Antiqua"/>
          <w:color w:val="000000" w:themeColor="text1"/>
          <w:sz w:val="24"/>
        </w:rPr>
        <w:t>1.6</w:t>
      </w:r>
      <w:r w:rsidRPr="00E224E9">
        <w:rPr>
          <w:rFonts w:ascii="Book Antiqua" w:hAnsi="Book Antiqua"/>
          <w:color w:val="000000" w:themeColor="text1"/>
          <w:sz w:val="24"/>
        </w:rPr>
        <w:t>所述。然後再按</w:t>
      </w:r>
      <w:r w:rsidR="00D817B1" w:rsidRPr="00E224E9">
        <w:rPr>
          <w:rFonts w:ascii="Book Antiqua" w:hAnsi="Book Antiqua"/>
          <w:color w:val="000000" w:themeColor="text1"/>
          <w:sz w:val="24"/>
        </w:rPr>
        <w:t>表</w:t>
      </w:r>
      <w:r w:rsidR="00D817B1" w:rsidRPr="00E224E9">
        <w:rPr>
          <w:rFonts w:ascii="Book Antiqua" w:hAnsi="Book Antiqua"/>
          <w:color w:val="000000" w:themeColor="text1"/>
          <w:sz w:val="24"/>
        </w:rPr>
        <w:t>30-</w:t>
      </w:r>
      <w:r w:rsidR="00A03C24" w:rsidRPr="00E224E9">
        <w:rPr>
          <w:rFonts w:ascii="Book Antiqua" w:hAnsi="Book Antiqua"/>
          <w:color w:val="000000" w:themeColor="text1"/>
          <w:sz w:val="24"/>
        </w:rPr>
        <w:t>9</w:t>
      </w:r>
      <w:r w:rsidRPr="00E224E9">
        <w:rPr>
          <w:rFonts w:ascii="Book Antiqua" w:hAnsi="Book Antiqua"/>
          <w:color w:val="000000" w:themeColor="text1"/>
          <w:sz w:val="24"/>
        </w:rPr>
        <w:t>之各項資產風險資本額之總額乘以所查得之係數計算國外資產之風險資本額。</w:t>
      </w:r>
    </w:p>
    <w:p w14:paraId="7700C3EE" w14:textId="77777777" w:rsidR="00065C53" w:rsidRPr="00E224E9" w:rsidRDefault="00065C53">
      <w:pPr>
        <w:pStyle w:val="Item1"/>
        <w:spacing w:line="440" w:lineRule="exact"/>
        <w:ind w:leftChars="400" w:left="1040" w:firstLineChars="0" w:firstLine="0"/>
        <w:jc w:val="both"/>
        <w:rPr>
          <w:rFonts w:ascii="Book Antiqua" w:hAnsi="Book Antiqua"/>
          <w:color w:val="000000" w:themeColor="text1"/>
          <w:sz w:val="24"/>
        </w:rPr>
      </w:pPr>
      <w:r w:rsidRPr="00E224E9">
        <w:rPr>
          <w:rFonts w:ascii="Book Antiqua" w:hAnsi="Book Antiqua"/>
          <w:color w:val="000000" w:themeColor="text1"/>
          <w:sz w:val="24"/>
        </w:rPr>
        <w:t>故</w:t>
      </w:r>
      <w:r w:rsidR="00D817B1" w:rsidRPr="00E224E9">
        <w:rPr>
          <w:rFonts w:ascii="Book Antiqua" w:hAnsi="Book Antiqua"/>
          <w:color w:val="000000" w:themeColor="text1"/>
          <w:sz w:val="24"/>
        </w:rPr>
        <w:t>國外資產</w:t>
      </w:r>
      <w:r w:rsidR="0015428B" w:rsidRPr="00E224E9">
        <w:rPr>
          <w:rFonts w:ascii="Book Antiqua" w:hAnsi="Book Antiqua"/>
          <w:color w:val="000000" w:themeColor="text1"/>
          <w:sz w:val="24"/>
        </w:rPr>
        <w:t>集中度</w:t>
      </w:r>
      <w:r w:rsidRPr="00E224E9">
        <w:rPr>
          <w:rFonts w:ascii="Book Antiqua" w:hAnsi="Book Antiqua"/>
          <w:color w:val="000000" w:themeColor="text1"/>
          <w:sz w:val="24"/>
        </w:rPr>
        <w:t>之風險資本額為：</w:t>
      </w:r>
    </w:p>
    <w:p w14:paraId="73697586" w14:textId="77777777" w:rsidR="00065C53" w:rsidRPr="00E224E9" w:rsidRDefault="00A03C24">
      <w:pPr>
        <w:pStyle w:val="Item1"/>
        <w:spacing w:line="440" w:lineRule="exact"/>
        <w:ind w:leftChars="400" w:left="1040" w:firstLineChars="0" w:firstLine="0"/>
        <w:jc w:val="both"/>
        <w:rPr>
          <w:rFonts w:ascii="Book Antiqua" w:hAnsi="Book Antiqua"/>
          <w:color w:val="000000" w:themeColor="text1"/>
          <w:sz w:val="24"/>
        </w:rPr>
      </w:pPr>
      <w:r w:rsidRPr="00E224E9">
        <w:rPr>
          <w:rFonts w:ascii="Book Antiqua" w:hAnsi="Book Antiqua"/>
          <w:color w:val="000000" w:themeColor="text1"/>
          <w:sz w:val="24"/>
        </w:rPr>
        <w:t>(</w:t>
      </w:r>
      <w:r w:rsidR="0015428B" w:rsidRPr="00E224E9">
        <w:rPr>
          <w:rFonts w:ascii="Book Antiqua" w:hAnsi="Book Antiqua"/>
          <w:color w:val="000000" w:themeColor="text1"/>
          <w:sz w:val="24"/>
        </w:rPr>
        <w:t>公債、公司債及金融資產受益證券、股票、</w:t>
      </w:r>
      <w:r w:rsidR="0015428B" w:rsidRPr="00E224E9">
        <w:rPr>
          <w:rFonts w:ascii="Book Antiqua" w:hAnsi="Book Antiqua"/>
          <w:color w:val="000000" w:themeColor="text1"/>
          <w:sz w:val="24"/>
        </w:rPr>
        <w:t>ETF</w:t>
      </w:r>
      <w:r w:rsidR="00E15F8F" w:rsidRPr="00E224E9">
        <w:rPr>
          <w:rFonts w:ascii="Book Antiqua" w:hAnsi="Book Antiqua" w:hint="eastAsia"/>
          <w:color w:val="000000" w:themeColor="text1"/>
          <w:sz w:val="24"/>
        </w:rPr>
        <w:t>、</w:t>
      </w:r>
      <w:r w:rsidR="00E15F8F" w:rsidRPr="00E224E9">
        <w:rPr>
          <w:rFonts w:ascii="Book Antiqua" w:hAnsi="Book Antiqua" w:hint="eastAsia"/>
          <w:color w:val="000000" w:themeColor="text1"/>
          <w:sz w:val="24"/>
        </w:rPr>
        <w:t>ETN</w:t>
      </w:r>
      <w:r w:rsidR="0015428B" w:rsidRPr="00E224E9">
        <w:rPr>
          <w:rFonts w:ascii="Book Antiqua" w:hAnsi="Book Antiqua"/>
          <w:color w:val="000000" w:themeColor="text1"/>
          <w:sz w:val="24"/>
        </w:rPr>
        <w:t>、受益憑證及信託資金、不動產投資信託基金、不動產、放款</w:t>
      </w:r>
      <w:r w:rsidRPr="00E224E9">
        <w:rPr>
          <w:rFonts w:ascii="Book Antiqua" w:hAnsi="Book Antiqua"/>
          <w:color w:val="000000" w:themeColor="text1"/>
          <w:sz w:val="24"/>
        </w:rPr>
        <w:t>)</w:t>
      </w:r>
      <w:r w:rsidR="00065C53" w:rsidRPr="00E224E9">
        <w:rPr>
          <w:rFonts w:ascii="Book Antiqua" w:hAnsi="Book Antiqua"/>
          <w:color w:val="000000" w:themeColor="text1"/>
          <w:sz w:val="24"/>
        </w:rPr>
        <w:t>之風險資本額</w:t>
      </w:r>
      <w:r w:rsidR="00065C53" w:rsidRPr="00E224E9">
        <w:rPr>
          <w:rFonts w:ascii="Book Antiqua" w:hAnsi="Book Antiqua"/>
          <w:color w:val="000000" w:themeColor="text1"/>
          <w:sz w:val="24"/>
        </w:rPr>
        <w:t>×1.6</w:t>
      </w:r>
      <w:r w:rsidR="00065C53" w:rsidRPr="00E224E9">
        <w:rPr>
          <w:rFonts w:ascii="Book Antiqua" w:hAnsi="Book Antiqua"/>
          <w:color w:val="000000" w:themeColor="text1"/>
          <w:sz w:val="24"/>
        </w:rPr>
        <w:t>查得之係數。</w:t>
      </w:r>
    </w:p>
    <w:p w14:paraId="2FCE7D75" w14:textId="77777777" w:rsidR="00065C53" w:rsidRPr="00E224E9" w:rsidRDefault="00065C53">
      <w:pPr>
        <w:pStyle w:val="Layer2"/>
        <w:snapToGrid w:val="0"/>
        <w:spacing w:line="440" w:lineRule="exact"/>
        <w:jc w:val="both"/>
        <w:rPr>
          <w:rFonts w:ascii="標楷體" w:hAnsi="標楷體"/>
          <w:color w:val="000000" w:themeColor="text1"/>
        </w:rPr>
      </w:pPr>
      <w:bookmarkStart w:id="130" w:name="_Toc7492338"/>
    </w:p>
    <w:p w14:paraId="1FAFBB03"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color w:val="000000" w:themeColor="text1"/>
        </w:rPr>
        <w:br w:type="page"/>
      </w:r>
      <w:r w:rsidRPr="00E224E9">
        <w:rPr>
          <w:rFonts w:ascii="標楷體" w:hAnsi="標楷體"/>
          <w:color w:val="000000" w:themeColor="text1"/>
        </w:rPr>
        <w:lastRenderedPageBreak/>
        <w:t>C1c</w:t>
      </w:r>
      <w:bookmarkEnd w:id="130"/>
      <w:r w:rsidRPr="00E224E9">
        <w:rPr>
          <w:rFonts w:ascii="標楷體" w:hAnsi="標楷體" w:hint="eastAsia"/>
          <w:color w:val="000000" w:themeColor="text1"/>
        </w:rPr>
        <w:t>不計入風險資本額計算之項目</w:t>
      </w:r>
    </w:p>
    <w:p w14:paraId="33A61CD6" w14:textId="77777777" w:rsidR="00065C53" w:rsidRPr="00E224E9" w:rsidRDefault="00065C53">
      <w:pPr>
        <w:pStyle w:val="Layer3"/>
        <w:spacing w:line="440" w:lineRule="exact"/>
        <w:ind w:left="1065" w:hangingChars="200" w:hanging="480"/>
        <w:jc w:val="both"/>
        <w:rPr>
          <w:rFonts w:ascii="標楷體" w:hAnsi="標楷體"/>
          <w:color w:val="000000" w:themeColor="text1"/>
        </w:rPr>
      </w:pPr>
      <w:bookmarkStart w:id="131" w:name="_Toc7492339"/>
      <w:r w:rsidRPr="00E224E9">
        <w:rPr>
          <w:rFonts w:ascii="標楷體" w:hAnsi="標楷體" w:hint="eastAsia"/>
          <w:color w:val="000000" w:themeColor="text1"/>
        </w:rPr>
        <w:t>一、不計入風險資本額計算之項目分為「或有負債」及「衍生性金融商品」。依我國</w:t>
      </w:r>
      <w:r w:rsidR="00C65703" w:rsidRPr="00E224E9">
        <w:rPr>
          <w:rFonts w:ascii="標楷體" w:hAnsi="標楷體" w:hint="eastAsia"/>
          <w:color w:val="000000" w:themeColor="text1"/>
        </w:rPr>
        <w:t>國際會計準則</w:t>
      </w:r>
      <w:r w:rsidRPr="00E224E9">
        <w:rPr>
          <w:rFonts w:ascii="標楷體" w:hAnsi="標楷體" w:hint="eastAsia"/>
          <w:color w:val="000000" w:themeColor="text1"/>
        </w:rPr>
        <w:t>公報規定應揭露之「或有負債」，按人身保險業經會計師簽證之財務報表附註所揭露之確定額度做為填報風險部位金額之基礎。</w:t>
      </w:r>
      <w:bookmarkEnd w:id="131"/>
    </w:p>
    <w:p w14:paraId="06AD00CF" w14:textId="77777777" w:rsidR="00065C53" w:rsidRPr="00E224E9" w:rsidRDefault="00065C53">
      <w:pPr>
        <w:pStyle w:val="Layer3"/>
        <w:spacing w:line="440" w:lineRule="exact"/>
        <w:ind w:left="1065" w:hangingChars="200" w:hanging="480"/>
        <w:jc w:val="both"/>
        <w:rPr>
          <w:rFonts w:ascii="標楷體" w:hAnsi="標楷體"/>
          <w:color w:val="000000" w:themeColor="text1"/>
        </w:rPr>
      </w:pPr>
      <w:bookmarkStart w:id="132" w:name="_Toc7492340"/>
      <w:r w:rsidRPr="00E224E9">
        <w:rPr>
          <w:rFonts w:ascii="標楷體" w:hAnsi="標楷體" w:hint="eastAsia"/>
          <w:color w:val="000000" w:themeColor="text1"/>
        </w:rPr>
        <w:t>二、「衍生性金融商品」</w:t>
      </w:r>
      <w:bookmarkEnd w:id="132"/>
      <w:r w:rsidRPr="00E224E9">
        <w:rPr>
          <w:rFonts w:ascii="標楷體" w:hAnsi="標楷體" w:hint="eastAsia"/>
          <w:color w:val="000000" w:themeColor="text1"/>
        </w:rPr>
        <w:t>依交易目的區分為「以避險為目的」以及「以增加收益為目的」兩項。其中「以避險為目的」之衍生性金融商品以「表16-2-1：衍生性商品餘額明細表(總計)-以避險為目的」之被避險資產名目部位金額做為填報風險部位金額之基礎；以增加收益為目的」之衍生性金融商品則以「表16-2-2：衍生性商品餘額明細表(總計)-以增加收益為目的(買入衍生性商品)」及「表16-2-3：衍生性商品餘額明細表(總計)-以增加收益為目的(賣出衍生性商品)」之衍生性商品標的名目部位金額合計數做為填報風險部位金額之基礎。</w:t>
      </w:r>
    </w:p>
    <w:p w14:paraId="3604A81E" w14:textId="77777777" w:rsidR="00065C53" w:rsidRPr="00E224E9" w:rsidRDefault="00065C53">
      <w:pPr>
        <w:pStyle w:val="1"/>
        <w:spacing w:afterLines="0" w:line="440" w:lineRule="exact"/>
        <w:jc w:val="both"/>
        <w:rPr>
          <w:color w:val="000000" w:themeColor="text1"/>
        </w:rPr>
      </w:pPr>
      <w:r w:rsidRPr="00E224E9">
        <w:rPr>
          <w:b w:val="0"/>
          <w:bCs w:val="0"/>
          <w:color w:val="000000" w:themeColor="text1"/>
          <w:sz w:val="24"/>
          <w:szCs w:val="24"/>
        </w:rPr>
        <w:br w:type="page"/>
      </w:r>
      <w:bookmarkStart w:id="133" w:name="_Toc219262253"/>
      <w:bookmarkStart w:id="134" w:name="_Toc200468550"/>
      <w:r w:rsidRPr="00E224E9">
        <w:rPr>
          <w:rFonts w:hint="eastAsia"/>
          <w:color w:val="000000" w:themeColor="text1"/>
        </w:rPr>
        <w:lastRenderedPageBreak/>
        <w:t>表30-3-1：C1a：國內資產風險--非關係人信用風險計算表</w:t>
      </w:r>
      <w:bookmarkEnd w:id="133"/>
      <w:bookmarkEnd w:id="134"/>
    </w:p>
    <w:p w14:paraId="6BB25319"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此表主要計算考量信用風險之國內非關係人固定收益型證券風險資本額，並將計算結果匯集至表30-3計算總資產風險資本額，需依信用評等等級計算風險資本額之資產包括：</w:t>
      </w:r>
    </w:p>
    <w:p w14:paraId="332ADBDF" w14:textId="77777777" w:rsidR="00065C53" w:rsidRPr="00E224E9" w:rsidRDefault="00065C53">
      <w:pPr>
        <w:pStyle w:val="Layer2"/>
        <w:spacing w:line="440" w:lineRule="exact"/>
        <w:jc w:val="both"/>
        <w:rPr>
          <w:rFonts w:ascii="標楷體" w:hAnsi="標楷體"/>
          <w:color w:val="000000" w:themeColor="text1"/>
        </w:rPr>
      </w:pPr>
    </w:p>
    <w:p w14:paraId="0E41C22C"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1.2.1.2 公司債</w:t>
      </w:r>
    </w:p>
    <w:p w14:paraId="0BC2C264" w14:textId="77777777" w:rsidR="00065C53" w:rsidRPr="00E224E9" w:rsidRDefault="00065C53">
      <w:pPr>
        <w:pStyle w:val="Layer2"/>
        <w:spacing w:line="440" w:lineRule="exact"/>
        <w:ind w:firstLineChars="150" w:firstLine="360"/>
        <w:jc w:val="both"/>
        <w:rPr>
          <w:rFonts w:ascii="標楷體" w:hAnsi="標楷體"/>
          <w:color w:val="000000" w:themeColor="text1"/>
        </w:rPr>
      </w:pPr>
      <w:r w:rsidRPr="00E224E9">
        <w:rPr>
          <w:rFonts w:ascii="標楷體" w:hAnsi="標楷體" w:hint="eastAsia"/>
          <w:color w:val="000000" w:themeColor="text1"/>
        </w:rPr>
        <w:t>1.有信用評等</w:t>
      </w:r>
    </w:p>
    <w:p w14:paraId="49A836D7" w14:textId="77777777" w:rsidR="00065C53" w:rsidRPr="00E224E9" w:rsidRDefault="00065C53" w:rsidP="001B2BA6">
      <w:pPr>
        <w:pStyle w:val="Layer2"/>
        <w:spacing w:line="440" w:lineRule="exact"/>
        <w:ind w:leftChars="207" w:left="538" w:firstLineChars="11" w:firstLine="26"/>
        <w:jc w:val="both"/>
        <w:rPr>
          <w:rFonts w:ascii="標楷體" w:hAnsi="標楷體"/>
          <w:color w:val="000000" w:themeColor="text1"/>
        </w:rPr>
      </w:pPr>
      <w:r w:rsidRPr="00E224E9">
        <w:rPr>
          <w:rFonts w:ascii="標楷體" w:hAnsi="標楷體" w:hint="eastAsia"/>
          <w:color w:val="000000" w:themeColor="text1"/>
        </w:rPr>
        <w:t>依信用評等等級分別填報其</w:t>
      </w:r>
      <w:r w:rsidR="001B2BA6" w:rsidRPr="00E224E9">
        <w:rPr>
          <w:rFonts w:ascii="標楷體" w:hAnsi="標楷體" w:hint="eastAsia"/>
          <w:color w:val="000000" w:themeColor="text1"/>
        </w:rPr>
        <w:t>公司</w:t>
      </w:r>
      <w:r w:rsidRPr="00E224E9">
        <w:rPr>
          <w:rFonts w:ascii="標楷體" w:hAnsi="標楷體" w:hint="eastAsia"/>
          <w:color w:val="000000" w:themeColor="text1"/>
        </w:rPr>
        <w:t>債持有部位之認許資產金額，並按其所對應之風險係數計算風險資本額，信用評等之取決順序如下：</w:t>
      </w:r>
    </w:p>
    <w:p w14:paraId="554CBF01" w14:textId="77777777" w:rsidR="00065C53" w:rsidRPr="00E224E9" w:rsidRDefault="00065C53">
      <w:pPr>
        <w:pStyle w:val="Layer2"/>
        <w:spacing w:line="440" w:lineRule="exact"/>
        <w:ind w:firstLineChars="300" w:firstLine="720"/>
        <w:jc w:val="both"/>
        <w:rPr>
          <w:rFonts w:ascii="標楷體" w:hAnsi="標楷體"/>
          <w:color w:val="000000" w:themeColor="text1"/>
        </w:rPr>
      </w:pPr>
      <w:r w:rsidRPr="00E224E9">
        <w:rPr>
          <w:rFonts w:ascii="標楷體" w:hAnsi="標楷體" w:hint="eastAsia"/>
          <w:color w:val="000000" w:themeColor="text1"/>
        </w:rPr>
        <w:t>(1)公司債券信用評等</w:t>
      </w:r>
    </w:p>
    <w:p w14:paraId="7C486E97" w14:textId="77777777" w:rsidR="00065C53" w:rsidRPr="00E224E9" w:rsidRDefault="00065C53">
      <w:pPr>
        <w:pStyle w:val="Layer2"/>
        <w:spacing w:line="440" w:lineRule="exact"/>
        <w:ind w:firstLineChars="300" w:firstLine="720"/>
        <w:jc w:val="both"/>
        <w:rPr>
          <w:rFonts w:ascii="標楷體" w:hAnsi="標楷體"/>
          <w:color w:val="000000" w:themeColor="text1"/>
        </w:rPr>
      </w:pPr>
      <w:r w:rsidRPr="00E224E9">
        <w:rPr>
          <w:rFonts w:ascii="標楷體" w:hAnsi="標楷體" w:hint="eastAsia"/>
          <w:color w:val="000000" w:themeColor="text1"/>
        </w:rPr>
        <w:t>(2)公司債發行公司信用評等</w:t>
      </w:r>
    </w:p>
    <w:p w14:paraId="01C77FE9" w14:textId="77777777" w:rsidR="00F80861" w:rsidRPr="00E224E9" w:rsidRDefault="00F80861" w:rsidP="00F80861">
      <w:pPr>
        <w:pStyle w:val="Layer2"/>
        <w:spacing w:line="440" w:lineRule="exact"/>
        <w:ind w:leftChars="207" w:left="538" w:firstLineChars="3" w:firstLine="7"/>
        <w:jc w:val="both"/>
        <w:rPr>
          <w:rFonts w:ascii="標楷體" w:hAnsi="標楷體"/>
          <w:color w:val="000000" w:themeColor="text1"/>
        </w:rPr>
      </w:pPr>
      <w:r w:rsidRPr="00E224E9">
        <w:rPr>
          <w:rFonts w:ascii="標楷體" w:hAnsi="標楷體" w:hint="eastAsia"/>
          <w:color w:val="000000" w:themeColor="text1"/>
        </w:rPr>
        <w:t>國內次順位公司債本身無信用評等採發行公司信用評等計提風險資本者，調整以發行公司信用評等降3個評等等級計提風險資本。</w:t>
      </w:r>
    </w:p>
    <w:p w14:paraId="5D82B43B" w14:textId="77777777" w:rsidR="00065C53" w:rsidRPr="00E224E9" w:rsidRDefault="00065C53" w:rsidP="001B2BA6">
      <w:pPr>
        <w:pStyle w:val="Layer2"/>
        <w:spacing w:line="440" w:lineRule="exact"/>
        <w:ind w:leftChars="207" w:left="538" w:firstLineChars="3" w:firstLine="7"/>
        <w:jc w:val="both"/>
        <w:rPr>
          <w:rFonts w:ascii="標楷體" w:hAnsi="標楷體"/>
          <w:color w:val="000000" w:themeColor="text1"/>
        </w:rPr>
      </w:pPr>
      <w:r w:rsidRPr="00E224E9">
        <w:rPr>
          <w:rFonts w:ascii="標楷體" w:hAnsi="標楷體" w:hint="eastAsia"/>
          <w:color w:val="000000" w:themeColor="text1"/>
        </w:rPr>
        <w:t>同一標的之信用評等同時經由不同機構評等時，擇優引用風險係數。</w:t>
      </w:r>
    </w:p>
    <w:p w14:paraId="7A492A2D" w14:textId="77777777" w:rsidR="00065C53" w:rsidRPr="00E224E9" w:rsidRDefault="00065C53">
      <w:pPr>
        <w:pStyle w:val="Layer2"/>
        <w:spacing w:line="440" w:lineRule="exact"/>
        <w:ind w:firstLineChars="150" w:firstLine="360"/>
        <w:jc w:val="both"/>
        <w:rPr>
          <w:rFonts w:ascii="標楷體" w:hAnsi="標楷體"/>
          <w:color w:val="000000" w:themeColor="text1"/>
        </w:rPr>
      </w:pPr>
      <w:r w:rsidRPr="00E224E9">
        <w:rPr>
          <w:rFonts w:ascii="標楷體" w:hAnsi="標楷體" w:hint="eastAsia"/>
          <w:color w:val="000000" w:themeColor="text1"/>
        </w:rPr>
        <w:t>2.無評等公司債但提供保證的機構有評等：</w:t>
      </w:r>
    </w:p>
    <w:p w14:paraId="63E40305" w14:textId="77777777" w:rsidR="00065C53" w:rsidRPr="00E224E9" w:rsidRDefault="00065C53" w:rsidP="001B2BA6">
      <w:pPr>
        <w:pStyle w:val="Layer2"/>
        <w:spacing w:line="440" w:lineRule="exact"/>
        <w:ind w:leftChars="68" w:left="537" w:hangingChars="150" w:hanging="360"/>
        <w:jc w:val="both"/>
        <w:rPr>
          <w:rFonts w:ascii="標楷體" w:hAnsi="標楷體"/>
          <w:color w:val="000000" w:themeColor="text1"/>
        </w:rPr>
      </w:pPr>
      <w:r w:rsidRPr="00E224E9">
        <w:rPr>
          <w:rFonts w:ascii="標楷體" w:hAnsi="標楷體" w:hint="eastAsia"/>
          <w:color w:val="000000" w:themeColor="text1"/>
        </w:rPr>
        <w:t xml:space="preserve">   按保證銀行</w:t>
      </w:r>
      <w:r w:rsidR="001B2BA6" w:rsidRPr="00E224E9">
        <w:rPr>
          <w:rFonts w:ascii="標楷體" w:hAnsi="標楷體" w:hint="eastAsia"/>
          <w:color w:val="000000" w:themeColor="text1"/>
        </w:rPr>
        <w:t>或機構</w:t>
      </w:r>
      <w:r w:rsidRPr="00E224E9">
        <w:rPr>
          <w:rFonts w:ascii="標楷體" w:hAnsi="標楷體" w:hint="eastAsia"/>
          <w:color w:val="000000" w:themeColor="text1"/>
        </w:rPr>
        <w:t>之信用評等對應風險級分別填報其</w:t>
      </w:r>
      <w:r w:rsidR="001B2BA6" w:rsidRPr="00E224E9">
        <w:rPr>
          <w:rFonts w:ascii="標楷體" w:hAnsi="標楷體" w:hint="eastAsia"/>
          <w:color w:val="000000" w:themeColor="text1"/>
        </w:rPr>
        <w:t>公司</w:t>
      </w:r>
      <w:r w:rsidRPr="00E224E9">
        <w:rPr>
          <w:rFonts w:ascii="標楷體" w:hAnsi="標楷體" w:hint="eastAsia"/>
          <w:color w:val="000000" w:themeColor="text1"/>
        </w:rPr>
        <w:t xml:space="preserve">債持有部位之認許資產金額，並按其所對應之風險係數計算風險資本額。同一標的之信用評等同時經由不同機構評等時，擇優引用風險係數。   </w:t>
      </w:r>
    </w:p>
    <w:p w14:paraId="3D54CEA1" w14:textId="77777777" w:rsidR="00065C53" w:rsidRPr="00E224E9" w:rsidRDefault="00065C53">
      <w:pPr>
        <w:pStyle w:val="Layer2"/>
        <w:spacing w:line="440" w:lineRule="exact"/>
        <w:ind w:left="600" w:hangingChars="250" w:hanging="600"/>
        <w:jc w:val="both"/>
        <w:rPr>
          <w:rFonts w:ascii="標楷體" w:hAnsi="標楷體"/>
          <w:color w:val="000000" w:themeColor="text1"/>
        </w:rPr>
      </w:pPr>
      <w:r w:rsidRPr="00E224E9">
        <w:rPr>
          <w:rFonts w:ascii="標楷體" w:hAnsi="標楷體" w:hint="eastAsia"/>
          <w:color w:val="000000" w:themeColor="text1"/>
        </w:rPr>
        <w:t xml:space="preserve">   </w:t>
      </w:r>
      <w:r w:rsidR="001B2BA6" w:rsidRPr="00E224E9">
        <w:rPr>
          <w:rFonts w:ascii="標楷體" w:hAnsi="標楷體" w:hint="eastAsia"/>
          <w:color w:val="000000" w:themeColor="text1"/>
        </w:rPr>
        <w:t>3</w:t>
      </w:r>
      <w:r w:rsidRPr="00E224E9">
        <w:rPr>
          <w:rFonts w:ascii="標楷體" w:hAnsi="標楷體" w:hint="eastAsia"/>
          <w:color w:val="000000" w:themeColor="text1"/>
        </w:rPr>
        <w:t>.可轉換公司債及附認股權公司債：公司持有可轉換公司債及附認股權公司債之投資部位認許資產之合計數填報風險部位金額，並乘以「表30-3：C1：資產風險--非關係人風險計算表」所對應之風險係數，據以計算本投資項目之風險資本額。</w:t>
      </w:r>
    </w:p>
    <w:p w14:paraId="7987BAF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1.2.1.3 金融債券</w:t>
      </w:r>
    </w:p>
    <w:p w14:paraId="671CBD0B" w14:textId="77777777" w:rsidR="00065C53" w:rsidRPr="00E224E9" w:rsidRDefault="00065C53">
      <w:pPr>
        <w:pStyle w:val="Layer2"/>
        <w:spacing w:line="440" w:lineRule="exact"/>
        <w:ind w:leftChars="184" w:left="538" w:hangingChars="25" w:hanging="60"/>
        <w:jc w:val="both"/>
        <w:rPr>
          <w:rFonts w:ascii="標楷體" w:hAnsi="標楷體"/>
          <w:color w:val="000000" w:themeColor="text1"/>
        </w:rPr>
      </w:pPr>
      <w:r w:rsidRPr="00E224E9">
        <w:rPr>
          <w:rFonts w:ascii="標楷體" w:hAnsi="標楷體" w:hint="eastAsia"/>
          <w:color w:val="000000" w:themeColor="text1"/>
        </w:rPr>
        <w:t>依信用評等等級分別填報其金融債券持有部位之認許資產金額，並按其所對應之風險係數計算風險資本額，信用評等之取決順序如下：</w:t>
      </w:r>
    </w:p>
    <w:p w14:paraId="548D4010"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hint="eastAsia"/>
          <w:color w:val="000000" w:themeColor="text1"/>
        </w:rPr>
        <w:t>1.金融債券信用評等</w:t>
      </w:r>
    </w:p>
    <w:p w14:paraId="49DF8353"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hint="eastAsia"/>
          <w:color w:val="000000" w:themeColor="text1"/>
        </w:rPr>
        <w:t>2.金融債券發行銀行信用評等</w:t>
      </w:r>
    </w:p>
    <w:p w14:paraId="1EBDD501" w14:textId="77777777" w:rsidR="0034450F" w:rsidRPr="00E224E9" w:rsidRDefault="0034450F">
      <w:pPr>
        <w:pStyle w:val="Layer2"/>
        <w:spacing w:line="440" w:lineRule="exact"/>
        <w:ind w:leftChars="207" w:left="538" w:firstLine="2"/>
        <w:jc w:val="both"/>
        <w:rPr>
          <w:rFonts w:ascii="標楷體" w:hAnsi="標楷體"/>
          <w:color w:val="000000" w:themeColor="text1"/>
        </w:rPr>
      </w:pPr>
      <w:r w:rsidRPr="00E224E9">
        <w:rPr>
          <w:rFonts w:ascii="標楷體" w:hAnsi="標楷體" w:hint="eastAsia"/>
          <w:color w:val="000000" w:themeColor="text1"/>
        </w:rPr>
        <w:t>國內</w:t>
      </w:r>
      <w:r w:rsidR="00F80861" w:rsidRPr="00E224E9">
        <w:rPr>
          <w:rFonts w:ascii="標楷體" w:hAnsi="標楷體" w:hint="eastAsia"/>
          <w:color w:val="000000" w:themeColor="text1"/>
        </w:rPr>
        <w:t>次順位金融債券</w:t>
      </w:r>
      <w:r w:rsidRPr="00E224E9">
        <w:rPr>
          <w:rFonts w:ascii="標楷體" w:hAnsi="標楷體" w:hint="eastAsia"/>
          <w:color w:val="000000" w:themeColor="text1"/>
        </w:rPr>
        <w:t>本身無信用評等採發行</w:t>
      </w:r>
      <w:r w:rsidR="00F80861" w:rsidRPr="00E224E9">
        <w:rPr>
          <w:rFonts w:ascii="標楷體" w:hAnsi="標楷體" w:hint="eastAsia"/>
          <w:color w:val="000000" w:themeColor="text1"/>
        </w:rPr>
        <w:t>銀行信用</w:t>
      </w:r>
      <w:r w:rsidRPr="00E224E9">
        <w:rPr>
          <w:rFonts w:ascii="標楷體" w:hAnsi="標楷體" w:hint="eastAsia"/>
          <w:color w:val="000000" w:themeColor="text1"/>
        </w:rPr>
        <w:t>評等計提風險資本者，調整以發行</w:t>
      </w:r>
      <w:r w:rsidR="00F80861" w:rsidRPr="00E224E9">
        <w:rPr>
          <w:rFonts w:ascii="標楷體" w:hAnsi="標楷體" w:hint="eastAsia"/>
          <w:color w:val="000000" w:themeColor="text1"/>
        </w:rPr>
        <w:t>銀行信用</w:t>
      </w:r>
      <w:r w:rsidRPr="00E224E9">
        <w:rPr>
          <w:rFonts w:ascii="標楷體" w:hAnsi="標楷體" w:hint="eastAsia"/>
          <w:color w:val="000000" w:themeColor="text1"/>
        </w:rPr>
        <w:t>評等降3個評等等級計提風險資本。</w:t>
      </w:r>
    </w:p>
    <w:p w14:paraId="73A156A2" w14:textId="77777777" w:rsidR="00065C53" w:rsidRPr="00E224E9" w:rsidRDefault="00065C53">
      <w:pPr>
        <w:pStyle w:val="Layer2"/>
        <w:spacing w:line="440" w:lineRule="exact"/>
        <w:ind w:leftChars="207" w:left="538" w:firstLine="2"/>
        <w:jc w:val="both"/>
        <w:rPr>
          <w:rFonts w:ascii="標楷體" w:hAnsi="標楷體"/>
          <w:color w:val="000000" w:themeColor="text1"/>
        </w:rPr>
      </w:pPr>
      <w:r w:rsidRPr="00E224E9">
        <w:rPr>
          <w:rFonts w:ascii="標楷體" w:hAnsi="標楷體" w:hint="eastAsia"/>
          <w:color w:val="000000" w:themeColor="text1"/>
        </w:rPr>
        <w:t>若無法取得投資標的之信用評等等級者，則按最低評等等級所對應之數值作為風險係數。</w:t>
      </w:r>
    </w:p>
    <w:p w14:paraId="0F858BCD" w14:textId="77777777" w:rsidR="0034450F" w:rsidRPr="00E224E9" w:rsidRDefault="0034450F" w:rsidP="0034450F">
      <w:pPr>
        <w:pStyle w:val="Layer2"/>
        <w:spacing w:line="440" w:lineRule="exact"/>
        <w:ind w:leftChars="109" w:left="283" w:firstLineChars="3" w:firstLine="7"/>
        <w:jc w:val="both"/>
        <w:rPr>
          <w:rFonts w:ascii="標楷體" w:hAnsi="標楷體"/>
          <w:color w:val="000000" w:themeColor="text1"/>
        </w:rPr>
      </w:pPr>
    </w:p>
    <w:p w14:paraId="1150F032" w14:textId="77777777" w:rsidR="00065C53" w:rsidRPr="00E224E9" w:rsidRDefault="00065C53">
      <w:pPr>
        <w:pStyle w:val="Layer2"/>
        <w:spacing w:line="440" w:lineRule="exact"/>
        <w:ind w:firstLineChars="50" w:firstLine="120"/>
        <w:jc w:val="both"/>
        <w:rPr>
          <w:rFonts w:ascii="標楷體" w:hAnsi="標楷體"/>
          <w:color w:val="000000" w:themeColor="text1"/>
        </w:rPr>
      </w:pPr>
      <w:r w:rsidRPr="00E224E9">
        <w:rPr>
          <w:rFonts w:ascii="標楷體" w:hAnsi="標楷體" w:hint="eastAsia"/>
          <w:color w:val="000000" w:themeColor="text1"/>
        </w:rPr>
        <w:lastRenderedPageBreak/>
        <w:t>1.2.1.4 不動產受益證券及金融資產受益證券(含資產基礎證券)</w:t>
      </w:r>
    </w:p>
    <w:p w14:paraId="691B74E5" w14:textId="77777777" w:rsidR="00065C53" w:rsidRPr="00E224E9" w:rsidRDefault="00065C53">
      <w:pPr>
        <w:pStyle w:val="Layer2"/>
        <w:spacing w:line="440" w:lineRule="exact"/>
        <w:ind w:leftChars="138" w:left="539" w:hangingChars="75" w:hanging="180"/>
        <w:jc w:val="both"/>
        <w:rPr>
          <w:rFonts w:ascii="標楷體" w:hAnsi="標楷體"/>
          <w:color w:val="000000" w:themeColor="text1"/>
        </w:rPr>
      </w:pPr>
      <w:r w:rsidRPr="00E224E9">
        <w:rPr>
          <w:rFonts w:ascii="標楷體" w:hAnsi="標楷體" w:hint="eastAsia"/>
          <w:color w:val="000000" w:themeColor="text1"/>
        </w:rPr>
        <w:t>1.有信用評等：依信用評等等級分別填報其不動產受益證券及金融資產受益證券(含資產基礎證券)持有部位之認許資產金額，並按其所對應之風險係數計算風險資本額。</w:t>
      </w:r>
    </w:p>
    <w:p w14:paraId="5D606103" w14:textId="77777777" w:rsidR="00065C53" w:rsidRPr="00E224E9" w:rsidRDefault="00065C53">
      <w:pPr>
        <w:pStyle w:val="Layer2"/>
        <w:spacing w:line="440" w:lineRule="exact"/>
        <w:ind w:leftChars="137" w:left="536" w:hangingChars="75" w:hanging="180"/>
        <w:jc w:val="both"/>
        <w:rPr>
          <w:rFonts w:ascii="標楷體" w:hAnsi="標楷體"/>
          <w:color w:val="000000" w:themeColor="text1"/>
        </w:rPr>
      </w:pPr>
      <w:r w:rsidRPr="00E224E9">
        <w:rPr>
          <w:rFonts w:ascii="標楷體" w:hAnsi="標楷體" w:hint="eastAsia"/>
          <w:color w:val="000000" w:themeColor="text1"/>
        </w:rPr>
        <w:t>2.無信用評等：按公司持有無評等不動產(REAT)及金融資產受益證券(含資產基礎證券)之投資部位認許資產之合計數填報風險部位金額，並乘以「表30-15：無評等不動產(REAT)及金融資產受益證券(含資產基礎證券)風險資本額計算表」所填報之風險係數，據以計算本投資項目之風險資本額。</w:t>
      </w:r>
    </w:p>
    <w:p w14:paraId="5576988A" w14:textId="69747260" w:rsidR="00065C53" w:rsidRPr="004754EF" w:rsidRDefault="00065C53">
      <w:pPr>
        <w:pStyle w:val="Layer2"/>
        <w:spacing w:line="440" w:lineRule="exact"/>
        <w:ind w:leftChars="149" w:left="536" w:hangingChars="62" w:hanging="149"/>
        <w:jc w:val="both"/>
        <w:rPr>
          <w:rFonts w:ascii="標楷體" w:hAnsi="標楷體"/>
          <w:color w:val="000000" w:themeColor="text1"/>
        </w:rPr>
      </w:pPr>
      <w:r w:rsidRPr="004754EF">
        <w:rPr>
          <w:rFonts w:ascii="標楷體" w:hAnsi="標楷體" w:hint="eastAsia"/>
          <w:color w:val="000000" w:themeColor="text1"/>
        </w:rPr>
        <w:t>3.不動產投資信託受益證券(REIT)</w:t>
      </w:r>
      <w:r w:rsidR="004754EF" w:rsidRPr="004D5D28">
        <w:rPr>
          <w:rFonts w:ascii="標楷體" w:hAnsi="標楷體"/>
          <w:color w:val="EE0000"/>
        </w:rPr>
        <w:t>_公共建設(100%)以外</w:t>
      </w:r>
      <w:r w:rsidRPr="004754EF">
        <w:rPr>
          <w:rFonts w:ascii="標楷體" w:hAnsi="標楷體" w:hint="eastAsia"/>
          <w:color w:val="000000" w:themeColor="text1"/>
        </w:rPr>
        <w:t>：按公司持有不動產投資信託受益證券之投資部位</w:t>
      </w:r>
      <w:r w:rsidR="004754EF" w:rsidRPr="004D5D28">
        <w:rPr>
          <w:rFonts w:ascii="標楷體" w:hAnsi="標楷體" w:hint="eastAsia"/>
          <w:color w:val="EE0000"/>
        </w:rPr>
        <w:t>【</w:t>
      </w:r>
      <w:r w:rsidR="004754EF" w:rsidRPr="004754EF">
        <w:rPr>
          <w:rFonts w:ascii="標楷體" w:hAnsi="標楷體"/>
          <w:color w:val="EE0000"/>
        </w:rPr>
        <w:t>REIT_</w:t>
      </w:r>
      <w:r w:rsidR="004754EF" w:rsidRPr="004D5D28">
        <w:rPr>
          <w:rFonts w:ascii="標楷體" w:hAnsi="標楷體" w:hint="eastAsia"/>
          <w:color w:val="EE0000"/>
        </w:rPr>
        <w:t>公共建設</w:t>
      </w:r>
      <w:r w:rsidR="004754EF" w:rsidRPr="004D5D28">
        <w:rPr>
          <w:rFonts w:ascii="標楷體" w:hAnsi="標楷體"/>
          <w:color w:val="EE0000"/>
        </w:rPr>
        <w:t>(100%)</w:t>
      </w:r>
      <w:r w:rsidR="004754EF" w:rsidRPr="004754EF">
        <w:rPr>
          <w:rFonts w:ascii="標楷體" w:hAnsi="標楷體" w:hint="eastAsia"/>
          <w:color w:val="EE0000"/>
        </w:rPr>
        <w:t>以外</w:t>
      </w:r>
      <w:r w:rsidR="004754EF" w:rsidRPr="004D5D28">
        <w:rPr>
          <w:rFonts w:ascii="標楷體" w:hAnsi="標楷體" w:hint="eastAsia"/>
          <w:color w:val="EE0000"/>
        </w:rPr>
        <w:t>】</w:t>
      </w:r>
      <w:r w:rsidRPr="004754EF">
        <w:rPr>
          <w:rFonts w:ascii="標楷體" w:hAnsi="標楷體" w:hint="eastAsia"/>
          <w:color w:val="000000" w:themeColor="text1"/>
        </w:rPr>
        <w:t>認許資產之合計數填報風險部位金額，並乘以「表30-3：C1：資產風險--非關係人風險計算表」所對應之風險係數，據以計算本投資項目之風險資本額。</w:t>
      </w:r>
    </w:p>
    <w:p w14:paraId="58072DD7" w14:textId="50C4AC36" w:rsidR="00E224E9" w:rsidRDefault="00E224E9">
      <w:pPr>
        <w:pStyle w:val="Layer2"/>
        <w:spacing w:line="440" w:lineRule="exact"/>
        <w:ind w:leftChars="149" w:left="536" w:hangingChars="62" w:hanging="149"/>
        <w:jc w:val="both"/>
        <w:rPr>
          <w:rFonts w:ascii="標楷體" w:hAnsi="標楷體"/>
          <w:color w:val="EE0000"/>
        </w:rPr>
      </w:pPr>
      <w:r w:rsidRPr="004D5D28">
        <w:rPr>
          <w:rFonts w:ascii="標楷體" w:hAnsi="標楷體"/>
          <w:color w:val="EE0000"/>
        </w:rPr>
        <w:t>4.</w:t>
      </w:r>
      <w:r w:rsidRPr="00E224E9">
        <w:rPr>
          <w:rFonts w:ascii="標楷體" w:hAnsi="標楷體" w:hint="eastAsia"/>
          <w:color w:val="EE0000"/>
        </w:rPr>
        <w:t>不動產投資信託受益證券(REIT)_公共建設(100%)</w:t>
      </w:r>
      <w:r>
        <w:rPr>
          <w:rFonts w:ascii="標楷體" w:hAnsi="標楷體" w:hint="eastAsia"/>
          <w:color w:val="EE0000"/>
        </w:rPr>
        <w:t>：</w:t>
      </w:r>
    </w:p>
    <w:p w14:paraId="7968B662" w14:textId="392C6E87" w:rsidR="00E224E9" w:rsidRPr="004D5D28" w:rsidRDefault="00E224E9" w:rsidP="004D5D28">
      <w:pPr>
        <w:pStyle w:val="Layer2"/>
        <w:spacing w:line="440" w:lineRule="exact"/>
        <w:ind w:leftChars="232" w:left="613" w:hangingChars="4" w:hanging="10"/>
        <w:jc w:val="both"/>
        <w:rPr>
          <w:rFonts w:ascii="標楷體" w:hAnsi="標楷體"/>
          <w:color w:val="EE0000"/>
        </w:rPr>
      </w:pPr>
      <w:r w:rsidRPr="00E224E9">
        <w:rPr>
          <w:rFonts w:ascii="標楷體" w:hAnsi="標楷體" w:hint="eastAsia"/>
          <w:color w:val="EE0000"/>
        </w:rPr>
        <w:t>底層投資標的100%為公共投資(即，「保險業資金辦理專案運用公共及社會福利事業投資管理辦法」第3條之項目)</w:t>
      </w:r>
    </w:p>
    <w:p w14:paraId="41C6C7EA" w14:textId="77777777" w:rsidR="00065C53" w:rsidRPr="00E224E9" w:rsidRDefault="00065C53">
      <w:pPr>
        <w:pStyle w:val="Layer2"/>
        <w:spacing w:line="440" w:lineRule="exact"/>
        <w:ind w:firstLineChars="50" w:firstLine="120"/>
        <w:jc w:val="both"/>
        <w:rPr>
          <w:rFonts w:ascii="標楷體" w:hAnsi="標楷體"/>
          <w:color w:val="000000" w:themeColor="text1"/>
        </w:rPr>
      </w:pPr>
      <w:r w:rsidRPr="00E224E9">
        <w:rPr>
          <w:rFonts w:ascii="標楷體" w:hAnsi="標楷體" w:hint="eastAsia"/>
          <w:color w:val="000000" w:themeColor="text1"/>
        </w:rPr>
        <w:t>1.2.3.4.1 固定收益特別股</w:t>
      </w:r>
    </w:p>
    <w:p w14:paraId="01F0376D" w14:textId="77777777" w:rsidR="00065C53" w:rsidRPr="00E224E9" w:rsidRDefault="00065C53">
      <w:pPr>
        <w:pStyle w:val="Layer2"/>
        <w:spacing w:line="440" w:lineRule="exact"/>
        <w:ind w:leftChars="149" w:left="536" w:hangingChars="62" w:hanging="149"/>
        <w:jc w:val="both"/>
        <w:rPr>
          <w:rFonts w:ascii="標楷體" w:hAnsi="標楷體"/>
          <w:color w:val="000000" w:themeColor="text1"/>
        </w:rPr>
      </w:pPr>
      <w:r w:rsidRPr="00E224E9">
        <w:rPr>
          <w:rFonts w:ascii="標楷體" w:hAnsi="標楷體" w:hint="eastAsia"/>
          <w:color w:val="000000" w:themeColor="text1"/>
        </w:rPr>
        <w:t>1.固定收益特別股係指同時符合下列五條件者：</w:t>
      </w:r>
      <w:r w:rsidRPr="00E224E9">
        <w:rPr>
          <w:rFonts w:ascii="標楷體" w:hAnsi="標楷體" w:cs="MS Mincho" w:hint="eastAsia"/>
          <w:color w:val="000000" w:themeColor="text1"/>
        </w:rPr>
        <w:t>①</w:t>
      </w:r>
      <w:r w:rsidRPr="00E224E9">
        <w:rPr>
          <w:rFonts w:ascii="標楷體" w:hAnsi="標楷體" w:cs="標楷體" w:hint="eastAsia"/>
          <w:color w:val="000000" w:themeColor="text1"/>
        </w:rPr>
        <w:t>有固定到期日</w:t>
      </w:r>
      <w:r w:rsidRPr="00E224E9">
        <w:rPr>
          <w:rFonts w:ascii="標楷體" w:hAnsi="標楷體" w:cs="MS Mincho" w:hint="eastAsia"/>
          <w:color w:val="000000" w:themeColor="text1"/>
        </w:rPr>
        <w:t>②</w:t>
      </w:r>
      <w:r w:rsidRPr="00E224E9">
        <w:rPr>
          <w:rFonts w:ascii="標楷體" w:hAnsi="標楷體" w:cs="標楷體" w:hint="eastAsia"/>
          <w:color w:val="000000" w:themeColor="text1"/>
        </w:rPr>
        <w:t>固定股利率</w:t>
      </w:r>
      <w:r w:rsidRPr="00E224E9">
        <w:rPr>
          <w:rFonts w:ascii="標楷體" w:hAnsi="標楷體" w:cs="MS Mincho" w:hint="eastAsia"/>
          <w:color w:val="000000" w:themeColor="text1"/>
        </w:rPr>
        <w:t>③</w:t>
      </w:r>
      <w:r w:rsidRPr="00E224E9">
        <w:rPr>
          <w:rFonts w:ascii="標楷體" w:hAnsi="標楷體" w:cs="標楷體" w:hint="eastAsia"/>
          <w:color w:val="000000" w:themeColor="text1"/>
        </w:rPr>
        <w:t>可累</w:t>
      </w:r>
      <w:r w:rsidRPr="00E224E9">
        <w:rPr>
          <w:rFonts w:ascii="標楷體" w:hAnsi="標楷體"/>
          <w:color w:val="000000" w:themeColor="text1"/>
        </w:rPr>
        <w:t>積④到期償還本金⑤非強制轉換</w:t>
      </w:r>
    </w:p>
    <w:p w14:paraId="778AF4C9" w14:textId="77777777" w:rsidR="00065C53" w:rsidRPr="00E224E9" w:rsidRDefault="00065C53">
      <w:pPr>
        <w:pStyle w:val="Layer2"/>
        <w:spacing w:line="440" w:lineRule="exact"/>
        <w:ind w:leftChars="149" w:left="536" w:hangingChars="62" w:hanging="149"/>
        <w:jc w:val="both"/>
        <w:rPr>
          <w:rFonts w:ascii="標楷體" w:hAnsi="標楷體"/>
          <w:color w:val="000000" w:themeColor="text1"/>
        </w:rPr>
      </w:pPr>
      <w:r w:rsidRPr="00E224E9">
        <w:rPr>
          <w:rFonts w:ascii="標楷體" w:hAnsi="標楷體"/>
          <w:color w:val="000000" w:themeColor="text1"/>
        </w:rPr>
        <w:t>2.固定收益特別股依特別股發行公司信用評等計算風險資本額。</w:t>
      </w:r>
      <w:r w:rsidRPr="00E224E9">
        <w:rPr>
          <w:rFonts w:ascii="標楷體" w:hAnsi="標楷體" w:hint="eastAsia"/>
          <w:color w:val="000000" w:themeColor="text1"/>
        </w:rPr>
        <w:t>若無法取得投資標的之信用評等等級者，則按最低評等等級所對應之數值作為風險係數。</w:t>
      </w:r>
    </w:p>
    <w:p w14:paraId="28DDB8F6" w14:textId="77777777" w:rsidR="00065C53" w:rsidRPr="00E224E9" w:rsidRDefault="00065C53">
      <w:pPr>
        <w:pStyle w:val="Layer2"/>
        <w:spacing w:line="440" w:lineRule="exact"/>
        <w:ind w:leftChars="150" w:left="630" w:hangingChars="100" w:hanging="240"/>
        <w:jc w:val="both"/>
        <w:rPr>
          <w:rFonts w:ascii="標楷體" w:hAnsi="標楷體"/>
          <w:color w:val="000000" w:themeColor="text1"/>
        </w:rPr>
      </w:pPr>
    </w:p>
    <w:p w14:paraId="5D0D7C2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bCs/>
          <w:color w:val="000000" w:themeColor="text1"/>
          <w:sz w:val="24"/>
        </w:rPr>
        <w:t>計算人身保險業資本適足率，</w:t>
      </w:r>
      <w:r w:rsidRPr="00E224E9">
        <w:rPr>
          <w:rFonts w:ascii="標楷體" w:hAnsi="標楷體" w:hint="eastAsia"/>
          <w:color w:val="000000" w:themeColor="text1"/>
          <w:sz w:val="24"/>
        </w:rPr>
        <w:t>信用評等公司長期信用評等等級之比較</w:t>
      </w: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2"/>
        <w:gridCol w:w="1821"/>
        <w:gridCol w:w="1843"/>
      </w:tblGrid>
      <w:tr w:rsidR="00E224E9" w:rsidRPr="00E224E9" w14:paraId="728EDC3D" w14:textId="77777777" w:rsidTr="00824BED">
        <w:trPr>
          <w:tblHeader/>
        </w:trPr>
        <w:tc>
          <w:tcPr>
            <w:tcW w:w="2122" w:type="dxa"/>
            <w:shd w:val="clear" w:color="auto" w:fill="CCCCCC"/>
          </w:tcPr>
          <w:p w14:paraId="696196C6" w14:textId="23F08B35"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S&amp;P</w:t>
            </w:r>
            <w:r w:rsidRPr="00E224E9">
              <w:rPr>
                <w:rFonts w:ascii="標楷體" w:hAnsi="標楷體" w:hint="eastAsia"/>
                <w:color w:val="000000" w:themeColor="text1"/>
                <w:sz w:val="24"/>
              </w:rPr>
              <w:t>、</w:t>
            </w:r>
            <w:r w:rsidRPr="00E224E9">
              <w:rPr>
                <w:rFonts w:ascii="標楷體" w:hAnsi="標楷體"/>
                <w:color w:val="000000" w:themeColor="text1"/>
                <w:sz w:val="24"/>
              </w:rPr>
              <w:t>Fitch</w:t>
            </w:r>
            <w:r w:rsidR="00E95FD7" w:rsidRPr="00E224E9">
              <w:rPr>
                <w:rFonts w:ascii="標楷體" w:hAnsi="標楷體" w:hint="eastAsia"/>
                <w:color w:val="000000" w:themeColor="text1"/>
                <w:sz w:val="24"/>
              </w:rPr>
              <w:t>、</w:t>
            </w:r>
            <w:r w:rsidRPr="00E224E9">
              <w:rPr>
                <w:rFonts w:ascii="標楷體" w:hAnsi="標楷體"/>
                <w:color w:val="000000" w:themeColor="text1"/>
                <w:sz w:val="24"/>
              </w:rPr>
              <w:t>KBRA</w:t>
            </w:r>
          </w:p>
        </w:tc>
        <w:tc>
          <w:tcPr>
            <w:tcW w:w="1821" w:type="dxa"/>
            <w:shd w:val="clear" w:color="auto" w:fill="CCCCCC"/>
          </w:tcPr>
          <w:p w14:paraId="5FE20E42" w14:textId="624978C8"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Moody’s</w:t>
            </w:r>
          </w:p>
        </w:tc>
        <w:tc>
          <w:tcPr>
            <w:tcW w:w="1843" w:type="dxa"/>
            <w:shd w:val="clear" w:color="auto" w:fill="CCCCCC"/>
          </w:tcPr>
          <w:p w14:paraId="7E49DC21" w14:textId="06207DE9"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中華信評</w:t>
            </w:r>
          </w:p>
        </w:tc>
      </w:tr>
      <w:tr w:rsidR="00E224E9" w:rsidRPr="00E224E9" w14:paraId="5E3D2612" w14:textId="77777777" w:rsidTr="00824BED">
        <w:tc>
          <w:tcPr>
            <w:tcW w:w="2122" w:type="dxa"/>
            <w:vAlign w:val="bottom"/>
          </w:tcPr>
          <w:p w14:paraId="6DA412E8"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AAA</w:t>
            </w:r>
          </w:p>
        </w:tc>
        <w:tc>
          <w:tcPr>
            <w:tcW w:w="1821" w:type="dxa"/>
            <w:vAlign w:val="bottom"/>
          </w:tcPr>
          <w:p w14:paraId="4A764D22" w14:textId="48324403"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Aaa</w:t>
            </w:r>
          </w:p>
        </w:tc>
        <w:tc>
          <w:tcPr>
            <w:tcW w:w="1843" w:type="dxa"/>
          </w:tcPr>
          <w:p w14:paraId="3779FF1F" w14:textId="1ACE0B3F"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w:t>
            </w:r>
          </w:p>
        </w:tc>
      </w:tr>
      <w:tr w:rsidR="00E224E9" w:rsidRPr="00E224E9" w14:paraId="4887F239" w14:textId="77777777" w:rsidTr="00824BED">
        <w:tc>
          <w:tcPr>
            <w:tcW w:w="2122" w:type="dxa"/>
            <w:vAlign w:val="bottom"/>
          </w:tcPr>
          <w:p w14:paraId="6AEA6A43"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w:t>
            </w:r>
          </w:p>
        </w:tc>
        <w:tc>
          <w:tcPr>
            <w:tcW w:w="1821" w:type="dxa"/>
            <w:vAlign w:val="bottom"/>
          </w:tcPr>
          <w:p w14:paraId="3DFB717E" w14:textId="71402D63"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Aa1</w:t>
            </w:r>
          </w:p>
        </w:tc>
        <w:tc>
          <w:tcPr>
            <w:tcW w:w="1843" w:type="dxa"/>
          </w:tcPr>
          <w:p w14:paraId="723DD100" w14:textId="1E8B089C"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w:t>
            </w:r>
          </w:p>
        </w:tc>
      </w:tr>
      <w:tr w:rsidR="00E224E9" w:rsidRPr="00E224E9" w14:paraId="6AEDE05A" w14:textId="77777777" w:rsidTr="00824BED">
        <w:tc>
          <w:tcPr>
            <w:tcW w:w="2122" w:type="dxa"/>
            <w:tcBorders>
              <w:bottom w:val="single" w:sz="4" w:space="0" w:color="auto"/>
            </w:tcBorders>
            <w:vAlign w:val="bottom"/>
          </w:tcPr>
          <w:p w14:paraId="22644D0D"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w:t>
            </w:r>
          </w:p>
        </w:tc>
        <w:tc>
          <w:tcPr>
            <w:tcW w:w="1821" w:type="dxa"/>
            <w:tcBorders>
              <w:bottom w:val="single" w:sz="4" w:space="0" w:color="auto"/>
            </w:tcBorders>
            <w:vAlign w:val="bottom"/>
          </w:tcPr>
          <w:p w14:paraId="7CECA51D" w14:textId="7414E770"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Aa2</w:t>
            </w:r>
          </w:p>
        </w:tc>
        <w:tc>
          <w:tcPr>
            <w:tcW w:w="1843" w:type="dxa"/>
            <w:tcBorders>
              <w:bottom w:val="single" w:sz="4" w:space="0" w:color="auto"/>
            </w:tcBorders>
            <w:vAlign w:val="bottom"/>
          </w:tcPr>
          <w:p w14:paraId="1D874EFC" w14:textId="6B9B7F70"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w:t>
            </w:r>
          </w:p>
        </w:tc>
      </w:tr>
      <w:tr w:rsidR="00E224E9" w:rsidRPr="00E224E9" w14:paraId="7BCF27CB" w14:textId="77777777" w:rsidTr="00824BED">
        <w:tc>
          <w:tcPr>
            <w:tcW w:w="2122" w:type="dxa"/>
            <w:shd w:val="clear" w:color="auto" w:fill="auto"/>
            <w:vAlign w:val="bottom"/>
          </w:tcPr>
          <w:p w14:paraId="42C4CF7C"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w:t>
            </w:r>
          </w:p>
        </w:tc>
        <w:tc>
          <w:tcPr>
            <w:tcW w:w="1821" w:type="dxa"/>
            <w:shd w:val="clear" w:color="auto" w:fill="auto"/>
            <w:vAlign w:val="bottom"/>
          </w:tcPr>
          <w:p w14:paraId="1358AC61" w14:textId="48E7CEB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Aa3</w:t>
            </w:r>
          </w:p>
        </w:tc>
        <w:tc>
          <w:tcPr>
            <w:tcW w:w="1843" w:type="dxa"/>
            <w:shd w:val="clear" w:color="auto" w:fill="auto"/>
            <w:vAlign w:val="bottom"/>
          </w:tcPr>
          <w:p w14:paraId="4BD9C108" w14:textId="69A1B18F"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twAAA</w:t>
            </w:r>
          </w:p>
        </w:tc>
      </w:tr>
      <w:tr w:rsidR="00E224E9" w:rsidRPr="00E224E9" w14:paraId="614B5D09" w14:textId="77777777" w:rsidTr="00824BED">
        <w:tc>
          <w:tcPr>
            <w:tcW w:w="2122" w:type="dxa"/>
            <w:vAlign w:val="bottom"/>
          </w:tcPr>
          <w:p w14:paraId="5536996C"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w:t>
            </w:r>
          </w:p>
        </w:tc>
        <w:tc>
          <w:tcPr>
            <w:tcW w:w="1821" w:type="dxa"/>
            <w:vAlign w:val="bottom"/>
          </w:tcPr>
          <w:p w14:paraId="2AA895AF" w14:textId="06EA5F51"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A1</w:t>
            </w:r>
          </w:p>
        </w:tc>
        <w:tc>
          <w:tcPr>
            <w:tcW w:w="1843" w:type="dxa"/>
            <w:vAlign w:val="bottom"/>
          </w:tcPr>
          <w:p w14:paraId="20831F10" w14:textId="6E451E79"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twAA+</w:t>
            </w:r>
          </w:p>
        </w:tc>
      </w:tr>
      <w:tr w:rsidR="00E224E9" w:rsidRPr="00E224E9" w14:paraId="4184D6F4" w14:textId="77777777" w:rsidTr="00824BED">
        <w:tc>
          <w:tcPr>
            <w:tcW w:w="2122" w:type="dxa"/>
            <w:vAlign w:val="bottom"/>
          </w:tcPr>
          <w:p w14:paraId="233D1343"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w:t>
            </w:r>
          </w:p>
        </w:tc>
        <w:tc>
          <w:tcPr>
            <w:tcW w:w="1821" w:type="dxa"/>
            <w:vAlign w:val="bottom"/>
          </w:tcPr>
          <w:p w14:paraId="7918C7E1" w14:textId="7B6875D8"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A2</w:t>
            </w:r>
          </w:p>
        </w:tc>
        <w:tc>
          <w:tcPr>
            <w:tcW w:w="1843" w:type="dxa"/>
            <w:vAlign w:val="bottom"/>
          </w:tcPr>
          <w:p w14:paraId="46B8FB13" w14:textId="0D89104E"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twAA</w:t>
            </w:r>
          </w:p>
        </w:tc>
      </w:tr>
      <w:tr w:rsidR="00E224E9" w:rsidRPr="00E224E9" w14:paraId="40EAE7AE" w14:textId="77777777" w:rsidTr="00824BED">
        <w:tc>
          <w:tcPr>
            <w:tcW w:w="2122" w:type="dxa"/>
            <w:vAlign w:val="bottom"/>
          </w:tcPr>
          <w:p w14:paraId="20371A52"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w:t>
            </w:r>
          </w:p>
        </w:tc>
        <w:tc>
          <w:tcPr>
            <w:tcW w:w="1821" w:type="dxa"/>
            <w:vAlign w:val="bottom"/>
          </w:tcPr>
          <w:p w14:paraId="7CF980CB" w14:textId="037F2C4E"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A3</w:t>
            </w:r>
          </w:p>
        </w:tc>
        <w:tc>
          <w:tcPr>
            <w:tcW w:w="1843" w:type="dxa"/>
            <w:vAlign w:val="bottom"/>
          </w:tcPr>
          <w:p w14:paraId="0ACEF71E" w14:textId="5594684D"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twAA-</w:t>
            </w:r>
          </w:p>
        </w:tc>
      </w:tr>
      <w:tr w:rsidR="00E224E9" w:rsidRPr="00E224E9" w14:paraId="09E1CA08" w14:textId="77777777" w:rsidTr="00824BED">
        <w:tc>
          <w:tcPr>
            <w:tcW w:w="2122" w:type="dxa"/>
            <w:vAlign w:val="bottom"/>
          </w:tcPr>
          <w:p w14:paraId="0EC6D761"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BBB+</w:t>
            </w:r>
          </w:p>
        </w:tc>
        <w:tc>
          <w:tcPr>
            <w:tcW w:w="1821" w:type="dxa"/>
            <w:vAlign w:val="bottom"/>
          </w:tcPr>
          <w:p w14:paraId="7D415D8E" w14:textId="0A14E8F6"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Baa1</w:t>
            </w:r>
          </w:p>
        </w:tc>
        <w:tc>
          <w:tcPr>
            <w:tcW w:w="1843" w:type="dxa"/>
            <w:vAlign w:val="bottom"/>
          </w:tcPr>
          <w:p w14:paraId="4FAF0F10" w14:textId="6ACB6A75"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twA+</w:t>
            </w:r>
          </w:p>
        </w:tc>
      </w:tr>
      <w:tr w:rsidR="00E224E9" w:rsidRPr="00E224E9" w14:paraId="64DED52A" w14:textId="77777777" w:rsidTr="00824BED">
        <w:tc>
          <w:tcPr>
            <w:tcW w:w="2122" w:type="dxa"/>
            <w:vAlign w:val="bottom"/>
          </w:tcPr>
          <w:p w14:paraId="361059FE"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lastRenderedPageBreak/>
              <w:t>BBB</w:t>
            </w:r>
          </w:p>
        </w:tc>
        <w:tc>
          <w:tcPr>
            <w:tcW w:w="1821" w:type="dxa"/>
            <w:vAlign w:val="bottom"/>
          </w:tcPr>
          <w:p w14:paraId="2C592AE2" w14:textId="4740FF29"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Baa2</w:t>
            </w:r>
          </w:p>
        </w:tc>
        <w:tc>
          <w:tcPr>
            <w:tcW w:w="1843" w:type="dxa"/>
            <w:vAlign w:val="bottom"/>
          </w:tcPr>
          <w:p w14:paraId="73CEF01F" w14:textId="19482070"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twA</w:t>
            </w:r>
          </w:p>
        </w:tc>
      </w:tr>
      <w:tr w:rsidR="00E224E9" w:rsidRPr="00E224E9" w14:paraId="1D4C6894" w14:textId="77777777" w:rsidTr="00824BED">
        <w:tc>
          <w:tcPr>
            <w:tcW w:w="2122" w:type="dxa"/>
            <w:vAlign w:val="bottom"/>
          </w:tcPr>
          <w:p w14:paraId="53A4887E"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BBB-</w:t>
            </w:r>
          </w:p>
        </w:tc>
        <w:tc>
          <w:tcPr>
            <w:tcW w:w="1821" w:type="dxa"/>
            <w:vAlign w:val="bottom"/>
          </w:tcPr>
          <w:p w14:paraId="6A153A9D" w14:textId="72AF73B9"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Baa3</w:t>
            </w:r>
          </w:p>
        </w:tc>
        <w:tc>
          <w:tcPr>
            <w:tcW w:w="1843" w:type="dxa"/>
            <w:vAlign w:val="bottom"/>
          </w:tcPr>
          <w:p w14:paraId="4B768801" w14:textId="4DF0EEC0"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twA-</w:t>
            </w:r>
          </w:p>
        </w:tc>
      </w:tr>
      <w:tr w:rsidR="00E224E9" w:rsidRPr="00E224E9" w14:paraId="6B4681FE" w14:textId="77777777" w:rsidTr="00824BED">
        <w:tc>
          <w:tcPr>
            <w:tcW w:w="2122" w:type="dxa"/>
            <w:vAlign w:val="bottom"/>
          </w:tcPr>
          <w:p w14:paraId="1754C3EB"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BB+</w:t>
            </w:r>
          </w:p>
        </w:tc>
        <w:tc>
          <w:tcPr>
            <w:tcW w:w="1821" w:type="dxa"/>
            <w:vAlign w:val="bottom"/>
          </w:tcPr>
          <w:p w14:paraId="29ECD328" w14:textId="64DDCFB3"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Ba1</w:t>
            </w:r>
          </w:p>
        </w:tc>
        <w:tc>
          <w:tcPr>
            <w:tcW w:w="1843" w:type="dxa"/>
            <w:vAlign w:val="bottom"/>
          </w:tcPr>
          <w:p w14:paraId="7D6D75A0" w14:textId="49BA5F2B"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twBBB+</w:t>
            </w:r>
          </w:p>
        </w:tc>
      </w:tr>
      <w:tr w:rsidR="00E224E9" w:rsidRPr="00E224E9" w14:paraId="412F1402" w14:textId="77777777" w:rsidTr="00824BED">
        <w:tc>
          <w:tcPr>
            <w:tcW w:w="2122" w:type="dxa"/>
            <w:vAlign w:val="bottom"/>
          </w:tcPr>
          <w:p w14:paraId="0AF5EBAE"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BB</w:t>
            </w:r>
          </w:p>
        </w:tc>
        <w:tc>
          <w:tcPr>
            <w:tcW w:w="1821" w:type="dxa"/>
            <w:vAlign w:val="bottom"/>
          </w:tcPr>
          <w:p w14:paraId="175F362C" w14:textId="44F9CCB4"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Ba2</w:t>
            </w:r>
          </w:p>
        </w:tc>
        <w:tc>
          <w:tcPr>
            <w:tcW w:w="1843" w:type="dxa"/>
            <w:vAlign w:val="bottom"/>
          </w:tcPr>
          <w:p w14:paraId="3AAE0629" w14:textId="28C06D4D"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twBBB</w:t>
            </w:r>
          </w:p>
        </w:tc>
      </w:tr>
      <w:tr w:rsidR="00E224E9" w:rsidRPr="00E224E9" w14:paraId="5D01D86A" w14:textId="77777777" w:rsidTr="00824BED">
        <w:tc>
          <w:tcPr>
            <w:tcW w:w="2122" w:type="dxa"/>
            <w:vAlign w:val="bottom"/>
          </w:tcPr>
          <w:p w14:paraId="461F64A5"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BB-</w:t>
            </w:r>
          </w:p>
        </w:tc>
        <w:tc>
          <w:tcPr>
            <w:tcW w:w="1821" w:type="dxa"/>
            <w:vAlign w:val="bottom"/>
          </w:tcPr>
          <w:p w14:paraId="3D64F891" w14:textId="293220E4"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Ba3</w:t>
            </w:r>
          </w:p>
        </w:tc>
        <w:tc>
          <w:tcPr>
            <w:tcW w:w="1843" w:type="dxa"/>
            <w:vAlign w:val="bottom"/>
          </w:tcPr>
          <w:p w14:paraId="65A0985B" w14:textId="73AD503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twBBB-</w:t>
            </w:r>
          </w:p>
        </w:tc>
      </w:tr>
      <w:tr w:rsidR="00E224E9" w:rsidRPr="00E224E9" w14:paraId="24104D61" w14:textId="77777777" w:rsidTr="00824BED">
        <w:tc>
          <w:tcPr>
            <w:tcW w:w="2122" w:type="dxa"/>
            <w:vAlign w:val="bottom"/>
          </w:tcPr>
          <w:p w14:paraId="2AD82FED"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w:t>
            </w:r>
          </w:p>
        </w:tc>
        <w:tc>
          <w:tcPr>
            <w:tcW w:w="1821" w:type="dxa"/>
            <w:vAlign w:val="bottom"/>
          </w:tcPr>
          <w:p w14:paraId="42B373A2" w14:textId="2F976840"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B1</w:t>
            </w:r>
          </w:p>
        </w:tc>
        <w:tc>
          <w:tcPr>
            <w:tcW w:w="1843" w:type="dxa"/>
            <w:vAlign w:val="bottom"/>
          </w:tcPr>
          <w:p w14:paraId="7967F433" w14:textId="0EECC0CB"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twBB+</w:t>
            </w:r>
          </w:p>
        </w:tc>
      </w:tr>
      <w:tr w:rsidR="00E224E9" w:rsidRPr="00E224E9" w14:paraId="3A036572" w14:textId="77777777" w:rsidTr="00824BED">
        <w:tc>
          <w:tcPr>
            <w:tcW w:w="2122" w:type="dxa"/>
            <w:vAlign w:val="bottom"/>
          </w:tcPr>
          <w:p w14:paraId="207537AA"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w:t>
            </w:r>
          </w:p>
        </w:tc>
        <w:tc>
          <w:tcPr>
            <w:tcW w:w="1821" w:type="dxa"/>
            <w:vAlign w:val="bottom"/>
          </w:tcPr>
          <w:p w14:paraId="4BE53BCA" w14:textId="04D12E18"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B2</w:t>
            </w:r>
          </w:p>
        </w:tc>
        <w:tc>
          <w:tcPr>
            <w:tcW w:w="1843" w:type="dxa"/>
            <w:vAlign w:val="bottom"/>
          </w:tcPr>
          <w:p w14:paraId="343395B7" w14:textId="20AC0E83"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twBB</w:t>
            </w:r>
          </w:p>
        </w:tc>
      </w:tr>
      <w:tr w:rsidR="00E224E9" w:rsidRPr="00E224E9" w14:paraId="79389E6A" w14:textId="77777777" w:rsidTr="00824BED">
        <w:tc>
          <w:tcPr>
            <w:tcW w:w="2122" w:type="dxa"/>
            <w:vAlign w:val="bottom"/>
          </w:tcPr>
          <w:p w14:paraId="2F57A9B2"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w:t>
            </w:r>
          </w:p>
        </w:tc>
        <w:tc>
          <w:tcPr>
            <w:tcW w:w="1821" w:type="dxa"/>
            <w:vAlign w:val="bottom"/>
          </w:tcPr>
          <w:p w14:paraId="5115DEFD" w14:textId="654A0086"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B3</w:t>
            </w:r>
          </w:p>
        </w:tc>
        <w:tc>
          <w:tcPr>
            <w:tcW w:w="1843" w:type="dxa"/>
            <w:vAlign w:val="bottom"/>
          </w:tcPr>
          <w:p w14:paraId="4F187B22" w14:textId="650C77FD"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twBB-</w:t>
            </w:r>
          </w:p>
        </w:tc>
      </w:tr>
      <w:tr w:rsidR="00E224E9" w:rsidRPr="00E224E9" w14:paraId="3011E7F1" w14:textId="77777777" w:rsidTr="00824BED">
        <w:tc>
          <w:tcPr>
            <w:tcW w:w="2122" w:type="dxa"/>
            <w:vAlign w:val="bottom"/>
          </w:tcPr>
          <w:p w14:paraId="0C224B43"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CCC+</w:t>
            </w:r>
          </w:p>
        </w:tc>
        <w:tc>
          <w:tcPr>
            <w:tcW w:w="1821" w:type="dxa"/>
            <w:vAlign w:val="bottom"/>
          </w:tcPr>
          <w:p w14:paraId="1AADFB78" w14:textId="03FAE52E"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Caa1</w:t>
            </w:r>
          </w:p>
        </w:tc>
        <w:tc>
          <w:tcPr>
            <w:tcW w:w="1843" w:type="dxa"/>
            <w:vAlign w:val="bottom"/>
          </w:tcPr>
          <w:p w14:paraId="1F94F1EE" w14:textId="5B55E4B8"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twB+</w:t>
            </w:r>
          </w:p>
        </w:tc>
      </w:tr>
      <w:tr w:rsidR="00E224E9" w:rsidRPr="00E224E9" w14:paraId="615A05E0" w14:textId="77777777" w:rsidTr="00824BED">
        <w:tc>
          <w:tcPr>
            <w:tcW w:w="2122" w:type="dxa"/>
            <w:vAlign w:val="bottom"/>
          </w:tcPr>
          <w:p w14:paraId="39FBD008"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CCC</w:t>
            </w:r>
          </w:p>
        </w:tc>
        <w:tc>
          <w:tcPr>
            <w:tcW w:w="1821" w:type="dxa"/>
            <w:vAlign w:val="bottom"/>
          </w:tcPr>
          <w:p w14:paraId="0C68A7B0" w14:textId="0FF38690"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Caa2</w:t>
            </w:r>
          </w:p>
        </w:tc>
        <w:tc>
          <w:tcPr>
            <w:tcW w:w="1843" w:type="dxa"/>
            <w:vAlign w:val="bottom"/>
          </w:tcPr>
          <w:p w14:paraId="25F5CA2E" w14:textId="37570C14"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twB</w:t>
            </w:r>
          </w:p>
        </w:tc>
      </w:tr>
      <w:tr w:rsidR="00E224E9" w:rsidRPr="00E224E9" w14:paraId="36761D73" w14:textId="77777777" w:rsidTr="00824BED">
        <w:tc>
          <w:tcPr>
            <w:tcW w:w="2122" w:type="dxa"/>
            <w:vAlign w:val="bottom"/>
          </w:tcPr>
          <w:p w14:paraId="55A040EF"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CCC-</w:t>
            </w:r>
          </w:p>
        </w:tc>
        <w:tc>
          <w:tcPr>
            <w:tcW w:w="1821" w:type="dxa"/>
            <w:vAlign w:val="bottom"/>
          </w:tcPr>
          <w:p w14:paraId="7FE7F380" w14:textId="55906BF8"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Caa3</w:t>
            </w:r>
          </w:p>
        </w:tc>
        <w:tc>
          <w:tcPr>
            <w:tcW w:w="1843" w:type="dxa"/>
            <w:vAlign w:val="bottom"/>
          </w:tcPr>
          <w:p w14:paraId="00757E2C" w14:textId="75CFB7E2"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twB-</w:t>
            </w:r>
          </w:p>
        </w:tc>
      </w:tr>
      <w:tr w:rsidR="00E224E9" w:rsidRPr="00E224E9" w14:paraId="1E20AE17" w14:textId="77777777" w:rsidTr="00824BED">
        <w:tc>
          <w:tcPr>
            <w:tcW w:w="2122" w:type="dxa"/>
            <w:vAlign w:val="bottom"/>
          </w:tcPr>
          <w:p w14:paraId="6C5498D8"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CC</w:t>
            </w:r>
          </w:p>
        </w:tc>
        <w:tc>
          <w:tcPr>
            <w:tcW w:w="1821" w:type="dxa"/>
            <w:vAlign w:val="bottom"/>
          </w:tcPr>
          <w:p w14:paraId="04789A7F" w14:textId="0E3E9953"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Ca</w:t>
            </w:r>
          </w:p>
        </w:tc>
        <w:tc>
          <w:tcPr>
            <w:tcW w:w="1843" w:type="dxa"/>
            <w:vAlign w:val="bottom"/>
          </w:tcPr>
          <w:p w14:paraId="21CBAFB6" w14:textId="50735778"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twCCC+</w:t>
            </w:r>
          </w:p>
        </w:tc>
      </w:tr>
      <w:tr w:rsidR="00E224E9" w:rsidRPr="00E224E9" w14:paraId="03504CD0" w14:textId="77777777" w:rsidTr="00824BED">
        <w:tc>
          <w:tcPr>
            <w:tcW w:w="2122" w:type="dxa"/>
            <w:vAlign w:val="bottom"/>
          </w:tcPr>
          <w:p w14:paraId="66C35B14" w14:textId="4238DEBF"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低於</w:t>
            </w:r>
            <w:r w:rsidRPr="00E224E9">
              <w:rPr>
                <w:rFonts w:ascii="標楷體" w:hAnsi="標楷體"/>
                <w:color w:val="000000" w:themeColor="text1"/>
                <w:sz w:val="24"/>
              </w:rPr>
              <w:t>CC</w:t>
            </w:r>
            <w:r w:rsidRPr="00E224E9" w:rsidDel="00056F9C">
              <w:rPr>
                <w:rFonts w:ascii="標楷體" w:hAnsi="標楷體"/>
                <w:color w:val="000000" w:themeColor="text1"/>
                <w:sz w:val="24"/>
              </w:rPr>
              <w:t xml:space="preserve"> </w:t>
            </w:r>
          </w:p>
        </w:tc>
        <w:tc>
          <w:tcPr>
            <w:tcW w:w="1821" w:type="dxa"/>
            <w:vAlign w:val="bottom"/>
          </w:tcPr>
          <w:p w14:paraId="6F8A0D57" w14:textId="1AC627D8"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低於</w:t>
            </w:r>
            <w:r w:rsidRPr="00E224E9">
              <w:rPr>
                <w:rFonts w:ascii="標楷體" w:hAnsi="標楷體"/>
                <w:color w:val="000000" w:themeColor="text1"/>
                <w:sz w:val="24"/>
              </w:rPr>
              <w:t>Ca</w:t>
            </w:r>
          </w:p>
        </w:tc>
        <w:tc>
          <w:tcPr>
            <w:tcW w:w="1843" w:type="dxa"/>
            <w:vAlign w:val="bottom"/>
          </w:tcPr>
          <w:p w14:paraId="1E2EC535" w14:textId="3EF356DF"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低於</w:t>
            </w:r>
            <w:r w:rsidRPr="00E224E9">
              <w:rPr>
                <w:rFonts w:ascii="標楷體" w:hAnsi="標楷體"/>
                <w:color w:val="000000" w:themeColor="text1"/>
                <w:sz w:val="24"/>
              </w:rPr>
              <w:t>twCCC+</w:t>
            </w:r>
          </w:p>
        </w:tc>
      </w:tr>
    </w:tbl>
    <w:p w14:paraId="3A9F70C6" w14:textId="77777777" w:rsidR="00065C53" w:rsidRPr="00E224E9" w:rsidRDefault="00065C53">
      <w:pPr>
        <w:rPr>
          <w:rFonts w:ascii="標楷體" w:hAnsi="標楷體"/>
          <w:color w:val="000000" w:themeColor="text1"/>
          <w:sz w:val="24"/>
        </w:rPr>
      </w:pPr>
      <w:r w:rsidRPr="00E224E9">
        <w:rPr>
          <w:rFonts w:ascii="標楷體" w:hAnsi="標楷體"/>
          <w:color w:val="000000" w:themeColor="text1"/>
          <w:sz w:val="24"/>
        </w:rPr>
        <w:t>註：</w:t>
      </w:r>
    </w:p>
    <w:p w14:paraId="11B6320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1.</w:t>
      </w:r>
      <w:r w:rsidRPr="00E224E9">
        <w:rPr>
          <w:rFonts w:ascii="標楷體" w:hAnsi="標楷體"/>
          <w:color w:val="000000" w:themeColor="text1"/>
          <w:sz w:val="24"/>
        </w:rPr>
        <w:t>中華信評與國外信評公司（S&amp;P、Moody’s）的評等等級並無正式的對照標準。</w:t>
      </w:r>
    </w:p>
    <w:p w14:paraId="15A9F5B6" w14:textId="77777777" w:rsidR="00065C53" w:rsidRPr="00E224E9" w:rsidRDefault="00065C53">
      <w:pPr>
        <w:ind w:left="180" w:hangingChars="75" w:hanging="180"/>
        <w:rPr>
          <w:rFonts w:ascii="標楷體" w:hAnsi="標楷體"/>
          <w:color w:val="000000" w:themeColor="text1"/>
          <w:sz w:val="24"/>
        </w:rPr>
      </w:pPr>
      <w:r w:rsidRPr="00E224E9">
        <w:rPr>
          <w:rFonts w:ascii="標楷體" w:hAnsi="標楷體" w:hint="eastAsia"/>
          <w:color w:val="000000" w:themeColor="text1"/>
          <w:sz w:val="24"/>
        </w:rPr>
        <w:t>2.</w:t>
      </w:r>
      <w:r w:rsidRPr="00E224E9">
        <w:rPr>
          <w:rFonts w:ascii="標楷體" w:hAnsi="標楷體"/>
          <w:color w:val="000000" w:themeColor="text1"/>
          <w:sz w:val="24"/>
        </w:rPr>
        <w:t>目前S&amp;P及Moody’s給予</w:t>
      </w:r>
      <w:r w:rsidRPr="00E224E9">
        <w:rPr>
          <w:rFonts w:ascii="標楷體" w:hAnsi="標楷體"/>
          <w:b/>
          <w:bCs/>
          <w:i/>
          <w:iCs/>
          <w:color w:val="000000" w:themeColor="text1"/>
          <w:sz w:val="24"/>
        </w:rPr>
        <w:t>台灣的主權評等為AA-（Aa3）</w:t>
      </w:r>
      <w:r w:rsidRPr="00E224E9">
        <w:rPr>
          <w:rFonts w:ascii="標楷體" w:hAnsi="標楷體"/>
          <w:color w:val="000000" w:themeColor="text1"/>
          <w:sz w:val="24"/>
        </w:rPr>
        <w:t>，以此做為相對指標，將中華信評最高的等級（twAAA）對應到AA-（Aa3），再逐一對應。</w:t>
      </w:r>
    </w:p>
    <w:p w14:paraId="3443FF50" w14:textId="77777777" w:rsidR="00065C53" w:rsidRPr="00E224E9" w:rsidRDefault="00065C53">
      <w:pPr>
        <w:rPr>
          <w:rFonts w:ascii="標楷體" w:hAnsi="標楷體"/>
          <w:color w:val="000000" w:themeColor="text1"/>
          <w:sz w:val="24"/>
        </w:rPr>
      </w:pPr>
      <w:r w:rsidRPr="00E224E9">
        <w:rPr>
          <w:rFonts w:ascii="標楷體" w:hAnsi="標楷體" w:hint="eastAsia"/>
          <w:bCs/>
          <w:iCs/>
          <w:color w:val="000000" w:themeColor="text1"/>
          <w:sz w:val="24"/>
        </w:rPr>
        <w:t>3.</w:t>
      </w:r>
      <w:r w:rsidRPr="00E224E9">
        <w:rPr>
          <w:rFonts w:ascii="標楷體" w:hAnsi="標楷體"/>
          <w:b/>
          <w:bCs/>
          <w:i/>
          <w:iCs/>
          <w:color w:val="000000" w:themeColor="text1"/>
          <w:sz w:val="24"/>
        </w:rPr>
        <w:t>上表並非正式對照表，僅供參考。</w:t>
      </w:r>
    </w:p>
    <w:p w14:paraId="2FA682BF" w14:textId="77777777" w:rsidR="00065C53" w:rsidRPr="00E224E9" w:rsidRDefault="00065C53">
      <w:pPr>
        <w:spacing w:line="440" w:lineRule="exact"/>
        <w:jc w:val="both"/>
        <w:rPr>
          <w:rFonts w:ascii="標楷體" w:hAnsi="標楷體"/>
          <w:color w:val="000000" w:themeColor="text1"/>
        </w:rPr>
      </w:pPr>
    </w:p>
    <w:p w14:paraId="21F29555" w14:textId="77777777" w:rsidR="00065C53" w:rsidRPr="00E224E9" w:rsidRDefault="00065C53">
      <w:pPr>
        <w:pStyle w:val="1"/>
        <w:spacing w:afterLines="0" w:line="440" w:lineRule="exact"/>
        <w:jc w:val="both"/>
        <w:rPr>
          <w:color w:val="000000" w:themeColor="text1"/>
        </w:rPr>
      </w:pPr>
      <w:r w:rsidRPr="00E224E9">
        <w:rPr>
          <w:color w:val="000000" w:themeColor="text1"/>
        </w:rPr>
        <w:br w:type="page"/>
      </w:r>
      <w:bookmarkStart w:id="135" w:name="_Toc219262254"/>
      <w:bookmarkStart w:id="136" w:name="_Toc200468551"/>
      <w:r w:rsidRPr="00E224E9">
        <w:rPr>
          <w:rFonts w:hint="eastAsia"/>
          <w:color w:val="000000" w:themeColor="text1"/>
        </w:rPr>
        <w:lastRenderedPageBreak/>
        <w:t>表30-3-2：C1b：國外資產風險--非關係人信用風險計算表</w:t>
      </w:r>
      <w:bookmarkEnd w:id="135"/>
      <w:bookmarkEnd w:id="136"/>
    </w:p>
    <w:p w14:paraId="72579D57"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此表主要計算考量信用風險之國外非關係人固定收益型證券風險資本額，其中包括</w:t>
      </w:r>
      <w:r w:rsidR="00BA2EB6" w:rsidRPr="00E224E9">
        <w:rPr>
          <w:rFonts w:ascii="Book Antiqua" w:hAnsi="標楷體" w:hint="eastAsia"/>
          <w:color w:val="000000" w:themeColor="text1"/>
        </w:rPr>
        <w:t>已開發國家</w:t>
      </w:r>
      <w:r w:rsidRPr="00E224E9">
        <w:rPr>
          <w:rFonts w:ascii="標楷體" w:hAnsi="標楷體" w:hint="eastAsia"/>
          <w:color w:val="000000" w:themeColor="text1"/>
        </w:rPr>
        <w:t>及</w:t>
      </w:r>
      <w:r w:rsidR="00BA2EB6" w:rsidRPr="00E224E9">
        <w:rPr>
          <w:rFonts w:ascii="Book Antiqua" w:hAnsi="標楷體" w:hint="eastAsia"/>
          <w:color w:val="000000" w:themeColor="text1"/>
        </w:rPr>
        <w:t>新興市場</w:t>
      </w:r>
      <w:r w:rsidRPr="00E224E9">
        <w:rPr>
          <w:rFonts w:ascii="標楷體" w:hAnsi="標楷體" w:hint="eastAsia"/>
          <w:color w:val="000000" w:themeColor="text1"/>
        </w:rPr>
        <w:t>之投資，並將計算結果匯集至表30-3計算總資產風險資本額，需依信用評等等級計算風險資本額之資產包括：</w:t>
      </w:r>
    </w:p>
    <w:p w14:paraId="263C0D0A"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 xml:space="preserve">1b.1 </w:t>
      </w:r>
      <w:r w:rsidR="00BA2EB6" w:rsidRPr="00E224E9">
        <w:rPr>
          <w:rFonts w:ascii="Book Antiqua" w:hAnsi="標楷體" w:hint="eastAsia"/>
          <w:color w:val="000000" w:themeColor="text1"/>
        </w:rPr>
        <w:t>已開發國家</w:t>
      </w:r>
    </w:p>
    <w:p w14:paraId="68CD0AFA"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1b.1.2.</w:t>
      </w:r>
      <w:r w:rsidRPr="00E224E9">
        <w:rPr>
          <w:rFonts w:ascii="標楷體" w:hAnsi="標楷體" w:hint="eastAsia"/>
          <w:color w:val="000000" w:themeColor="text1"/>
        </w:rPr>
        <w:t>1</w:t>
      </w:r>
      <w:r w:rsidRPr="00E224E9">
        <w:rPr>
          <w:rFonts w:ascii="標楷體" w:hAnsi="標楷體"/>
          <w:color w:val="000000" w:themeColor="text1"/>
        </w:rPr>
        <w:t xml:space="preserve"> </w:t>
      </w:r>
      <w:r w:rsidRPr="00E224E9">
        <w:rPr>
          <w:rFonts w:ascii="標楷體" w:hAnsi="標楷體" w:hint="eastAsia"/>
          <w:color w:val="000000" w:themeColor="text1"/>
        </w:rPr>
        <w:t>公債</w:t>
      </w:r>
    </w:p>
    <w:p w14:paraId="1D2B0A90" w14:textId="77777777" w:rsidR="00065C53" w:rsidRPr="00E224E9" w:rsidRDefault="00065C53">
      <w:pPr>
        <w:pStyle w:val="Layer2"/>
        <w:spacing w:line="440" w:lineRule="exact"/>
        <w:ind w:leftChars="553" w:left="1438"/>
        <w:jc w:val="both"/>
        <w:rPr>
          <w:rFonts w:ascii="標楷體" w:hAnsi="標楷體"/>
          <w:color w:val="000000" w:themeColor="text1"/>
        </w:rPr>
      </w:pPr>
      <w:r w:rsidRPr="00E224E9">
        <w:rPr>
          <w:rFonts w:ascii="標楷體" w:hAnsi="標楷體" w:hint="eastAsia"/>
          <w:color w:val="000000" w:themeColor="text1"/>
        </w:rPr>
        <w:t>依照該發行國家主權評等等級</w:t>
      </w:r>
      <w:r w:rsidR="0091085F" w:rsidRPr="00E224E9">
        <w:rPr>
          <w:rFonts w:ascii="標楷體" w:hAnsi="標楷體" w:hint="eastAsia"/>
          <w:color w:val="000000" w:themeColor="text1"/>
        </w:rPr>
        <w:t>與債券評等等級取較低者為準</w:t>
      </w:r>
      <w:r w:rsidRPr="00E224E9">
        <w:rPr>
          <w:rFonts w:ascii="標楷體" w:hAnsi="標楷體" w:hint="eastAsia"/>
          <w:color w:val="000000" w:themeColor="text1"/>
        </w:rPr>
        <w:t>分別填報其公債持有部位之認許資產金額，並按其所對應之風險係數計算風險資本額。</w:t>
      </w:r>
    </w:p>
    <w:p w14:paraId="174105D0"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 xml:space="preserve">1b.1.2.2 </w:t>
      </w:r>
      <w:r w:rsidRPr="00E224E9">
        <w:rPr>
          <w:rFonts w:ascii="標楷體" w:hAnsi="標楷體" w:hint="eastAsia"/>
          <w:color w:val="000000" w:themeColor="text1"/>
        </w:rPr>
        <w:t>公司債及金融資產受益證券</w:t>
      </w:r>
      <w:r w:rsidRPr="00E224E9">
        <w:rPr>
          <w:rFonts w:ascii="標楷體" w:hAnsi="標楷體"/>
          <w:color w:val="000000" w:themeColor="text1"/>
        </w:rPr>
        <w:t>(</w:t>
      </w:r>
      <w:r w:rsidRPr="00E224E9">
        <w:rPr>
          <w:rFonts w:ascii="標楷體" w:hAnsi="標楷體" w:hint="eastAsia"/>
          <w:color w:val="000000" w:themeColor="text1"/>
        </w:rPr>
        <w:t>含資產基礎證券</w:t>
      </w:r>
      <w:r w:rsidRPr="00E224E9">
        <w:rPr>
          <w:rFonts w:ascii="標楷體" w:hAnsi="標楷體"/>
          <w:color w:val="000000" w:themeColor="text1"/>
        </w:rPr>
        <w:t>)</w:t>
      </w:r>
    </w:p>
    <w:p w14:paraId="3488CBB0" w14:textId="77777777" w:rsidR="00065C53" w:rsidRPr="00E224E9" w:rsidRDefault="00065C53">
      <w:pPr>
        <w:pStyle w:val="Layer2"/>
        <w:spacing w:line="440" w:lineRule="exact"/>
        <w:ind w:leftChars="553" w:left="1438"/>
        <w:jc w:val="both"/>
        <w:rPr>
          <w:rFonts w:ascii="標楷體" w:hAnsi="標楷體"/>
          <w:color w:val="000000" w:themeColor="text1"/>
        </w:rPr>
      </w:pPr>
      <w:r w:rsidRPr="00E224E9">
        <w:rPr>
          <w:rFonts w:ascii="標楷體" w:hAnsi="標楷體" w:hint="eastAsia"/>
          <w:color w:val="000000" w:themeColor="text1"/>
        </w:rPr>
        <w:t>依公司債及金融資產受益證券</w:t>
      </w:r>
      <w:r w:rsidRPr="00E224E9">
        <w:rPr>
          <w:rFonts w:ascii="標楷體" w:hAnsi="標楷體"/>
          <w:color w:val="000000" w:themeColor="text1"/>
        </w:rPr>
        <w:t>(</w:t>
      </w:r>
      <w:r w:rsidRPr="00E224E9">
        <w:rPr>
          <w:rFonts w:ascii="標楷體" w:hAnsi="標楷體" w:hint="eastAsia"/>
          <w:color w:val="000000" w:themeColor="text1"/>
        </w:rPr>
        <w:t>含資產基礎證券</w:t>
      </w:r>
      <w:r w:rsidRPr="00E224E9">
        <w:rPr>
          <w:rFonts w:ascii="標楷體" w:hAnsi="標楷體"/>
          <w:color w:val="000000" w:themeColor="text1"/>
        </w:rPr>
        <w:t>)</w:t>
      </w:r>
      <w:r w:rsidRPr="00E224E9">
        <w:rPr>
          <w:rFonts w:ascii="標楷體" w:hAnsi="標楷體" w:hint="eastAsia"/>
          <w:color w:val="000000" w:themeColor="text1"/>
        </w:rPr>
        <w:t>信用評等等級分別填報其持有部位之認許資產金額，並按其所對應之風險係數計算風險資本額。同一券之信用評等同時經由不同機構評等時，擇優引用風險係數。</w:t>
      </w:r>
    </w:p>
    <w:p w14:paraId="7EFAF194" w14:textId="77777777" w:rsidR="00065C53" w:rsidRPr="00E224E9" w:rsidRDefault="00065C53">
      <w:pPr>
        <w:pStyle w:val="Layer2"/>
        <w:spacing w:line="440" w:lineRule="exact"/>
        <w:ind w:leftChars="553" w:left="1438"/>
        <w:jc w:val="both"/>
        <w:rPr>
          <w:rFonts w:ascii="標楷體" w:hAnsi="標楷體"/>
          <w:color w:val="000000" w:themeColor="text1"/>
        </w:rPr>
      </w:pPr>
      <w:r w:rsidRPr="00E224E9">
        <w:rPr>
          <w:rFonts w:ascii="標楷體" w:hAnsi="標楷體" w:hint="eastAsia"/>
          <w:color w:val="000000" w:themeColor="text1"/>
        </w:rPr>
        <w:t>若無法取得投資標的之信用評等等級者，則按最低評等等級所對應之數值作為風險係數。</w:t>
      </w:r>
    </w:p>
    <w:p w14:paraId="7C12C860"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1b.1.2.</w:t>
      </w:r>
      <w:r w:rsidRPr="00E224E9">
        <w:rPr>
          <w:rFonts w:ascii="標楷體" w:hAnsi="標楷體" w:hint="eastAsia"/>
          <w:color w:val="000000" w:themeColor="text1"/>
        </w:rPr>
        <w:t>3</w:t>
      </w:r>
      <w:r w:rsidRPr="00E224E9">
        <w:rPr>
          <w:rFonts w:ascii="標楷體" w:hAnsi="標楷體"/>
          <w:color w:val="000000" w:themeColor="text1"/>
        </w:rPr>
        <w:t xml:space="preserve"> </w:t>
      </w:r>
      <w:r w:rsidRPr="00E224E9">
        <w:rPr>
          <w:rFonts w:ascii="標楷體" w:hAnsi="標楷體" w:hint="eastAsia"/>
          <w:color w:val="000000" w:themeColor="text1"/>
        </w:rPr>
        <w:t>不動產投資信託基金</w:t>
      </w:r>
    </w:p>
    <w:p w14:paraId="779E16C3" w14:textId="7013DA27" w:rsidR="00065C53" w:rsidRPr="00E224E9" w:rsidRDefault="00065C53" w:rsidP="007A1D7E">
      <w:pPr>
        <w:pStyle w:val="Layer2"/>
        <w:spacing w:line="440" w:lineRule="exact"/>
        <w:ind w:leftChars="552" w:left="1437" w:hanging="2"/>
        <w:jc w:val="both"/>
        <w:rPr>
          <w:rFonts w:ascii="標楷體" w:hAnsi="標楷體"/>
          <w:color w:val="000000" w:themeColor="text1"/>
        </w:rPr>
      </w:pPr>
      <w:r w:rsidRPr="00E224E9">
        <w:rPr>
          <w:rFonts w:ascii="標楷體" w:hAnsi="標楷體" w:hint="eastAsia"/>
          <w:color w:val="000000" w:themeColor="text1"/>
        </w:rPr>
        <w:t>依不動產投資信託基金信用評等等級</w:t>
      </w:r>
      <w:r w:rsidR="007A1D7E" w:rsidRPr="00E224E9">
        <w:rPr>
          <w:rFonts w:ascii="標楷體" w:hAnsi="標楷體" w:hint="eastAsia"/>
          <w:color w:val="000000" w:themeColor="text1"/>
        </w:rPr>
        <w:t>【以</w:t>
      </w:r>
      <w:r w:rsidR="007A1D7E" w:rsidRPr="00E224E9">
        <w:rPr>
          <w:rFonts w:ascii="標楷體" w:hAnsi="標楷體"/>
          <w:color w:val="000000" w:themeColor="text1"/>
        </w:rPr>
        <w:t>Issuer Credit Rating為填列基礎(或實質相同意函之評等)</w:t>
      </w:r>
      <w:r w:rsidR="007A1D7E" w:rsidRPr="00E224E9">
        <w:rPr>
          <w:rFonts w:ascii="標楷體" w:hAnsi="標楷體" w:hint="eastAsia"/>
          <w:color w:val="000000" w:themeColor="text1"/>
        </w:rPr>
        <w:t>】</w:t>
      </w:r>
      <w:r w:rsidRPr="00E224E9">
        <w:rPr>
          <w:rFonts w:ascii="標楷體" w:hAnsi="標楷體" w:hint="eastAsia"/>
          <w:color w:val="000000" w:themeColor="text1"/>
        </w:rPr>
        <w:t>分別填報其持有部位之認許資產金額，並按其所對應之風險係數計算風險資本額。同一券之信用評等同時經由不同機構評等時，擇優引用風險係數。</w:t>
      </w:r>
    </w:p>
    <w:p w14:paraId="06DC3BD7" w14:textId="40A4457B" w:rsidR="00065C53" w:rsidRPr="00E224E9" w:rsidRDefault="00065C53">
      <w:pPr>
        <w:pStyle w:val="Layer2"/>
        <w:spacing w:line="440" w:lineRule="exact"/>
        <w:ind w:leftChars="552" w:left="1437" w:hanging="2"/>
        <w:jc w:val="both"/>
        <w:rPr>
          <w:rFonts w:ascii="標楷體" w:hAnsi="標楷體"/>
          <w:color w:val="000000" w:themeColor="text1"/>
        </w:rPr>
      </w:pPr>
      <w:r w:rsidRPr="00E224E9">
        <w:rPr>
          <w:rFonts w:ascii="標楷體" w:hAnsi="標楷體" w:hint="eastAsia"/>
          <w:color w:val="000000" w:themeColor="text1"/>
        </w:rPr>
        <w:t>若無法取得信用評等等級者，則按最低評等等級所對應之數值作為風險係數。</w:t>
      </w:r>
    </w:p>
    <w:p w14:paraId="49F06A77"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1b.1.2.</w:t>
      </w:r>
      <w:r w:rsidRPr="00E224E9">
        <w:rPr>
          <w:rFonts w:ascii="標楷體" w:hAnsi="標楷體" w:hint="eastAsia"/>
          <w:color w:val="000000" w:themeColor="text1"/>
        </w:rPr>
        <w:t>4</w:t>
      </w:r>
      <w:r w:rsidRPr="00E224E9">
        <w:rPr>
          <w:rFonts w:ascii="標楷體" w:hAnsi="標楷體"/>
          <w:color w:val="000000" w:themeColor="text1"/>
        </w:rPr>
        <w:t>.1</w:t>
      </w:r>
      <w:r w:rsidRPr="00E224E9">
        <w:rPr>
          <w:rFonts w:ascii="標楷體" w:hAnsi="標楷體" w:hint="eastAsia"/>
          <w:color w:val="000000" w:themeColor="text1"/>
        </w:rPr>
        <w:t>其他－有信用評等者</w:t>
      </w:r>
    </w:p>
    <w:p w14:paraId="27313C63" w14:textId="77777777" w:rsidR="00065C53" w:rsidRPr="00E224E9" w:rsidRDefault="00065C53">
      <w:pPr>
        <w:pStyle w:val="Layer2"/>
        <w:spacing w:line="440" w:lineRule="exact"/>
        <w:ind w:leftChars="552" w:left="1437" w:hanging="2"/>
        <w:jc w:val="both"/>
        <w:rPr>
          <w:rFonts w:ascii="標楷體" w:hAnsi="標楷體"/>
          <w:color w:val="000000" w:themeColor="text1"/>
        </w:rPr>
      </w:pPr>
      <w:r w:rsidRPr="00E224E9">
        <w:rPr>
          <w:rFonts w:ascii="標楷體" w:hAnsi="標楷體" w:hint="eastAsia"/>
          <w:color w:val="000000" w:themeColor="text1"/>
        </w:rPr>
        <w:t>依信用評等等級分別填報其持有部位之認許資產金額，並按其所對應之風險係數計算風險資本額。同一投資標的之信用評等同時經由不同機構評等時，擇優引用風險係數。</w:t>
      </w:r>
    </w:p>
    <w:p w14:paraId="26E65DAF"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hint="eastAsia"/>
          <w:color w:val="000000" w:themeColor="text1"/>
        </w:rPr>
        <w:t>1b.1.3.2 特別股</w:t>
      </w:r>
    </w:p>
    <w:p w14:paraId="6EA4D37F" w14:textId="77777777" w:rsidR="00065C53" w:rsidRPr="00E224E9" w:rsidRDefault="00065C53">
      <w:pPr>
        <w:pStyle w:val="Layer2"/>
        <w:spacing w:line="440" w:lineRule="exact"/>
        <w:ind w:left="1440" w:firstLine="2"/>
        <w:jc w:val="both"/>
        <w:rPr>
          <w:rFonts w:ascii="標楷體" w:hAnsi="標楷體"/>
          <w:color w:val="000000" w:themeColor="text1"/>
        </w:rPr>
      </w:pPr>
      <w:r w:rsidRPr="00E224E9">
        <w:rPr>
          <w:rFonts w:ascii="標楷體" w:hAnsi="標楷體" w:hint="eastAsia"/>
          <w:color w:val="000000" w:themeColor="text1"/>
        </w:rPr>
        <w:t>依信用評等等級分別填報其持有部位之認許資產金額，並按其所對應之風險係數計算風險資本額。同一投資標的之信用評等同時經由不同機構評等時，擇優引用風險係數。</w:t>
      </w:r>
    </w:p>
    <w:p w14:paraId="44528F92" w14:textId="77777777" w:rsidR="00065C53" w:rsidRPr="00E224E9" w:rsidRDefault="00065C53">
      <w:pPr>
        <w:pStyle w:val="Layer2"/>
        <w:spacing w:line="440" w:lineRule="exact"/>
        <w:ind w:left="1440" w:firstLine="2"/>
        <w:jc w:val="both"/>
        <w:rPr>
          <w:rFonts w:ascii="標楷體" w:hAnsi="標楷體"/>
          <w:color w:val="000000" w:themeColor="text1"/>
        </w:rPr>
      </w:pPr>
      <w:r w:rsidRPr="00E224E9">
        <w:rPr>
          <w:rFonts w:ascii="標楷體" w:hAnsi="標楷體" w:hint="eastAsia"/>
          <w:color w:val="000000" w:themeColor="text1"/>
        </w:rPr>
        <w:t>若無法取得投資標的之信用評等等級者，則按最低評等等級所對應之數值</w:t>
      </w:r>
      <w:r w:rsidRPr="00E224E9">
        <w:rPr>
          <w:rFonts w:ascii="標楷體" w:hAnsi="標楷體" w:hint="eastAsia"/>
          <w:color w:val="000000" w:themeColor="text1"/>
        </w:rPr>
        <w:lastRenderedPageBreak/>
        <w:t>作為風險係數。</w:t>
      </w:r>
    </w:p>
    <w:p w14:paraId="2E5AA530"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rFonts w:ascii="標楷體" w:hAnsi="標楷體"/>
          <w:color w:val="000000" w:themeColor="text1"/>
          <w:sz w:val="24"/>
        </w:rPr>
      </w:pPr>
      <w:r w:rsidRPr="00E224E9">
        <w:rPr>
          <w:rFonts w:ascii="標楷體" w:hAnsi="標楷體" w:hint="eastAsia"/>
          <w:color w:val="000000" w:themeColor="text1"/>
          <w:sz w:val="24"/>
        </w:rPr>
        <w:t xml:space="preserve">1b.2 </w:t>
      </w:r>
      <w:r w:rsidR="00BA2EB6" w:rsidRPr="00E224E9">
        <w:rPr>
          <w:rFonts w:ascii="Book Antiqua" w:hAnsi="標楷體" w:hint="eastAsia"/>
          <w:color w:val="000000" w:themeColor="text1"/>
          <w:sz w:val="24"/>
        </w:rPr>
        <w:t>新興市場</w:t>
      </w:r>
    </w:p>
    <w:p w14:paraId="667FF169"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 xml:space="preserve">1b.2.2.1 </w:t>
      </w:r>
      <w:r w:rsidRPr="00E224E9">
        <w:rPr>
          <w:rFonts w:ascii="標楷體" w:hAnsi="標楷體" w:hint="eastAsia"/>
          <w:color w:val="000000" w:themeColor="text1"/>
        </w:rPr>
        <w:t>公債</w:t>
      </w:r>
    </w:p>
    <w:p w14:paraId="555D3437" w14:textId="77777777" w:rsidR="00065C53" w:rsidRPr="00E224E9" w:rsidRDefault="00065C53">
      <w:pPr>
        <w:pStyle w:val="Layer2"/>
        <w:spacing w:line="440" w:lineRule="exact"/>
        <w:ind w:leftChars="552" w:left="1435"/>
        <w:jc w:val="both"/>
        <w:rPr>
          <w:rFonts w:ascii="標楷體" w:hAnsi="標楷體"/>
          <w:color w:val="000000" w:themeColor="text1"/>
        </w:rPr>
      </w:pPr>
      <w:r w:rsidRPr="00E224E9">
        <w:rPr>
          <w:rFonts w:ascii="標楷體" w:hAnsi="標楷體" w:hint="eastAsia"/>
          <w:color w:val="000000" w:themeColor="text1"/>
        </w:rPr>
        <w:t>係依照該發行國家主權評等等級與債券評等等級取較低者為準分別填報其公債持有部位之認許資產金額，並按其所對應之風險係數計算風險資本額。</w:t>
      </w:r>
    </w:p>
    <w:p w14:paraId="73A91179"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1b.2.2.</w:t>
      </w:r>
      <w:r w:rsidRPr="00E224E9">
        <w:rPr>
          <w:rFonts w:ascii="標楷體" w:hAnsi="標楷體" w:hint="eastAsia"/>
          <w:color w:val="000000" w:themeColor="text1"/>
        </w:rPr>
        <w:t>2公司債及金融資產受益證券</w:t>
      </w:r>
      <w:r w:rsidRPr="00E224E9">
        <w:rPr>
          <w:rFonts w:ascii="標楷體" w:hAnsi="標楷體"/>
          <w:color w:val="000000" w:themeColor="text1"/>
        </w:rPr>
        <w:t>(</w:t>
      </w:r>
      <w:r w:rsidRPr="00E224E9">
        <w:rPr>
          <w:rFonts w:ascii="標楷體" w:hAnsi="標楷體" w:hint="eastAsia"/>
          <w:color w:val="000000" w:themeColor="text1"/>
        </w:rPr>
        <w:t>含資產基礎證券</w:t>
      </w:r>
      <w:r w:rsidRPr="00E224E9">
        <w:rPr>
          <w:rFonts w:ascii="標楷體" w:hAnsi="標楷體"/>
          <w:color w:val="000000" w:themeColor="text1"/>
        </w:rPr>
        <w:t>)</w:t>
      </w:r>
    </w:p>
    <w:p w14:paraId="38103396" w14:textId="77777777" w:rsidR="00065C53" w:rsidRPr="00E224E9" w:rsidRDefault="00065C53">
      <w:pPr>
        <w:pStyle w:val="Layer2"/>
        <w:spacing w:line="440" w:lineRule="exact"/>
        <w:ind w:leftChars="553" w:left="1438"/>
        <w:jc w:val="both"/>
        <w:rPr>
          <w:rFonts w:ascii="標楷體" w:hAnsi="標楷體"/>
          <w:color w:val="000000" w:themeColor="text1"/>
        </w:rPr>
      </w:pPr>
      <w:r w:rsidRPr="00E224E9">
        <w:rPr>
          <w:rFonts w:ascii="標楷體" w:hAnsi="標楷體" w:hint="eastAsia"/>
          <w:color w:val="000000" w:themeColor="text1"/>
        </w:rPr>
        <w:t>依公司債及金融資產受益證券</w:t>
      </w:r>
      <w:r w:rsidRPr="00E224E9">
        <w:rPr>
          <w:rFonts w:ascii="標楷體" w:hAnsi="標楷體"/>
          <w:color w:val="000000" w:themeColor="text1"/>
        </w:rPr>
        <w:t>(</w:t>
      </w:r>
      <w:r w:rsidRPr="00E224E9">
        <w:rPr>
          <w:rFonts w:ascii="標楷體" w:hAnsi="標楷體" w:hint="eastAsia"/>
          <w:color w:val="000000" w:themeColor="text1"/>
        </w:rPr>
        <w:t>含資產基礎證券</w:t>
      </w:r>
      <w:r w:rsidRPr="00E224E9">
        <w:rPr>
          <w:rFonts w:ascii="標楷體" w:hAnsi="標楷體"/>
          <w:color w:val="000000" w:themeColor="text1"/>
        </w:rPr>
        <w:t>)</w:t>
      </w:r>
      <w:r w:rsidRPr="00E224E9">
        <w:rPr>
          <w:rFonts w:ascii="標楷體" w:hAnsi="標楷體" w:hint="eastAsia"/>
          <w:color w:val="000000" w:themeColor="text1"/>
        </w:rPr>
        <w:t>信用評等等級分別填報其持有部位之認許資產金額，並按其所對應之風險係數計算風險資本額。同一券之信用評等同時經由不同機構評等時，擇優引用風險係數。</w:t>
      </w:r>
    </w:p>
    <w:p w14:paraId="6097D93B"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標楷體" w:hAnsi="標楷體"/>
          <w:color w:val="000000" w:themeColor="text1"/>
          <w:sz w:val="24"/>
        </w:rPr>
      </w:pPr>
      <w:r w:rsidRPr="00E224E9">
        <w:rPr>
          <w:rFonts w:ascii="標楷體" w:hAnsi="標楷體" w:hint="eastAsia"/>
          <w:color w:val="000000" w:themeColor="text1"/>
          <w:sz w:val="24"/>
        </w:rPr>
        <w:t>若無法取得投資標的之信用評等等級者，則按最低評等等級所對應之數值作為風險係數。</w:t>
      </w:r>
    </w:p>
    <w:p w14:paraId="3C75A12C"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1b.</w:t>
      </w:r>
      <w:r w:rsidRPr="00E224E9">
        <w:rPr>
          <w:rFonts w:ascii="標楷體" w:hAnsi="標楷體" w:hint="eastAsia"/>
          <w:color w:val="000000" w:themeColor="text1"/>
        </w:rPr>
        <w:t>2</w:t>
      </w:r>
      <w:r w:rsidRPr="00E224E9">
        <w:rPr>
          <w:rFonts w:ascii="標楷體" w:hAnsi="標楷體"/>
          <w:color w:val="000000" w:themeColor="text1"/>
        </w:rPr>
        <w:t>.2.</w:t>
      </w:r>
      <w:r w:rsidRPr="00E224E9">
        <w:rPr>
          <w:rFonts w:ascii="標楷體" w:hAnsi="標楷體" w:hint="eastAsia"/>
          <w:color w:val="000000" w:themeColor="text1"/>
        </w:rPr>
        <w:t>3</w:t>
      </w:r>
      <w:r w:rsidRPr="00E224E9">
        <w:rPr>
          <w:rFonts w:ascii="標楷體" w:hAnsi="標楷體"/>
          <w:color w:val="000000" w:themeColor="text1"/>
        </w:rPr>
        <w:t xml:space="preserve"> </w:t>
      </w:r>
      <w:r w:rsidRPr="00E224E9">
        <w:rPr>
          <w:rFonts w:ascii="標楷體" w:hAnsi="標楷體" w:hint="eastAsia"/>
          <w:color w:val="000000" w:themeColor="text1"/>
        </w:rPr>
        <w:t>不動產投資信託基金</w:t>
      </w:r>
    </w:p>
    <w:p w14:paraId="2EB584C2" w14:textId="77777777" w:rsidR="002F3F87" w:rsidRPr="00E224E9" w:rsidRDefault="002F3F87" w:rsidP="002F3F87">
      <w:pPr>
        <w:pStyle w:val="Layer2"/>
        <w:spacing w:line="440" w:lineRule="exact"/>
        <w:ind w:leftChars="552" w:left="1437" w:hanging="2"/>
        <w:jc w:val="both"/>
        <w:rPr>
          <w:rFonts w:ascii="標楷體" w:hAnsi="標楷體"/>
          <w:color w:val="000000" w:themeColor="text1"/>
        </w:rPr>
      </w:pPr>
      <w:r w:rsidRPr="00E224E9">
        <w:rPr>
          <w:rFonts w:ascii="標楷體" w:hAnsi="標楷體" w:hint="eastAsia"/>
          <w:color w:val="000000" w:themeColor="text1"/>
        </w:rPr>
        <w:t>依不動產投資信託基金信用評等等級【以Issuer Credit Rating為填列基礎(或實質相同意函之評等)】分別填報其持有部位之認許資產金額，並按其所對應之風險係數計算風險資本額。同一券之信用評等同時經由不同機構評等時，擇優引用風險係數。</w:t>
      </w:r>
    </w:p>
    <w:p w14:paraId="43352695" w14:textId="605F327C" w:rsidR="00065C53" w:rsidRPr="00E224E9" w:rsidRDefault="002F3F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標楷體" w:hAnsi="標楷體"/>
          <w:color w:val="000000" w:themeColor="text1"/>
          <w:sz w:val="24"/>
        </w:rPr>
      </w:pPr>
      <w:r w:rsidRPr="00E224E9">
        <w:rPr>
          <w:rFonts w:ascii="標楷體" w:hAnsi="標楷體" w:hint="eastAsia"/>
          <w:color w:val="000000" w:themeColor="text1"/>
        </w:rPr>
        <w:t>若無法取得信用評等等級者，則按最低評等等級所對應之數值作為風險係數。</w:t>
      </w:r>
    </w:p>
    <w:p w14:paraId="691603C2"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1b.1.2.</w:t>
      </w:r>
      <w:r w:rsidRPr="00E224E9">
        <w:rPr>
          <w:rFonts w:ascii="標楷體" w:hAnsi="標楷體" w:hint="eastAsia"/>
          <w:color w:val="000000" w:themeColor="text1"/>
        </w:rPr>
        <w:t>4</w:t>
      </w:r>
      <w:r w:rsidRPr="00E224E9">
        <w:rPr>
          <w:rFonts w:ascii="標楷體" w:hAnsi="標楷體"/>
          <w:color w:val="000000" w:themeColor="text1"/>
        </w:rPr>
        <w:t>.1</w:t>
      </w:r>
      <w:r w:rsidRPr="00E224E9">
        <w:rPr>
          <w:rFonts w:ascii="標楷體" w:hAnsi="標楷體" w:hint="eastAsia"/>
          <w:color w:val="000000" w:themeColor="text1"/>
        </w:rPr>
        <w:t>其他－有信用評等者</w:t>
      </w:r>
    </w:p>
    <w:p w14:paraId="0C9B1D52"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標楷體" w:hAnsi="標楷體"/>
          <w:color w:val="000000" w:themeColor="text1"/>
          <w:sz w:val="24"/>
        </w:rPr>
      </w:pPr>
      <w:r w:rsidRPr="00E224E9">
        <w:rPr>
          <w:rFonts w:ascii="標楷體" w:hAnsi="標楷體" w:hint="eastAsia"/>
          <w:color w:val="000000" w:themeColor="text1"/>
          <w:sz w:val="24"/>
        </w:rPr>
        <w:t>依信用評等等級分別填報其持有部位之認許資產金額，並按其所對應之風險係數計算風險資本額。同一投資標的之信用評等同時經由不同機構評等時，擇優引用風險係數。</w:t>
      </w:r>
    </w:p>
    <w:p w14:paraId="35C07F39"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hint="eastAsia"/>
          <w:color w:val="000000" w:themeColor="text1"/>
        </w:rPr>
        <w:t>1b.2.3.2 特別股</w:t>
      </w:r>
    </w:p>
    <w:p w14:paraId="34DD7C88" w14:textId="77777777" w:rsidR="00065C53" w:rsidRPr="00E224E9" w:rsidRDefault="00065C53">
      <w:pPr>
        <w:pStyle w:val="Layer2"/>
        <w:spacing w:line="440" w:lineRule="exact"/>
        <w:ind w:left="1440" w:firstLine="2"/>
        <w:jc w:val="both"/>
        <w:rPr>
          <w:rFonts w:ascii="標楷體" w:hAnsi="標楷體"/>
          <w:color w:val="000000" w:themeColor="text1"/>
        </w:rPr>
      </w:pPr>
      <w:r w:rsidRPr="00E224E9">
        <w:rPr>
          <w:rFonts w:ascii="標楷體" w:hAnsi="標楷體" w:hint="eastAsia"/>
          <w:color w:val="000000" w:themeColor="text1"/>
        </w:rPr>
        <w:t>依信用評等等級分別填報其持有部位之認許資產金額，並按其所對應之風險係數計算風險資本額。同一投資標的之信用評等同時經由不同機構評等時，擇優引用風險係數。</w:t>
      </w:r>
    </w:p>
    <w:p w14:paraId="2FFF4A8B" w14:textId="77777777" w:rsidR="00065C53" w:rsidRPr="00E224E9" w:rsidRDefault="00065C53">
      <w:pPr>
        <w:pStyle w:val="Layer2"/>
        <w:spacing w:line="440" w:lineRule="exact"/>
        <w:ind w:leftChars="552" w:left="1435"/>
        <w:jc w:val="both"/>
        <w:rPr>
          <w:rFonts w:ascii="標楷體" w:hAnsi="標楷體"/>
          <w:color w:val="000000" w:themeColor="text1"/>
        </w:rPr>
      </w:pPr>
      <w:r w:rsidRPr="00E224E9">
        <w:rPr>
          <w:rFonts w:ascii="標楷體" w:hAnsi="標楷體" w:hint="eastAsia"/>
          <w:color w:val="000000" w:themeColor="text1"/>
        </w:rPr>
        <w:t>若無法取得投資標的之信用評等等級者，則按最低評等等級所對應之數值作為風險係數。</w:t>
      </w:r>
    </w:p>
    <w:p w14:paraId="6FDB87DE" w14:textId="77777777" w:rsidR="00065C53" w:rsidRPr="00E224E9" w:rsidRDefault="00065C53">
      <w:pPr>
        <w:pStyle w:val="Layer2"/>
        <w:spacing w:line="440" w:lineRule="exact"/>
        <w:ind w:leftChars="350" w:left="910" w:firstLineChars="200" w:firstLine="480"/>
        <w:jc w:val="both"/>
        <w:rPr>
          <w:rFonts w:ascii="標楷體" w:hAnsi="標楷體"/>
          <w:color w:val="000000" w:themeColor="text1"/>
        </w:rPr>
      </w:pPr>
    </w:p>
    <w:p w14:paraId="53F83387" w14:textId="77777777" w:rsidR="00065C53" w:rsidRPr="00E224E9" w:rsidRDefault="00065C53">
      <w:pPr>
        <w:pStyle w:val="1"/>
        <w:spacing w:afterLines="0" w:line="440" w:lineRule="exact"/>
        <w:jc w:val="both"/>
        <w:rPr>
          <w:rFonts w:ascii="Book Antiqua" w:hAnsi="Book Antiqua"/>
          <w:color w:val="000000" w:themeColor="text1"/>
        </w:rPr>
      </w:pPr>
      <w:r w:rsidRPr="00E224E9">
        <w:rPr>
          <w:b w:val="0"/>
          <w:bCs w:val="0"/>
          <w:color w:val="000000" w:themeColor="text1"/>
          <w:sz w:val="26"/>
          <w:szCs w:val="26"/>
        </w:rPr>
        <w:br w:type="page"/>
      </w:r>
      <w:bookmarkStart w:id="137" w:name="_Toc219262255"/>
      <w:bookmarkStart w:id="138" w:name="_Toc200468552"/>
      <w:r w:rsidRPr="00E224E9">
        <w:rPr>
          <w:rFonts w:ascii="Book Antiqua" w:hAnsi="Book Antiqua"/>
          <w:color w:val="000000" w:themeColor="text1"/>
        </w:rPr>
        <w:lastRenderedPageBreak/>
        <w:t>表</w:t>
      </w:r>
      <w:r w:rsidRPr="00E224E9">
        <w:rPr>
          <w:rFonts w:ascii="Book Antiqua" w:hAnsi="Book Antiqua"/>
          <w:color w:val="000000" w:themeColor="text1"/>
        </w:rPr>
        <w:t>30-3-3</w:t>
      </w:r>
      <w:r w:rsidRPr="00E224E9">
        <w:rPr>
          <w:rFonts w:ascii="Book Antiqua" w:hAnsi="Book Antiqua"/>
          <w:color w:val="000000" w:themeColor="text1"/>
        </w:rPr>
        <w:t>：傳統型外幣保單外匯風險計算表</w:t>
      </w:r>
      <w:bookmarkEnd w:id="137"/>
      <w:bookmarkEnd w:id="138"/>
    </w:p>
    <w:p w14:paraId="73DDA0D3" w14:textId="77777777" w:rsidR="00065C53" w:rsidRPr="00E224E9" w:rsidRDefault="00065C53">
      <w:pPr>
        <w:pStyle w:val="Layer2"/>
        <w:spacing w:line="440" w:lineRule="exact"/>
        <w:jc w:val="both"/>
        <w:rPr>
          <w:rFonts w:ascii="Book Antiqua" w:hAnsi="Book Antiqua"/>
          <w:color w:val="000000" w:themeColor="text1"/>
        </w:rPr>
      </w:pPr>
      <w:r w:rsidRPr="00E224E9">
        <w:rPr>
          <w:rFonts w:ascii="Book Antiqua" w:hAnsi="Book Antiqua"/>
          <w:color w:val="000000" w:themeColor="text1"/>
        </w:rPr>
        <w:t>此表主要計算考量以外幣計價之傳統型商保險商品之外匯風險，並將計算結果匯集至表</w:t>
      </w:r>
      <w:r w:rsidRPr="00E224E9">
        <w:rPr>
          <w:rFonts w:ascii="Book Antiqua" w:hAnsi="Book Antiqua"/>
          <w:color w:val="000000" w:themeColor="text1"/>
        </w:rPr>
        <w:t>30-3</w:t>
      </w:r>
      <w:r w:rsidRPr="00E224E9">
        <w:rPr>
          <w:rFonts w:ascii="Book Antiqua" w:hAnsi="Book Antiqua"/>
          <w:color w:val="000000" w:themeColor="text1"/>
        </w:rPr>
        <w:t>計算總資產風險資本額。傳統外幣保單與台幣計價之傳統型保險商品在資產項目投資中不同於原外幣保單之幣別時會產生資產之外匯風險。不同幣別資產需作區隔，其外匯風險計算方式如下：</w:t>
      </w:r>
    </w:p>
    <w:p w14:paraId="186FB63E" w14:textId="77777777" w:rsidR="00065C53" w:rsidRPr="00E224E9" w:rsidRDefault="00065C53">
      <w:pPr>
        <w:pStyle w:val="Layer2"/>
        <w:spacing w:line="440" w:lineRule="exact"/>
        <w:jc w:val="both"/>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Book Antiqua"/>
          <w:color w:val="000000" w:themeColor="text1"/>
        </w:rPr>
        <w:t>外幣保單外匯風險資本額</w:t>
      </w:r>
      <w:r w:rsidRPr="00E224E9">
        <w:rPr>
          <w:rFonts w:ascii="Book Antiqua" w:hAnsi="Book Antiqua"/>
          <w:color w:val="000000" w:themeColor="text1"/>
        </w:rPr>
        <w:t>=</w:t>
      </w:r>
      <w:r w:rsidRPr="00E224E9">
        <w:rPr>
          <w:rFonts w:ascii="Book Antiqua" w:hAnsi="Book Antiqua"/>
          <w:color w:val="000000" w:themeColor="text1"/>
        </w:rPr>
        <w:t>外幣幣別暴險部位</w:t>
      </w:r>
      <w:r w:rsidRPr="00E224E9">
        <w:rPr>
          <w:rFonts w:ascii="Book Antiqua" w:hAnsi="Book Antiqua"/>
          <w:color w:val="000000" w:themeColor="text1"/>
        </w:rPr>
        <w:t>*</w:t>
      </w:r>
      <w:r w:rsidRPr="00E224E9">
        <w:rPr>
          <w:rFonts w:ascii="Book Antiqua" w:hAnsi="Book Antiqua"/>
          <w:color w:val="000000" w:themeColor="text1"/>
        </w:rPr>
        <w:t>風險係數</w:t>
      </w:r>
    </w:p>
    <w:p w14:paraId="10AF181B" w14:textId="77777777" w:rsidR="00065C53" w:rsidRPr="00E224E9" w:rsidRDefault="00065C53">
      <w:pPr>
        <w:pStyle w:val="Layer2"/>
        <w:spacing w:line="440" w:lineRule="exact"/>
        <w:jc w:val="both"/>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Book Antiqua"/>
          <w:color w:val="000000" w:themeColor="text1"/>
        </w:rPr>
        <w:t>其依幣別性質分為七大幣別：美元、歐元、日幣、英</w:t>
      </w:r>
      <w:r w:rsidR="00591892" w:rsidRPr="00E224E9">
        <w:rPr>
          <w:rFonts w:ascii="Book Antiqua" w:hAnsi="Book Antiqua" w:hint="eastAsia"/>
          <w:color w:val="000000" w:themeColor="text1"/>
        </w:rPr>
        <w:t>鎊</w:t>
      </w:r>
      <w:r w:rsidRPr="00E224E9">
        <w:rPr>
          <w:rFonts w:ascii="Book Antiqua" w:hAnsi="Book Antiqua"/>
          <w:color w:val="000000" w:themeColor="text1"/>
        </w:rPr>
        <w:t>、澳幣、港幣、瑞士法郎</w:t>
      </w:r>
      <w:r w:rsidR="00137371" w:rsidRPr="00E224E9">
        <w:rPr>
          <w:rFonts w:ascii="Book Antiqua" w:hAnsi="Book Antiqua"/>
          <w:color w:val="000000" w:themeColor="text1"/>
        </w:rPr>
        <w:t>、</w:t>
      </w:r>
      <w:r w:rsidR="00137371" w:rsidRPr="00E224E9">
        <w:rPr>
          <w:rFonts w:ascii="Book Antiqua" w:hAnsi="Book Antiqua" w:hint="eastAsia"/>
          <w:color w:val="000000" w:themeColor="text1"/>
        </w:rPr>
        <w:t>人民幣</w:t>
      </w:r>
      <w:r w:rsidRPr="00E224E9">
        <w:rPr>
          <w:rFonts w:ascii="Book Antiqua" w:hAnsi="Book Antiqua"/>
          <w:color w:val="000000" w:themeColor="text1"/>
        </w:rPr>
        <w:t>。</w:t>
      </w:r>
    </w:p>
    <w:p w14:paraId="283C8466" w14:textId="77777777" w:rsidR="00065C53" w:rsidRPr="00E224E9" w:rsidRDefault="00065C53">
      <w:pPr>
        <w:pStyle w:val="Layer2"/>
        <w:spacing w:line="440" w:lineRule="exact"/>
        <w:jc w:val="both"/>
        <w:rPr>
          <w:rFonts w:ascii="Book Antiqua" w:hAnsi="Book Antiqua"/>
          <w:color w:val="000000" w:themeColor="text1"/>
        </w:rPr>
      </w:pPr>
    </w:p>
    <w:tbl>
      <w:tblPr>
        <w:tblW w:w="5364" w:type="pct"/>
        <w:jc w:val="center"/>
        <w:tblCellMar>
          <w:left w:w="0" w:type="dxa"/>
          <w:right w:w="0" w:type="dxa"/>
        </w:tblCellMar>
        <w:tblLook w:val="0000" w:firstRow="0" w:lastRow="0" w:firstColumn="0" w:lastColumn="0" w:noHBand="0" w:noVBand="0"/>
      </w:tblPr>
      <w:tblGrid>
        <w:gridCol w:w="617"/>
        <w:gridCol w:w="1156"/>
        <w:gridCol w:w="1018"/>
        <w:gridCol w:w="1018"/>
        <w:gridCol w:w="1018"/>
        <w:gridCol w:w="1018"/>
        <w:gridCol w:w="1018"/>
        <w:gridCol w:w="1018"/>
        <w:gridCol w:w="1018"/>
        <w:gridCol w:w="943"/>
      </w:tblGrid>
      <w:tr w:rsidR="00E224E9" w:rsidRPr="00E224E9" w14:paraId="5AE26B82" w14:textId="77777777" w:rsidTr="00BB67F8">
        <w:trPr>
          <w:cantSplit/>
          <w:trHeight w:val="330"/>
          <w:jc w:val="center"/>
        </w:trPr>
        <w:tc>
          <w:tcPr>
            <w:tcW w:w="902" w:type="pct"/>
            <w:gridSpan w:val="2"/>
            <w:vMerge w:val="restart"/>
            <w:tcBorders>
              <w:top w:val="single" w:sz="4" w:space="0" w:color="auto"/>
              <w:left w:val="single" w:sz="4" w:space="0" w:color="auto"/>
              <w:bottom w:val="single" w:sz="4" w:space="0" w:color="auto"/>
              <w:right w:val="single" w:sz="4" w:space="0" w:color="auto"/>
            </w:tcBorders>
            <w:vAlign w:val="center"/>
          </w:tcPr>
          <w:p w14:paraId="34B0068F"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項目</w:t>
            </w:r>
          </w:p>
        </w:tc>
        <w:tc>
          <w:tcPr>
            <w:tcW w:w="4098" w:type="pct"/>
            <w:gridSpan w:val="8"/>
            <w:tcBorders>
              <w:top w:val="single" w:sz="4" w:space="0" w:color="auto"/>
              <w:left w:val="single" w:sz="4" w:space="0" w:color="auto"/>
              <w:bottom w:val="nil"/>
              <w:right w:val="single" w:sz="4" w:space="0" w:color="auto"/>
            </w:tcBorders>
            <w:vAlign w:val="center"/>
          </w:tcPr>
          <w:p w14:paraId="5FF87D0E"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傳統外幣保單之計價幣別</w:t>
            </w:r>
          </w:p>
        </w:tc>
      </w:tr>
      <w:tr w:rsidR="00E224E9" w:rsidRPr="00E224E9" w14:paraId="53B064F9" w14:textId="77777777" w:rsidTr="00BB67F8">
        <w:trPr>
          <w:cantSplit/>
          <w:trHeight w:val="330"/>
          <w:jc w:val="center"/>
        </w:trPr>
        <w:tc>
          <w:tcPr>
            <w:tcW w:w="902" w:type="pct"/>
            <w:gridSpan w:val="2"/>
            <w:vMerge/>
            <w:tcBorders>
              <w:left w:val="single" w:sz="4" w:space="0" w:color="auto"/>
              <w:bottom w:val="single" w:sz="4" w:space="0" w:color="auto"/>
              <w:right w:val="single" w:sz="4" w:space="0" w:color="auto"/>
            </w:tcBorders>
          </w:tcPr>
          <w:p w14:paraId="3B4349DF" w14:textId="77777777" w:rsidR="00BB67F8" w:rsidRPr="00E224E9" w:rsidRDefault="00BB67F8" w:rsidP="00A1005F">
            <w:pPr>
              <w:widowControl/>
              <w:jc w:val="center"/>
              <w:rPr>
                <w:rFonts w:ascii="Book Antiqua" w:hAnsi="Book Antiqua" w:cs="新細明體"/>
                <w:color w:val="000000" w:themeColor="text1"/>
                <w:kern w:val="0"/>
              </w:rPr>
            </w:pPr>
          </w:p>
        </w:tc>
        <w:tc>
          <w:tcPr>
            <w:tcW w:w="517" w:type="pct"/>
            <w:tcBorders>
              <w:top w:val="single" w:sz="4" w:space="0" w:color="auto"/>
              <w:left w:val="nil"/>
              <w:bottom w:val="single" w:sz="4" w:space="0" w:color="auto"/>
              <w:right w:val="single" w:sz="4" w:space="0" w:color="auto"/>
            </w:tcBorders>
            <w:vAlign w:val="center"/>
          </w:tcPr>
          <w:p w14:paraId="1F75BC37"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美元</w:t>
            </w:r>
          </w:p>
        </w:tc>
        <w:tc>
          <w:tcPr>
            <w:tcW w:w="517" w:type="pct"/>
            <w:tcBorders>
              <w:top w:val="single" w:sz="4" w:space="0" w:color="auto"/>
              <w:left w:val="nil"/>
              <w:bottom w:val="single" w:sz="4" w:space="0" w:color="auto"/>
              <w:right w:val="single" w:sz="4" w:space="0" w:color="auto"/>
            </w:tcBorders>
            <w:vAlign w:val="center"/>
          </w:tcPr>
          <w:p w14:paraId="02C25969"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歐元</w:t>
            </w:r>
          </w:p>
        </w:tc>
        <w:tc>
          <w:tcPr>
            <w:tcW w:w="517" w:type="pct"/>
            <w:tcBorders>
              <w:top w:val="single" w:sz="4" w:space="0" w:color="auto"/>
              <w:left w:val="nil"/>
              <w:bottom w:val="single" w:sz="4" w:space="0" w:color="auto"/>
              <w:right w:val="single" w:sz="4" w:space="0" w:color="auto"/>
            </w:tcBorders>
            <w:vAlign w:val="center"/>
          </w:tcPr>
          <w:p w14:paraId="74ECB2EF"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日幣</w:t>
            </w:r>
          </w:p>
        </w:tc>
        <w:tc>
          <w:tcPr>
            <w:tcW w:w="517" w:type="pct"/>
            <w:tcBorders>
              <w:top w:val="single" w:sz="4" w:space="0" w:color="auto"/>
              <w:left w:val="nil"/>
              <w:bottom w:val="single" w:sz="4" w:space="0" w:color="auto"/>
              <w:right w:val="single" w:sz="4" w:space="0" w:color="auto"/>
            </w:tcBorders>
            <w:vAlign w:val="center"/>
          </w:tcPr>
          <w:p w14:paraId="379977F5"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英</w:t>
            </w:r>
            <w:r w:rsidRPr="00E224E9">
              <w:rPr>
                <w:rFonts w:ascii="Book Antiqua" w:hAnsi="Book Antiqua" w:cs="新細明體" w:hint="eastAsia"/>
                <w:color w:val="000000" w:themeColor="text1"/>
                <w:kern w:val="0"/>
              </w:rPr>
              <w:t>鎊</w:t>
            </w:r>
          </w:p>
        </w:tc>
        <w:tc>
          <w:tcPr>
            <w:tcW w:w="517" w:type="pct"/>
            <w:tcBorders>
              <w:top w:val="single" w:sz="4" w:space="0" w:color="auto"/>
              <w:left w:val="nil"/>
              <w:bottom w:val="single" w:sz="4" w:space="0" w:color="auto"/>
              <w:right w:val="single" w:sz="4" w:space="0" w:color="auto"/>
            </w:tcBorders>
            <w:vAlign w:val="center"/>
          </w:tcPr>
          <w:p w14:paraId="159BC999"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澳幣</w:t>
            </w:r>
          </w:p>
        </w:tc>
        <w:tc>
          <w:tcPr>
            <w:tcW w:w="517" w:type="pct"/>
            <w:tcBorders>
              <w:top w:val="single" w:sz="4" w:space="0" w:color="auto"/>
              <w:left w:val="nil"/>
              <w:bottom w:val="single" w:sz="4" w:space="0" w:color="auto"/>
              <w:right w:val="single" w:sz="4" w:space="0" w:color="auto"/>
            </w:tcBorders>
            <w:vAlign w:val="center"/>
          </w:tcPr>
          <w:p w14:paraId="1491B306"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港幣</w:t>
            </w:r>
          </w:p>
        </w:tc>
        <w:tc>
          <w:tcPr>
            <w:tcW w:w="517" w:type="pct"/>
            <w:tcBorders>
              <w:top w:val="single" w:sz="4" w:space="0" w:color="auto"/>
              <w:left w:val="nil"/>
              <w:bottom w:val="single" w:sz="6" w:space="0" w:color="auto"/>
              <w:right w:val="single" w:sz="4" w:space="0" w:color="auto"/>
            </w:tcBorders>
            <w:vAlign w:val="center"/>
          </w:tcPr>
          <w:p w14:paraId="348DA8C0"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瑞士</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法郎</w:t>
            </w:r>
          </w:p>
        </w:tc>
        <w:tc>
          <w:tcPr>
            <w:tcW w:w="478" w:type="pct"/>
            <w:tcBorders>
              <w:top w:val="single" w:sz="4" w:space="0" w:color="auto"/>
              <w:left w:val="nil"/>
              <w:bottom w:val="single" w:sz="6" w:space="0" w:color="auto"/>
              <w:right w:val="single" w:sz="4" w:space="0" w:color="auto"/>
            </w:tcBorders>
            <w:vAlign w:val="center"/>
          </w:tcPr>
          <w:p w14:paraId="398F90BD"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hint="eastAsia"/>
                <w:color w:val="000000" w:themeColor="text1"/>
                <w:kern w:val="0"/>
              </w:rPr>
              <w:t>人民幣</w:t>
            </w:r>
          </w:p>
        </w:tc>
      </w:tr>
      <w:tr w:rsidR="00E224E9" w:rsidRPr="00E224E9" w14:paraId="655AC373" w14:textId="77777777" w:rsidTr="00BB67F8">
        <w:trPr>
          <w:cantSplit/>
          <w:trHeight w:val="347"/>
          <w:jc w:val="center"/>
        </w:trPr>
        <w:tc>
          <w:tcPr>
            <w:tcW w:w="314" w:type="pct"/>
            <w:vMerge w:val="restart"/>
            <w:tcBorders>
              <w:top w:val="single" w:sz="4" w:space="0" w:color="auto"/>
              <w:left w:val="single" w:sz="4" w:space="0" w:color="auto"/>
              <w:right w:val="single" w:sz="4" w:space="0" w:color="auto"/>
            </w:tcBorders>
            <w:vAlign w:val="center"/>
          </w:tcPr>
          <w:p w14:paraId="311E74C8" w14:textId="77777777" w:rsidR="00BB67F8" w:rsidRPr="00E224E9" w:rsidRDefault="00BB67F8" w:rsidP="00BB67F8">
            <w:pPr>
              <w:widowControl/>
              <w:spacing w:line="270" w:lineRule="exact"/>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投</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資</w:t>
            </w:r>
          </w:p>
          <w:p w14:paraId="7872EBB4" w14:textId="77777777" w:rsidR="00BB67F8" w:rsidRPr="00E224E9" w:rsidRDefault="00BB67F8" w:rsidP="00BB67F8">
            <w:pPr>
              <w:widowControl/>
              <w:spacing w:line="270" w:lineRule="exact"/>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資</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產</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之</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計</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價</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幣</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別</w:t>
            </w:r>
          </w:p>
        </w:tc>
        <w:tc>
          <w:tcPr>
            <w:tcW w:w="587" w:type="pct"/>
            <w:tcBorders>
              <w:top w:val="nil"/>
              <w:left w:val="single" w:sz="4" w:space="0" w:color="auto"/>
              <w:bottom w:val="single" w:sz="4" w:space="0" w:color="auto"/>
              <w:right w:val="single" w:sz="4" w:space="0" w:color="auto"/>
            </w:tcBorders>
            <w:vAlign w:val="center"/>
          </w:tcPr>
          <w:p w14:paraId="6BC94A6E"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美元</w:t>
            </w:r>
          </w:p>
        </w:tc>
        <w:tc>
          <w:tcPr>
            <w:tcW w:w="517" w:type="pct"/>
            <w:tcBorders>
              <w:top w:val="nil"/>
              <w:left w:val="nil"/>
              <w:bottom w:val="single" w:sz="4" w:space="0" w:color="auto"/>
              <w:right w:val="single" w:sz="4" w:space="0" w:color="auto"/>
            </w:tcBorders>
            <w:tcMar>
              <w:right w:w="85" w:type="dxa"/>
            </w:tcMar>
            <w:vAlign w:val="center"/>
          </w:tcPr>
          <w:p w14:paraId="2439497C" w14:textId="77777777" w:rsidR="00BB67F8" w:rsidRPr="00E224E9" w:rsidRDefault="00BB67F8" w:rsidP="00BB67F8">
            <w:pPr>
              <w:widowControl/>
              <w:jc w:val="center"/>
              <w:rPr>
                <w:rFonts w:ascii="Book Antiqua" w:eastAsia="新細明體" w:hAnsi="Book Antiqua"/>
                <w:color w:val="000000" w:themeColor="text1"/>
                <w:kern w:val="0"/>
                <w:sz w:val="24"/>
              </w:rPr>
            </w:pPr>
            <w:r w:rsidRPr="00E224E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44C4E6B3"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17.150%</w:t>
            </w:r>
          </w:p>
        </w:tc>
        <w:tc>
          <w:tcPr>
            <w:tcW w:w="517" w:type="pct"/>
            <w:tcBorders>
              <w:top w:val="nil"/>
              <w:left w:val="nil"/>
              <w:bottom w:val="single" w:sz="4" w:space="0" w:color="auto"/>
              <w:right w:val="single" w:sz="4" w:space="0" w:color="auto"/>
            </w:tcBorders>
            <w:tcMar>
              <w:right w:w="85" w:type="dxa"/>
            </w:tcMar>
            <w:vAlign w:val="center"/>
          </w:tcPr>
          <w:p w14:paraId="50D333E6"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15.480%</w:t>
            </w:r>
          </w:p>
        </w:tc>
        <w:tc>
          <w:tcPr>
            <w:tcW w:w="517" w:type="pct"/>
            <w:tcBorders>
              <w:top w:val="nil"/>
              <w:left w:val="nil"/>
              <w:bottom w:val="single" w:sz="4" w:space="0" w:color="auto"/>
              <w:right w:val="single" w:sz="4" w:space="0" w:color="auto"/>
            </w:tcBorders>
            <w:tcMar>
              <w:right w:w="85" w:type="dxa"/>
            </w:tcMar>
            <w:vAlign w:val="center"/>
          </w:tcPr>
          <w:p w14:paraId="517AD459"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14.000%</w:t>
            </w:r>
          </w:p>
        </w:tc>
        <w:tc>
          <w:tcPr>
            <w:tcW w:w="517" w:type="pct"/>
            <w:tcBorders>
              <w:top w:val="nil"/>
              <w:left w:val="nil"/>
              <w:bottom w:val="single" w:sz="4" w:space="0" w:color="auto"/>
              <w:right w:val="single" w:sz="4" w:space="0" w:color="auto"/>
            </w:tcBorders>
            <w:tcMar>
              <w:right w:w="85" w:type="dxa"/>
            </w:tcMar>
            <w:vAlign w:val="center"/>
          </w:tcPr>
          <w:p w14:paraId="70313358"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21.710%</w:t>
            </w:r>
          </w:p>
        </w:tc>
        <w:tc>
          <w:tcPr>
            <w:tcW w:w="517" w:type="pct"/>
            <w:tcBorders>
              <w:top w:val="nil"/>
              <w:left w:val="nil"/>
              <w:bottom w:val="single" w:sz="4" w:space="0" w:color="auto"/>
              <w:right w:val="single" w:sz="4" w:space="0" w:color="auto"/>
            </w:tcBorders>
            <w:tcMar>
              <w:right w:w="85" w:type="dxa"/>
            </w:tcMar>
            <w:vAlign w:val="center"/>
          </w:tcPr>
          <w:p w14:paraId="2A8BAF15"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0.840%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BC872B3"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19.930%</w:t>
            </w:r>
          </w:p>
        </w:tc>
        <w:tc>
          <w:tcPr>
            <w:tcW w:w="478" w:type="pct"/>
            <w:tcBorders>
              <w:top w:val="single" w:sz="6" w:space="0" w:color="auto"/>
              <w:left w:val="single" w:sz="4" w:space="0" w:color="auto"/>
              <w:bottom w:val="single" w:sz="6" w:space="0" w:color="auto"/>
              <w:right w:val="single" w:sz="4" w:space="0" w:color="auto"/>
            </w:tcBorders>
            <w:vAlign w:val="center"/>
          </w:tcPr>
          <w:p w14:paraId="63E50E19"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3.960%</w:t>
            </w:r>
          </w:p>
        </w:tc>
      </w:tr>
      <w:tr w:rsidR="00E224E9" w:rsidRPr="00E224E9" w14:paraId="4E5591E7" w14:textId="77777777" w:rsidTr="00BB67F8">
        <w:trPr>
          <w:cantSplit/>
          <w:trHeight w:val="347"/>
          <w:jc w:val="center"/>
        </w:trPr>
        <w:tc>
          <w:tcPr>
            <w:tcW w:w="314" w:type="pct"/>
            <w:vMerge/>
            <w:tcBorders>
              <w:left w:val="single" w:sz="4" w:space="0" w:color="auto"/>
              <w:right w:val="single" w:sz="4" w:space="0" w:color="auto"/>
            </w:tcBorders>
          </w:tcPr>
          <w:p w14:paraId="660901F8" w14:textId="77777777" w:rsidR="00BB67F8" w:rsidRPr="00E224E9" w:rsidRDefault="00BB67F8" w:rsidP="00BB67F8">
            <w:pPr>
              <w:widowControl/>
              <w:spacing w:line="270" w:lineRule="exact"/>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029D7637"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歐元</w:t>
            </w:r>
          </w:p>
        </w:tc>
        <w:tc>
          <w:tcPr>
            <w:tcW w:w="517" w:type="pct"/>
            <w:tcBorders>
              <w:top w:val="nil"/>
              <w:left w:val="nil"/>
              <w:bottom w:val="single" w:sz="4" w:space="0" w:color="auto"/>
              <w:right w:val="single" w:sz="4" w:space="0" w:color="auto"/>
            </w:tcBorders>
            <w:tcMar>
              <w:right w:w="85" w:type="dxa"/>
            </w:tcMar>
            <w:vAlign w:val="center"/>
          </w:tcPr>
          <w:p w14:paraId="6DCCDDC4"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13.550%</w:t>
            </w:r>
          </w:p>
        </w:tc>
        <w:tc>
          <w:tcPr>
            <w:tcW w:w="517" w:type="pct"/>
            <w:tcBorders>
              <w:top w:val="nil"/>
              <w:left w:val="nil"/>
              <w:bottom w:val="single" w:sz="4" w:space="0" w:color="auto"/>
              <w:right w:val="single" w:sz="4" w:space="0" w:color="auto"/>
            </w:tcBorders>
            <w:tcMar>
              <w:right w:w="85" w:type="dxa"/>
            </w:tcMar>
            <w:vAlign w:val="center"/>
          </w:tcPr>
          <w:p w14:paraId="6764947A"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18A0E8DC"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16.880%</w:t>
            </w:r>
          </w:p>
        </w:tc>
        <w:tc>
          <w:tcPr>
            <w:tcW w:w="517" w:type="pct"/>
            <w:tcBorders>
              <w:top w:val="nil"/>
              <w:left w:val="nil"/>
              <w:bottom w:val="single" w:sz="4" w:space="0" w:color="auto"/>
              <w:right w:val="single" w:sz="4" w:space="0" w:color="auto"/>
            </w:tcBorders>
            <w:tcMar>
              <w:right w:w="85" w:type="dxa"/>
            </w:tcMar>
            <w:vAlign w:val="center"/>
          </w:tcPr>
          <w:p w14:paraId="7011FFE8"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10.770%</w:t>
            </w:r>
          </w:p>
        </w:tc>
        <w:tc>
          <w:tcPr>
            <w:tcW w:w="517" w:type="pct"/>
            <w:tcBorders>
              <w:top w:val="nil"/>
              <w:left w:val="nil"/>
              <w:bottom w:val="single" w:sz="4" w:space="0" w:color="auto"/>
              <w:right w:val="single" w:sz="4" w:space="0" w:color="auto"/>
            </w:tcBorders>
            <w:tcMar>
              <w:right w:w="85" w:type="dxa"/>
            </w:tcMar>
            <w:vAlign w:val="center"/>
          </w:tcPr>
          <w:p w14:paraId="7D936C20"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17.180%</w:t>
            </w:r>
          </w:p>
        </w:tc>
        <w:tc>
          <w:tcPr>
            <w:tcW w:w="517" w:type="pct"/>
            <w:tcBorders>
              <w:top w:val="nil"/>
              <w:left w:val="nil"/>
              <w:bottom w:val="single" w:sz="4" w:space="0" w:color="auto"/>
              <w:right w:val="single" w:sz="4" w:space="0" w:color="auto"/>
            </w:tcBorders>
            <w:tcMar>
              <w:right w:w="85" w:type="dxa"/>
            </w:tcMar>
            <w:vAlign w:val="center"/>
          </w:tcPr>
          <w:p w14:paraId="1BA809C7"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13.520%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88BDE67"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11.660%</w:t>
            </w:r>
          </w:p>
        </w:tc>
        <w:tc>
          <w:tcPr>
            <w:tcW w:w="478" w:type="pct"/>
            <w:tcBorders>
              <w:top w:val="single" w:sz="6" w:space="0" w:color="auto"/>
              <w:left w:val="single" w:sz="4" w:space="0" w:color="auto"/>
              <w:bottom w:val="single" w:sz="6" w:space="0" w:color="auto"/>
              <w:right w:val="single" w:sz="4" w:space="0" w:color="auto"/>
            </w:tcBorders>
            <w:vAlign w:val="center"/>
          </w:tcPr>
          <w:p w14:paraId="48DFD75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15.210%</w:t>
            </w:r>
          </w:p>
        </w:tc>
      </w:tr>
      <w:tr w:rsidR="00E224E9" w:rsidRPr="00E224E9" w14:paraId="201C9607" w14:textId="77777777" w:rsidTr="00BB67F8">
        <w:trPr>
          <w:cantSplit/>
          <w:trHeight w:val="347"/>
          <w:jc w:val="center"/>
        </w:trPr>
        <w:tc>
          <w:tcPr>
            <w:tcW w:w="314" w:type="pct"/>
            <w:vMerge/>
            <w:tcBorders>
              <w:left w:val="single" w:sz="4" w:space="0" w:color="auto"/>
              <w:right w:val="single" w:sz="4" w:space="0" w:color="auto"/>
            </w:tcBorders>
          </w:tcPr>
          <w:p w14:paraId="43CB2E93" w14:textId="77777777" w:rsidR="00BB67F8" w:rsidRPr="00E224E9"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64C68734"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日幣</w:t>
            </w:r>
          </w:p>
        </w:tc>
        <w:tc>
          <w:tcPr>
            <w:tcW w:w="517" w:type="pct"/>
            <w:tcBorders>
              <w:top w:val="nil"/>
              <w:left w:val="nil"/>
              <w:bottom w:val="single" w:sz="4" w:space="0" w:color="auto"/>
              <w:right w:val="single" w:sz="4" w:space="0" w:color="auto"/>
            </w:tcBorders>
            <w:tcMar>
              <w:right w:w="85" w:type="dxa"/>
            </w:tcMar>
            <w:vAlign w:val="center"/>
          </w:tcPr>
          <w:p w14:paraId="2F3DD2D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15.450%</w:t>
            </w:r>
          </w:p>
        </w:tc>
        <w:tc>
          <w:tcPr>
            <w:tcW w:w="517" w:type="pct"/>
            <w:tcBorders>
              <w:top w:val="nil"/>
              <w:left w:val="nil"/>
              <w:bottom w:val="single" w:sz="4" w:space="0" w:color="auto"/>
              <w:right w:val="single" w:sz="4" w:space="0" w:color="auto"/>
            </w:tcBorders>
            <w:tcMar>
              <w:right w:w="85" w:type="dxa"/>
            </w:tcMar>
            <w:vAlign w:val="center"/>
          </w:tcPr>
          <w:p w14:paraId="71CF8DF3"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20.320%</w:t>
            </w:r>
          </w:p>
        </w:tc>
        <w:tc>
          <w:tcPr>
            <w:tcW w:w="517" w:type="pct"/>
            <w:tcBorders>
              <w:top w:val="nil"/>
              <w:left w:val="nil"/>
              <w:bottom w:val="single" w:sz="4" w:space="0" w:color="auto"/>
              <w:right w:val="single" w:sz="4" w:space="0" w:color="auto"/>
            </w:tcBorders>
            <w:tcMar>
              <w:right w:w="85" w:type="dxa"/>
            </w:tcMar>
            <w:vAlign w:val="center"/>
          </w:tcPr>
          <w:p w14:paraId="4285946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199BB181"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18.780%</w:t>
            </w:r>
          </w:p>
        </w:tc>
        <w:tc>
          <w:tcPr>
            <w:tcW w:w="517" w:type="pct"/>
            <w:tcBorders>
              <w:top w:val="nil"/>
              <w:left w:val="nil"/>
              <w:bottom w:val="single" w:sz="4" w:space="0" w:color="auto"/>
              <w:right w:val="single" w:sz="4" w:space="0" w:color="auto"/>
            </w:tcBorders>
            <w:tcMar>
              <w:right w:w="85" w:type="dxa"/>
            </w:tcMar>
            <w:vAlign w:val="center"/>
          </w:tcPr>
          <w:p w14:paraId="04F5532C"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26.100%</w:t>
            </w:r>
          </w:p>
        </w:tc>
        <w:tc>
          <w:tcPr>
            <w:tcW w:w="517" w:type="pct"/>
            <w:tcBorders>
              <w:top w:val="nil"/>
              <w:left w:val="nil"/>
              <w:bottom w:val="single" w:sz="4" w:space="0" w:color="auto"/>
              <w:right w:val="single" w:sz="4" w:space="0" w:color="auto"/>
            </w:tcBorders>
            <w:tcMar>
              <w:right w:w="85" w:type="dxa"/>
            </w:tcMar>
            <w:vAlign w:val="center"/>
          </w:tcPr>
          <w:p w14:paraId="52846007"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15.420%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3B64CA5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20.950%</w:t>
            </w:r>
          </w:p>
        </w:tc>
        <w:tc>
          <w:tcPr>
            <w:tcW w:w="478" w:type="pct"/>
            <w:tcBorders>
              <w:top w:val="single" w:sz="6" w:space="0" w:color="auto"/>
              <w:left w:val="single" w:sz="4" w:space="0" w:color="auto"/>
              <w:bottom w:val="single" w:sz="6" w:space="0" w:color="auto"/>
              <w:right w:val="single" w:sz="4" w:space="0" w:color="auto"/>
            </w:tcBorders>
            <w:vAlign w:val="center"/>
          </w:tcPr>
          <w:p w14:paraId="24B3C86C"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17.100%</w:t>
            </w:r>
          </w:p>
        </w:tc>
      </w:tr>
      <w:tr w:rsidR="00E224E9" w:rsidRPr="00E224E9" w14:paraId="7EDDFB8A" w14:textId="77777777" w:rsidTr="00BB67F8">
        <w:trPr>
          <w:cantSplit/>
          <w:trHeight w:val="347"/>
          <w:jc w:val="center"/>
        </w:trPr>
        <w:tc>
          <w:tcPr>
            <w:tcW w:w="314" w:type="pct"/>
            <w:vMerge/>
            <w:tcBorders>
              <w:left w:val="single" w:sz="4" w:space="0" w:color="auto"/>
              <w:right w:val="single" w:sz="4" w:space="0" w:color="auto"/>
            </w:tcBorders>
          </w:tcPr>
          <w:p w14:paraId="03B44644" w14:textId="77777777" w:rsidR="00BB67F8" w:rsidRPr="00E224E9"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35F84943"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英</w:t>
            </w:r>
            <w:r w:rsidRPr="00E224E9">
              <w:rPr>
                <w:rFonts w:ascii="Book Antiqua" w:hAnsi="Book Antiqua" w:cs="新細明體" w:hint="eastAsia"/>
                <w:color w:val="000000" w:themeColor="text1"/>
                <w:kern w:val="0"/>
              </w:rPr>
              <w:t>鎊</w:t>
            </w:r>
          </w:p>
        </w:tc>
        <w:tc>
          <w:tcPr>
            <w:tcW w:w="517" w:type="pct"/>
            <w:tcBorders>
              <w:top w:val="nil"/>
              <w:left w:val="nil"/>
              <w:bottom w:val="single" w:sz="4" w:space="0" w:color="auto"/>
              <w:right w:val="single" w:sz="4" w:space="0" w:color="auto"/>
            </w:tcBorders>
            <w:tcMar>
              <w:right w:w="85" w:type="dxa"/>
            </w:tcMar>
            <w:vAlign w:val="center"/>
          </w:tcPr>
          <w:p w14:paraId="111F6FC7"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13.500%</w:t>
            </w:r>
          </w:p>
        </w:tc>
        <w:tc>
          <w:tcPr>
            <w:tcW w:w="517" w:type="pct"/>
            <w:tcBorders>
              <w:top w:val="nil"/>
              <w:left w:val="nil"/>
              <w:bottom w:val="single" w:sz="4" w:space="0" w:color="auto"/>
              <w:right w:val="single" w:sz="4" w:space="0" w:color="auto"/>
            </w:tcBorders>
            <w:tcMar>
              <w:right w:w="85" w:type="dxa"/>
            </w:tcMar>
            <w:vAlign w:val="center"/>
          </w:tcPr>
          <w:p w14:paraId="7E0FD000"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13.990%</w:t>
            </w:r>
          </w:p>
        </w:tc>
        <w:tc>
          <w:tcPr>
            <w:tcW w:w="517" w:type="pct"/>
            <w:tcBorders>
              <w:top w:val="nil"/>
              <w:left w:val="nil"/>
              <w:bottom w:val="single" w:sz="4" w:space="0" w:color="auto"/>
              <w:right w:val="single" w:sz="4" w:space="0" w:color="auto"/>
            </w:tcBorders>
            <w:tcMar>
              <w:right w:w="85" w:type="dxa"/>
            </w:tcMar>
            <w:vAlign w:val="center"/>
          </w:tcPr>
          <w:p w14:paraId="3FAB7E5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18.330%</w:t>
            </w:r>
          </w:p>
        </w:tc>
        <w:tc>
          <w:tcPr>
            <w:tcW w:w="517" w:type="pct"/>
            <w:tcBorders>
              <w:top w:val="nil"/>
              <w:left w:val="nil"/>
              <w:bottom w:val="single" w:sz="4" w:space="0" w:color="auto"/>
              <w:right w:val="single" w:sz="4" w:space="0" w:color="auto"/>
            </w:tcBorders>
            <w:tcMar>
              <w:right w:w="85" w:type="dxa"/>
            </w:tcMar>
            <w:vAlign w:val="center"/>
          </w:tcPr>
          <w:p w14:paraId="311BCB6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12579799"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19.070%</w:t>
            </w:r>
          </w:p>
        </w:tc>
        <w:tc>
          <w:tcPr>
            <w:tcW w:w="517" w:type="pct"/>
            <w:tcBorders>
              <w:top w:val="nil"/>
              <w:left w:val="nil"/>
              <w:bottom w:val="single" w:sz="4" w:space="0" w:color="auto"/>
              <w:right w:val="single" w:sz="4" w:space="0" w:color="auto"/>
            </w:tcBorders>
            <w:tcMar>
              <w:right w:w="85" w:type="dxa"/>
            </w:tcMar>
            <w:vAlign w:val="center"/>
          </w:tcPr>
          <w:p w14:paraId="455F863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13.470%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7CAE0B88"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17.930%</w:t>
            </w:r>
          </w:p>
        </w:tc>
        <w:tc>
          <w:tcPr>
            <w:tcW w:w="478" w:type="pct"/>
            <w:tcBorders>
              <w:top w:val="single" w:sz="6" w:space="0" w:color="auto"/>
              <w:left w:val="single" w:sz="4" w:space="0" w:color="auto"/>
              <w:bottom w:val="single" w:sz="6" w:space="0" w:color="auto"/>
              <w:right w:val="single" w:sz="4" w:space="0" w:color="auto"/>
            </w:tcBorders>
            <w:vAlign w:val="center"/>
          </w:tcPr>
          <w:p w14:paraId="3BFD48C8"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15.190%</w:t>
            </w:r>
          </w:p>
        </w:tc>
      </w:tr>
      <w:tr w:rsidR="00E224E9" w:rsidRPr="00E224E9" w14:paraId="3ECA8172" w14:textId="77777777" w:rsidTr="00BB67F8">
        <w:trPr>
          <w:cantSplit/>
          <w:trHeight w:val="347"/>
          <w:jc w:val="center"/>
        </w:trPr>
        <w:tc>
          <w:tcPr>
            <w:tcW w:w="314" w:type="pct"/>
            <w:vMerge/>
            <w:tcBorders>
              <w:left w:val="single" w:sz="4" w:space="0" w:color="auto"/>
              <w:right w:val="single" w:sz="4" w:space="0" w:color="auto"/>
            </w:tcBorders>
          </w:tcPr>
          <w:p w14:paraId="2507EA00" w14:textId="77777777" w:rsidR="00BB67F8" w:rsidRPr="00E224E9"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3BA8C80F"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澳幣</w:t>
            </w:r>
          </w:p>
        </w:tc>
        <w:tc>
          <w:tcPr>
            <w:tcW w:w="517" w:type="pct"/>
            <w:tcBorders>
              <w:top w:val="nil"/>
              <w:left w:val="nil"/>
              <w:bottom w:val="single" w:sz="4" w:space="0" w:color="auto"/>
              <w:right w:val="single" w:sz="4" w:space="0" w:color="auto"/>
            </w:tcBorders>
            <w:tcMar>
              <w:right w:w="85" w:type="dxa"/>
            </w:tcMar>
            <w:vAlign w:val="center"/>
          </w:tcPr>
          <w:p w14:paraId="550FBAE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17.960%</w:t>
            </w:r>
          </w:p>
        </w:tc>
        <w:tc>
          <w:tcPr>
            <w:tcW w:w="517" w:type="pct"/>
            <w:tcBorders>
              <w:top w:val="nil"/>
              <w:left w:val="nil"/>
              <w:bottom w:val="single" w:sz="4" w:space="0" w:color="auto"/>
              <w:right w:val="single" w:sz="4" w:space="0" w:color="auto"/>
            </w:tcBorders>
            <w:tcMar>
              <w:right w:w="85" w:type="dxa"/>
            </w:tcMar>
            <w:vAlign w:val="center"/>
          </w:tcPr>
          <w:p w14:paraId="5782B08C"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16.830%</w:t>
            </w:r>
          </w:p>
        </w:tc>
        <w:tc>
          <w:tcPr>
            <w:tcW w:w="517" w:type="pct"/>
            <w:tcBorders>
              <w:top w:val="nil"/>
              <w:left w:val="nil"/>
              <w:bottom w:val="single" w:sz="4" w:space="0" w:color="auto"/>
              <w:right w:val="single" w:sz="4" w:space="0" w:color="auto"/>
            </w:tcBorders>
            <w:tcMar>
              <w:right w:w="85" w:type="dxa"/>
            </w:tcMar>
            <w:vAlign w:val="center"/>
          </w:tcPr>
          <w:p w14:paraId="4BBBC945"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22.590%</w:t>
            </w:r>
          </w:p>
        </w:tc>
        <w:tc>
          <w:tcPr>
            <w:tcW w:w="517" w:type="pct"/>
            <w:tcBorders>
              <w:top w:val="nil"/>
              <w:left w:val="nil"/>
              <w:bottom w:val="single" w:sz="4" w:space="0" w:color="auto"/>
              <w:right w:val="single" w:sz="4" w:space="0" w:color="auto"/>
            </w:tcBorders>
            <w:tcMar>
              <w:right w:w="85" w:type="dxa"/>
            </w:tcMar>
            <w:vAlign w:val="center"/>
          </w:tcPr>
          <w:p w14:paraId="7E2530C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15.680%</w:t>
            </w:r>
          </w:p>
        </w:tc>
        <w:tc>
          <w:tcPr>
            <w:tcW w:w="517" w:type="pct"/>
            <w:tcBorders>
              <w:top w:val="nil"/>
              <w:left w:val="nil"/>
              <w:bottom w:val="single" w:sz="4" w:space="0" w:color="auto"/>
              <w:right w:val="single" w:sz="4" w:space="0" w:color="auto"/>
            </w:tcBorders>
            <w:tcMar>
              <w:right w:w="85" w:type="dxa"/>
            </w:tcMar>
            <w:vAlign w:val="center"/>
          </w:tcPr>
          <w:p w14:paraId="73CE5FB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4F3C079D"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17.900%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CFCFB29"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21.410%</w:t>
            </w:r>
          </w:p>
        </w:tc>
        <w:tc>
          <w:tcPr>
            <w:tcW w:w="478" w:type="pct"/>
            <w:tcBorders>
              <w:top w:val="single" w:sz="6" w:space="0" w:color="auto"/>
              <w:left w:val="single" w:sz="4" w:space="0" w:color="auto"/>
              <w:bottom w:val="single" w:sz="6" w:space="0" w:color="auto"/>
              <w:right w:val="single" w:sz="4" w:space="0" w:color="auto"/>
            </w:tcBorders>
            <w:vAlign w:val="center"/>
          </w:tcPr>
          <w:p w14:paraId="203C27A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19.510%</w:t>
            </w:r>
          </w:p>
        </w:tc>
      </w:tr>
      <w:tr w:rsidR="00E224E9" w:rsidRPr="00E224E9" w14:paraId="09337923" w14:textId="77777777" w:rsidTr="00BB67F8">
        <w:trPr>
          <w:cantSplit/>
          <w:trHeight w:val="347"/>
          <w:jc w:val="center"/>
        </w:trPr>
        <w:tc>
          <w:tcPr>
            <w:tcW w:w="314" w:type="pct"/>
            <w:vMerge/>
            <w:tcBorders>
              <w:left w:val="single" w:sz="4" w:space="0" w:color="auto"/>
              <w:right w:val="single" w:sz="4" w:space="0" w:color="auto"/>
            </w:tcBorders>
          </w:tcPr>
          <w:p w14:paraId="79D4C056" w14:textId="77777777" w:rsidR="00BB67F8" w:rsidRPr="00E224E9"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71E39FD8"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港幣</w:t>
            </w:r>
          </w:p>
        </w:tc>
        <w:tc>
          <w:tcPr>
            <w:tcW w:w="517" w:type="pct"/>
            <w:tcBorders>
              <w:top w:val="nil"/>
              <w:left w:val="nil"/>
              <w:bottom w:val="single" w:sz="4" w:space="0" w:color="auto"/>
              <w:right w:val="single" w:sz="4" w:space="0" w:color="auto"/>
            </w:tcBorders>
            <w:tcMar>
              <w:right w:w="85" w:type="dxa"/>
            </w:tcMar>
            <w:vAlign w:val="center"/>
          </w:tcPr>
          <w:p w14:paraId="4478245E"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0.800%</w:t>
            </w:r>
          </w:p>
        </w:tc>
        <w:tc>
          <w:tcPr>
            <w:tcW w:w="517" w:type="pct"/>
            <w:tcBorders>
              <w:top w:val="nil"/>
              <w:left w:val="nil"/>
              <w:bottom w:val="single" w:sz="4" w:space="0" w:color="auto"/>
              <w:right w:val="single" w:sz="4" w:space="0" w:color="auto"/>
            </w:tcBorders>
            <w:tcMar>
              <w:right w:w="85" w:type="dxa"/>
            </w:tcMar>
            <w:vAlign w:val="center"/>
          </w:tcPr>
          <w:p w14:paraId="50181093"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17.090%</w:t>
            </w:r>
          </w:p>
        </w:tc>
        <w:tc>
          <w:tcPr>
            <w:tcW w:w="517" w:type="pct"/>
            <w:tcBorders>
              <w:top w:val="nil"/>
              <w:left w:val="nil"/>
              <w:bottom w:val="single" w:sz="4" w:space="0" w:color="auto"/>
              <w:right w:val="single" w:sz="4" w:space="0" w:color="auto"/>
            </w:tcBorders>
            <w:tcMar>
              <w:right w:w="85" w:type="dxa"/>
            </w:tcMar>
            <w:vAlign w:val="center"/>
          </w:tcPr>
          <w:p w14:paraId="4640BCD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15.420%</w:t>
            </w:r>
          </w:p>
        </w:tc>
        <w:tc>
          <w:tcPr>
            <w:tcW w:w="517" w:type="pct"/>
            <w:tcBorders>
              <w:top w:val="nil"/>
              <w:left w:val="nil"/>
              <w:bottom w:val="single" w:sz="4" w:space="0" w:color="auto"/>
              <w:right w:val="single" w:sz="4" w:space="0" w:color="auto"/>
            </w:tcBorders>
            <w:tcMar>
              <w:right w:w="85" w:type="dxa"/>
            </w:tcMar>
            <w:vAlign w:val="center"/>
          </w:tcPr>
          <w:p w14:paraId="3C99F526"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13.940%</w:t>
            </w:r>
          </w:p>
        </w:tc>
        <w:tc>
          <w:tcPr>
            <w:tcW w:w="517" w:type="pct"/>
            <w:tcBorders>
              <w:top w:val="nil"/>
              <w:left w:val="nil"/>
              <w:bottom w:val="single" w:sz="4" w:space="0" w:color="auto"/>
              <w:right w:val="single" w:sz="4" w:space="0" w:color="auto"/>
            </w:tcBorders>
            <w:tcMar>
              <w:right w:w="85" w:type="dxa"/>
            </w:tcMar>
            <w:vAlign w:val="center"/>
          </w:tcPr>
          <w:p w14:paraId="795E999A"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21.630%</w:t>
            </w:r>
          </w:p>
        </w:tc>
        <w:tc>
          <w:tcPr>
            <w:tcW w:w="517" w:type="pct"/>
            <w:tcBorders>
              <w:top w:val="nil"/>
              <w:left w:val="nil"/>
              <w:bottom w:val="single" w:sz="4" w:space="0" w:color="auto"/>
              <w:right w:val="single" w:sz="4" w:space="0" w:color="auto"/>
            </w:tcBorders>
            <w:tcMar>
              <w:right w:w="85" w:type="dxa"/>
            </w:tcMar>
            <w:vAlign w:val="center"/>
          </w:tcPr>
          <w:p w14:paraId="3D37B13E"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C975A96"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19.880%</w:t>
            </w:r>
          </w:p>
        </w:tc>
        <w:tc>
          <w:tcPr>
            <w:tcW w:w="478" w:type="pct"/>
            <w:tcBorders>
              <w:top w:val="single" w:sz="6" w:space="0" w:color="auto"/>
              <w:left w:val="single" w:sz="4" w:space="0" w:color="auto"/>
              <w:bottom w:val="single" w:sz="6" w:space="0" w:color="auto"/>
              <w:right w:val="single" w:sz="4" w:space="0" w:color="auto"/>
            </w:tcBorders>
            <w:vAlign w:val="center"/>
          </w:tcPr>
          <w:p w14:paraId="757AF5C5"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4.010%</w:t>
            </w:r>
          </w:p>
        </w:tc>
      </w:tr>
      <w:tr w:rsidR="00E224E9" w:rsidRPr="00E224E9" w14:paraId="4329A616" w14:textId="77777777" w:rsidTr="00BB67F8">
        <w:trPr>
          <w:cantSplit/>
          <w:trHeight w:val="347"/>
          <w:jc w:val="center"/>
        </w:trPr>
        <w:tc>
          <w:tcPr>
            <w:tcW w:w="314" w:type="pct"/>
            <w:vMerge/>
            <w:tcBorders>
              <w:left w:val="single" w:sz="4" w:space="0" w:color="auto"/>
              <w:right w:val="single" w:sz="4" w:space="0" w:color="auto"/>
            </w:tcBorders>
          </w:tcPr>
          <w:p w14:paraId="16BADCDA" w14:textId="77777777" w:rsidR="00BB67F8" w:rsidRPr="00E224E9" w:rsidRDefault="00BB67F8" w:rsidP="00BB67F8">
            <w:pPr>
              <w:widowControl/>
              <w:jc w:val="center"/>
              <w:rPr>
                <w:rFonts w:ascii="Book Antiqua" w:hAnsi="Book Antiqua" w:cs="新細明體"/>
                <w:color w:val="000000" w:themeColor="text1"/>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19B76652"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瑞士法郎</w:t>
            </w:r>
          </w:p>
        </w:tc>
        <w:tc>
          <w:tcPr>
            <w:tcW w:w="517" w:type="pct"/>
            <w:tcBorders>
              <w:top w:val="single" w:sz="4" w:space="0" w:color="auto"/>
              <w:left w:val="nil"/>
              <w:bottom w:val="single" w:sz="4" w:space="0" w:color="auto"/>
              <w:right w:val="single" w:sz="4" w:space="0" w:color="auto"/>
            </w:tcBorders>
            <w:tcMar>
              <w:right w:w="85" w:type="dxa"/>
            </w:tcMar>
            <w:vAlign w:val="center"/>
          </w:tcPr>
          <w:p w14:paraId="2BDD2A70"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13.320%</w:t>
            </w:r>
          </w:p>
        </w:tc>
        <w:tc>
          <w:tcPr>
            <w:tcW w:w="517" w:type="pct"/>
            <w:tcBorders>
              <w:top w:val="single" w:sz="4" w:space="0" w:color="auto"/>
              <w:left w:val="nil"/>
              <w:bottom w:val="single" w:sz="4" w:space="0" w:color="auto"/>
              <w:right w:val="single" w:sz="4" w:space="0" w:color="auto"/>
            </w:tcBorders>
            <w:tcMar>
              <w:right w:w="85" w:type="dxa"/>
            </w:tcMar>
            <w:vAlign w:val="center"/>
          </w:tcPr>
          <w:p w14:paraId="5EB1CB93"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8.360%</w:t>
            </w:r>
          </w:p>
        </w:tc>
        <w:tc>
          <w:tcPr>
            <w:tcW w:w="517" w:type="pct"/>
            <w:tcBorders>
              <w:top w:val="single" w:sz="4" w:space="0" w:color="auto"/>
              <w:left w:val="nil"/>
              <w:bottom w:val="single" w:sz="4" w:space="0" w:color="auto"/>
              <w:right w:val="single" w:sz="4" w:space="0" w:color="auto"/>
            </w:tcBorders>
            <w:tcMar>
              <w:right w:w="85" w:type="dxa"/>
            </w:tcMar>
            <w:vAlign w:val="center"/>
          </w:tcPr>
          <w:p w14:paraId="65DBABC7"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14.450%</w:t>
            </w:r>
          </w:p>
        </w:tc>
        <w:tc>
          <w:tcPr>
            <w:tcW w:w="517" w:type="pct"/>
            <w:tcBorders>
              <w:top w:val="single" w:sz="4" w:space="0" w:color="auto"/>
              <w:left w:val="nil"/>
              <w:bottom w:val="single" w:sz="4" w:space="0" w:color="auto"/>
              <w:right w:val="single" w:sz="4" w:space="0" w:color="auto"/>
            </w:tcBorders>
            <w:tcMar>
              <w:right w:w="85" w:type="dxa"/>
            </w:tcMar>
            <w:vAlign w:val="center"/>
          </w:tcPr>
          <w:p w14:paraId="3759E848"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11.680%</w:t>
            </w:r>
          </w:p>
        </w:tc>
        <w:tc>
          <w:tcPr>
            <w:tcW w:w="517" w:type="pct"/>
            <w:tcBorders>
              <w:top w:val="single" w:sz="4" w:space="0" w:color="auto"/>
              <w:left w:val="nil"/>
              <w:bottom w:val="single" w:sz="4" w:space="0" w:color="auto"/>
              <w:right w:val="single" w:sz="4" w:space="0" w:color="auto"/>
            </w:tcBorders>
            <w:tcMar>
              <w:right w:w="85" w:type="dxa"/>
            </w:tcMar>
            <w:vAlign w:val="center"/>
          </w:tcPr>
          <w:p w14:paraId="0F30D6B8"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18.810%</w:t>
            </w:r>
          </w:p>
        </w:tc>
        <w:tc>
          <w:tcPr>
            <w:tcW w:w="517" w:type="pct"/>
            <w:tcBorders>
              <w:top w:val="single" w:sz="4" w:space="0" w:color="auto"/>
              <w:left w:val="nil"/>
              <w:bottom w:val="single" w:sz="4" w:space="0" w:color="auto"/>
              <w:right w:val="single" w:sz="4" w:space="0" w:color="auto"/>
            </w:tcBorders>
            <w:tcMar>
              <w:right w:w="85" w:type="dxa"/>
            </w:tcMar>
            <w:vAlign w:val="center"/>
          </w:tcPr>
          <w:p w14:paraId="5FAA0C09"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13.300%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99CA225"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c>
          <w:tcPr>
            <w:tcW w:w="478" w:type="pct"/>
            <w:tcBorders>
              <w:top w:val="single" w:sz="6" w:space="0" w:color="auto"/>
              <w:left w:val="single" w:sz="4" w:space="0" w:color="auto"/>
              <w:bottom w:val="single" w:sz="6" w:space="0" w:color="auto"/>
              <w:right w:val="single" w:sz="4" w:space="0" w:color="auto"/>
            </w:tcBorders>
            <w:vAlign w:val="center"/>
          </w:tcPr>
          <w:p w14:paraId="290515F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15.010%</w:t>
            </w:r>
          </w:p>
        </w:tc>
      </w:tr>
      <w:tr w:rsidR="00BB67F8" w:rsidRPr="00E224E9" w14:paraId="7F2209A5" w14:textId="77777777" w:rsidTr="00BB67F8">
        <w:trPr>
          <w:cantSplit/>
          <w:trHeight w:val="347"/>
          <w:jc w:val="center"/>
        </w:trPr>
        <w:tc>
          <w:tcPr>
            <w:tcW w:w="314" w:type="pct"/>
            <w:vMerge/>
            <w:tcBorders>
              <w:left w:val="single" w:sz="4" w:space="0" w:color="auto"/>
              <w:bottom w:val="single" w:sz="4" w:space="0" w:color="auto"/>
              <w:right w:val="single" w:sz="4" w:space="0" w:color="auto"/>
            </w:tcBorders>
          </w:tcPr>
          <w:p w14:paraId="2FD57AA7" w14:textId="77777777" w:rsidR="00BB67F8" w:rsidRPr="00E224E9" w:rsidRDefault="00BB67F8" w:rsidP="00BB67F8">
            <w:pPr>
              <w:widowControl/>
              <w:jc w:val="center"/>
              <w:rPr>
                <w:rFonts w:ascii="Book Antiqua" w:hAnsi="Book Antiqua" w:cs="新細明體"/>
                <w:color w:val="000000" w:themeColor="text1"/>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2BCF1849"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hint="eastAsia"/>
                <w:color w:val="000000" w:themeColor="text1"/>
                <w:kern w:val="0"/>
              </w:rPr>
              <w:t>人民幣</w:t>
            </w:r>
          </w:p>
        </w:tc>
        <w:tc>
          <w:tcPr>
            <w:tcW w:w="517" w:type="pct"/>
            <w:tcBorders>
              <w:top w:val="single" w:sz="4" w:space="0" w:color="auto"/>
              <w:left w:val="nil"/>
              <w:bottom w:val="single" w:sz="4" w:space="0" w:color="auto"/>
              <w:right w:val="single" w:sz="4" w:space="0" w:color="auto"/>
            </w:tcBorders>
            <w:tcMar>
              <w:right w:w="85" w:type="dxa"/>
            </w:tcMar>
            <w:vAlign w:val="center"/>
          </w:tcPr>
          <w:p w14:paraId="42E3642A"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0.280%</w:t>
            </w:r>
          </w:p>
        </w:tc>
        <w:tc>
          <w:tcPr>
            <w:tcW w:w="517" w:type="pct"/>
            <w:tcBorders>
              <w:top w:val="single" w:sz="4" w:space="0" w:color="auto"/>
              <w:left w:val="nil"/>
              <w:bottom w:val="single" w:sz="4" w:space="0" w:color="auto"/>
              <w:right w:val="single" w:sz="4" w:space="0" w:color="auto"/>
            </w:tcBorders>
            <w:tcMar>
              <w:right w:w="85" w:type="dxa"/>
            </w:tcMar>
            <w:vAlign w:val="center"/>
          </w:tcPr>
          <w:p w14:paraId="28866937"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15.650%</w:t>
            </w:r>
          </w:p>
        </w:tc>
        <w:tc>
          <w:tcPr>
            <w:tcW w:w="517" w:type="pct"/>
            <w:tcBorders>
              <w:top w:val="single" w:sz="4" w:space="0" w:color="auto"/>
              <w:left w:val="nil"/>
              <w:bottom w:val="single" w:sz="4" w:space="0" w:color="auto"/>
              <w:right w:val="single" w:sz="4" w:space="0" w:color="auto"/>
            </w:tcBorders>
            <w:tcMar>
              <w:right w:w="85" w:type="dxa"/>
            </w:tcMar>
            <w:vAlign w:val="center"/>
          </w:tcPr>
          <w:p w14:paraId="477F212C"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13.960%</w:t>
            </w:r>
          </w:p>
        </w:tc>
        <w:tc>
          <w:tcPr>
            <w:tcW w:w="517" w:type="pct"/>
            <w:tcBorders>
              <w:top w:val="single" w:sz="4" w:space="0" w:color="auto"/>
              <w:left w:val="nil"/>
              <w:bottom w:val="single" w:sz="4" w:space="0" w:color="auto"/>
              <w:right w:val="single" w:sz="4" w:space="0" w:color="auto"/>
            </w:tcBorders>
            <w:tcMar>
              <w:right w:w="85" w:type="dxa"/>
            </w:tcMar>
            <w:vAlign w:val="center"/>
          </w:tcPr>
          <w:p w14:paraId="732865AE"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12.450%</w:t>
            </w:r>
          </w:p>
        </w:tc>
        <w:tc>
          <w:tcPr>
            <w:tcW w:w="517" w:type="pct"/>
            <w:tcBorders>
              <w:top w:val="single" w:sz="4" w:space="0" w:color="auto"/>
              <w:left w:val="nil"/>
              <w:bottom w:val="single" w:sz="4" w:space="0" w:color="auto"/>
              <w:right w:val="single" w:sz="4" w:space="0" w:color="auto"/>
            </w:tcBorders>
            <w:tcMar>
              <w:right w:w="85" w:type="dxa"/>
            </w:tcMar>
            <w:vAlign w:val="center"/>
          </w:tcPr>
          <w:p w14:paraId="6FD1B619"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20.270%</w:t>
            </w:r>
          </w:p>
        </w:tc>
        <w:tc>
          <w:tcPr>
            <w:tcW w:w="517" w:type="pct"/>
            <w:tcBorders>
              <w:top w:val="single" w:sz="4" w:space="0" w:color="auto"/>
              <w:left w:val="nil"/>
              <w:bottom w:val="single" w:sz="4" w:space="0" w:color="auto"/>
              <w:right w:val="single" w:sz="4" w:space="0" w:color="auto"/>
            </w:tcBorders>
            <w:tcMar>
              <w:right w:w="85" w:type="dxa"/>
            </w:tcMar>
            <w:vAlign w:val="center"/>
          </w:tcPr>
          <w:p w14:paraId="5B43E0E1"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0.370%</w:t>
            </w:r>
          </w:p>
        </w:tc>
        <w:tc>
          <w:tcPr>
            <w:tcW w:w="517" w:type="pct"/>
            <w:tcBorders>
              <w:top w:val="single" w:sz="6" w:space="0" w:color="auto"/>
              <w:left w:val="single" w:sz="4" w:space="0" w:color="auto"/>
              <w:bottom w:val="single" w:sz="4" w:space="0" w:color="auto"/>
              <w:right w:val="single" w:sz="4" w:space="0" w:color="auto"/>
            </w:tcBorders>
            <w:tcMar>
              <w:right w:w="85" w:type="dxa"/>
            </w:tcMar>
            <w:vAlign w:val="center"/>
          </w:tcPr>
          <w:p w14:paraId="5617050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18.520%</w:t>
            </w:r>
          </w:p>
        </w:tc>
        <w:tc>
          <w:tcPr>
            <w:tcW w:w="478" w:type="pct"/>
            <w:tcBorders>
              <w:top w:val="single" w:sz="6" w:space="0" w:color="auto"/>
              <w:left w:val="single" w:sz="4" w:space="0" w:color="auto"/>
              <w:bottom w:val="single" w:sz="4" w:space="0" w:color="auto"/>
              <w:right w:val="single" w:sz="4" w:space="0" w:color="auto"/>
            </w:tcBorders>
            <w:vAlign w:val="center"/>
          </w:tcPr>
          <w:p w14:paraId="4C29EAD0"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r>
    </w:tbl>
    <w:p w14:paraId="57D90835" w14:textId="77777777" w:rsidR="00BB67F8" w:rsidRPr="00E224E9" w:rsidRDefault="00BB67F8">
      <w:pPr>
        <w:pStyle w:val="Layer2"/>
        <w:spacing w:line="440" w:lineRule="exact"/>
        <w:jc w:val="both"/>
        <w:rPr>
          <w:rFonts w:ascii="Book Antiqua" w:hAnsi="Book Antiqua"/>
          <w:color w:val="000000" w:themeColor="text1"/>
        </w:rPr>
      </w:pPr>
    </w:p>
    <w:p w14:paraId="3C1CD077" w14:textId="77777777" w:rsidR="00065C53" w:rsidRPr="00E224E9" w:rsidRDefault="00065C53">
      <w:pPr>
        <w:rPr>
          <w:color w:val="000000" w:themeColor="text1"/>
        </w:rPr>
      </w:pPr>
    </w:p>
    <w:p w14:paraId="38763EB2" w14:textId="77777777" w:rsidR="00065C53" w:rsidRPr="00E224E9" w:rsidRDefault="00065C53">
      <w:pPr>
        <w:rPr>
          <w:color w:val="000000" w:themeColor="text1"/>
        </w:rPr>
      </w:pPr>
    </w:p>
    <w:p w14:paraId="2B5007DC" w14:textId="77777777" w:rsidR="00065C53" w:rsidRPr="00E224E9" w:rsidRDefault="00065C53">
      <w:pPr>
        <w:rPr>
          <w:color w:val="000000" w:themeColor="text1"/>
        </w:rPr>
      </w:pPr>
    </w:p>
    <w:p w14:paraId="384A4A8E" w14:textId="77777777" w:rsidR="00065C53" w:rsidRPr="00E224E9" w:rsidRDefault="00065C53">
      <w:pPr>
        <w:rPr>
          <w:color w:val="000000" w:themeColor="text1"/>
        </w:rPr>
      </w:pPr>
    </w:p>
    <w:p w14:paraId="151AF5F1" w14:textId="77777777" w:rsidR="00065C53" w:rsidRPr="00E224E9" w:rsidRDefault="00065C53">
      <w:pPr>
        <w:rPr>
          <w:color w:val="000000" w:themeColor="text1"/>
        </w:rPr>
      </w:pPr>
    </w:p>
    <w:p w14:paraId="4659D58C" w14:textId="77777777" w:rsidR="00065C53" w:rsidRPr="00E224E9" w:rsidRDefault="00065C53">
      <w:pPr>
        <w:rPr>
          <w:color w:val="000000" w:themeColor="text1"/>
        </w:rPr>
      </w:pPr>
    </w:p>
    <w:p w14:paraId="7F624222" w14:textId="77777777" w:rsidR="00065C53" w:rsidRPr="00E224E9" w:rsidRDefault="00065C53">
      <w:pPr>
        <w:rPr>
          <w:color w:val="000000" w:themeColor="text1"/>
        </w:rPr>
      </w:pPr>
    </w:p>
    <w:p w14:paraId="7790103A" w14:textId="77777777" w:rsidR="00065C53" w:rsidRPr="00E224E9" w:rsidRDefault="00065C53">
      <w:pPr>
        <w:rPr>
          <w:color w:val="000000" w:themeColor="text1"/>
        </w:rPr>
      </w:pPr>
    </w:p>
    <w:p w14:paraId="6CCB8744" w14:textId="77777777" w:rsidR="00065C53" w:rsidRPr="00E224E9" w:rsidRDefault="00065C53">
      <w:pPr>
        <w:rPr>
          <w:color w:val="000000" w:themeColor="text1"/>
        </w:rPr>
      </w:pPr>
    </w:p>
    <w:p w14:paraId="571121D4" w14:textId="77777777" w:rsidR="00065C53" w:rsidRPr="00E224E9" w:rsidRDefault="00065C53">
      <w:pPr>
        <w:rPr>
          <w:color w:val="000000" w:themeColor="text1"/>
        </w:rPr>
      </w:pPr>
    </w:p>
    <w:p w14:paraId="474BB209" w14:textId="77777777" w:rsidR="00065C53" w:rsidRPr="00E224E9" w:rsidRDefault="00065C53">
      <w:pPr>
        <w:rPr>
          <w:color w:val="000000" w:themeColor="text1"/>
        </w:rPr>
      </w:pPr>
    </w:p>
    <w:p w14:paraId="3DF9CBF3" w14:textId="77777777" w:rsidR="00065C53" w:rsidRPr="00E224E9" w:rsidRDefault="00065C53">
      <w:pPr>
        <w:rPr>
          <w:color w:val="000000" w:themeColor="text1"/>
        </w:rPr>
      </w:pPr>
    </w:p>
    <w:p w14:paraId="33120A76" w14:textId="77777777" w:rsidR="00065C53" w:rsidRPr="00E224E9" w:rsidRDefault="00065C53">
      <w:pPr>
        <w:rPr>
          <w:color w:val="000000" w:themeColor="text1"/>
        </w:rPr>
      </w:pPr>
    </w:p>
    <w:p w14:paraId="56281AE5" w14:textId="77777777" w:rsidR="00065C53" w:rsidRPr="00E224E9" w:rsidRDefault="00065C53">
      <w:pPr>
        <w:rPr>
          <w:color w:val="000000" w:themeColor="text1"/>
        </w:rPr>
      </w:pPr>
    </w:p>
    <w:p w14:paraId="5B9CAEB6" w14:textId="77777777" w:rsidR="00065C53" w:rsidRPr="00E224E9" w:rsidRDefault="00065C53">
      <w:pPr>
        <w:rPr>
          <w:color w:val="000000" w:themeColor="text1"/>
        </w:rPr>
      </w:pPr>
    </w:p>
    <w:p w14:paraId="24E76F0F" w14:textId="77777777" w:rsidR="00065C53" w:rsidRPr="00E224E9" w:rsidRDefault="00065C53">
      <w:pPr>
        <w:rPr>
          <w:color w:val="000000" w:themeColor="text1"/>
        </w:rPr>
      </w:pPr>
    </w:p>
    <w:p w14:paraId="5D9C5E5A" w14:textId="77777777" w:rsidR="00065C53" w:rsidRPr="00E224E9" w:rsidRDefault="00065C53">
      <w:pPr>
        <w:pStyle w:val="1"/>
        <w:spacing w:afterLines="0" w:line="440" w:lineRule="exact"/>
        <w:jc w:val="both"/>
        <w:rPr>
          <w:color w:val="000000" w:themeColor="text1"/>
        </w:rPr>
      </w:pPr>
      <w:bookmarkStart w:id="139" w:name="_Toc200468553"/>
      <w:r w:rsidRPr="00E224E9">
        <w:rPr>
          <w:rFonts w:hint="eastAsia"/>
          <w:color w:val="000000" w:themeColor="text1"/>
        </w:rPr>
        <w:lastRenderedPageBreak/>
        <w:t>表30-3-4：組合式存款風險資本額計算表</w:t>
      </w:r>
      <w:bookmarkEnd w:id="139"/>
    </w:p>
    <w:p w14:paraId="52DC7C9C"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1.依據保險業從事衍生性金融商品交易管理辦法第十</w:t>
      </w:r>
      <w:r w:rsidR="003763B7" w:rsidRPr="00E224E9">
        <w:rPr>
          <w:rFonts w:ascii="標楷體" w:hAnsi="標楷體" w:hint="eastAsia"/>
          <w:color w:val="000000" w:themeColor="text1"/>
        </w:rPr>
        <w:t>一</w:t>
      </w:r>
      <w:r w:rsidRPr="00E224E9">
        <w:rPr>
          <w:rFonts w:ascii="標楷體" w:hAnsi="標楷體" w:hint="eastAsia"/>
          <w:color w:val="000000" w:themeColor="text1"/>
        </w:rPr>
        <w:t>條</w:t>
      </w:r>
    </w:p>
    <w:p w14:paraId="6FA5454F"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｢保險業</w:t>
      </w:r>
      <w:r w:rsidR="00853D75" w:rsidRPr="00E224E9">
        <w:rPr>
          <w:rFonts w:ascii="標楷體" w:hAnsi="標楷體" w:hint="eastAsia"/>
          <w:color w:val="000000" w:themeColor="text1"/>
        </w:rPr>
        <w:t>從事結構型商品投資之衍生性金融商品交易，該</w:t>
      </w:r>
      <w:r w:rsidRPr="00E224E9">
        <w:rPr>
          <w:rFonts w:ascii="標楷體" w:hAnsi="標楷體" w:hint="eastAsia"/>
          <w:color w:val="000000" w:themeColor="text1"/>
        </w:rPr>
        <w:t>結構型商品應符合下列條件，其投資總額不得超過保險業資金之百分之十：</w:t>
      </w:r>
    </w:p>
    <w:p w14:paraId="3260E355" w14:textId="77777777" w:rsidR="00065C53" w:rsidRPr="00E224E9" w:rsidRDefault="00065C53">
      <w:pPr>
        <w:pStyle w:val="Layer2"/>
        <w:spacing w:line="440" w:lineRule="exact"/>
        <w:ind w:left="480" w:hangingChars="200" w:hanging="480"/>
        <w:jc w:val="both"/>
        <w:rPr>
          <w:rFonts w:ascii="標楷體" w:hAnsi="標楷體"/>
          <w:color w:val="000000" w:themeColor="text1"/>
        </w:rPr>
      </w:pPr>
      <w:r w:rsidRPr="00E224E9">
        <w:rPr>
          <w:rFonts w:ascii="標楷體" w:hAnsi="標楷體" w:hint="eastAsia"/>
          <w:color w:val="000000" w:themeColor="text1"/>
        </w:rPr>
        <w:t>一、最終到期日不得超過十年。</w:t>
      </w:r>
    </w:p>
    <w:p w14:paraId="49FE02A1" w14:textId="77777777" w:rsidR="00065C53" w:rsidRPr="00E224E9" w:rsidRDefault="00065C53">
      <w:pPr>
        <w:pStyle w:val="Layer2"/>
        <w:spacing w:line="440" w:lineRule="exact"/>
        <w:ind w:left="480" w:hangingChars="200" w:hanging="480"/>
        <w:jc w:val="both"/>
        <w:rPr>
          <w:rFonts w:ascii="標楷體" w:hAnsi="標楷體"/>
          <w:color w:val="000000" w:themeColor="text1"/>
        </w:rPr>
      </w:pPr>
      <w:r w:rsidRPr="00E224E9">
        <w:rPr>
          <w:rFonts w:ascii="標楷體" w:hAnsi="標楷體" w:hint="eastAsia"/>
          <w:color w:val="000000" w:themeColor="text1"/>
        </w:rPr>
        <w:t>二、到期本金之保本比率為百分之百，但最終到期日未逾五年者，到期本金之保本比率得調整為百分之九十以上。</w:t>
      </w:r>
    </w:p>
    <w:p w14:paraId="30B7B0A8" w14:textId="77777777" w:rsidR="00065C53" w:rsidRPr="00E224E9" w:rsidRDefault="00065C53">
      <w:pPr>
        <w:pStyle w:val="Layer2"/>
        <w:spacing w:line="440" w:lineRule="exact"/>
        <w:ind w:left="480" w:hangingChars="200" w:hanging="480"/>
        <w:jc w:val="both"/>
        <w:rPr>
          <w:rFonts w:ascii="標楷體" w:hAnsi="標楷體"/>
          <w:color w:val="000000" w:themeColor="text1"/>
        </w:rPr>
      </w:pPr>
      <w:r w:rsidRPr="00E224E9">
        <w:rPr>
          <w:rFonts w:ascii="標楷體" w:hAnsi="標楷體" w:hint="eastAsia"/>
          <w:color w:val="000000" w:themeColor="text1"/>
        </w:rPr>
        <w:t>三、相關衍生性金融商品操作風險由該發行機構承擔。</w:t>
      </w:r>
    </w:p>
    <w:p w14:paraId="1200F287" w14:textId="77777777" w:rsidR="00065C53" w:rsidRPr="00E224E9" w:rsidRDefault="00065C53" w:rsidP="00380737">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前項結構型商品之發行或保證機構，</w:t>
      </w:r>
      <w:r w:rsidR="00380737" w:rsidRPr="00E224E9">
        <w:rPr>
          <w:rFonts w:ascii="標楷體" w:hAnsi="標楷體" w:hint="eastAsia"/>
          <w:color w:val="000000" w:themeColor="text1"/>
        </w:rPr>
        <w:t>應為依法得辦理且符合第六條第三款所定件之本國及外國金融機構</w:t>
      </w:r>
      <w:r w:rsidRPr="00E224E9">
        <w:rPr>
          <w:rFonts w:ascii="標楷體" w:hAnsi="標楷體" w:hint="eastAsia"/>
          <w:color w:val="000000" w:themeColor="text1"/>
        </w:rPr>
        <w:t>。｣</w:t>
      </w:r>
    </w:p>
    <w:p w14:paraId="4964E22F"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2.本表組合式存款分為100%保本與90%保本兩大類</w:t>
      </w:r>
      <w:r w:rsidR="00380737" w:rsidRPr="00E224E9">
        <w:rPr>
          <w:rFonts w:ascii="標楷體" w:hAnsi="標楷體" w:hint="eastAsia"/>
          <w:color w:val="000000" w:themeColor="text1"/>
        </w:rPr>
        <w:t>，非100%保本皆填列於90%保本</w:t>
      </w:r>
      <w:r w:rsidRPr="00E224E9">
        <w:rPr>
          <w:rFonts w:ascii="標楷體" w:hAnsi="標楷體" w:hint="eastAsia"/>
          <w:color w:val="000000" w:themeColor="text1"/>
        </w:rPr>
        <w:t>。依照組合式存款之評等分項填列第3欄至第7欄持有部位之金額。第9欄~第13欄為其風險資本額。</w:t>
      </w:r>
    </w:p>
    <w:p w14:paraId="3E46074E"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3.無評等之組合式存款請以最低等級之評等填報。</w:t>
      </w:r>
    </w:p>
    <w:p w14:paraId="1F931A33" w14:textId="1ADA6E4D"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4.評等對照僅供參考</w:t>
      </w:r>
      <w:r w:rsidR="008D16DA" w:rsidRPr="00E224E9">
        <w:rPr>
          <w:rFonts w:ascii="標楷體" w:hAnsi="標楷體"/>
          <w:color w:val="000000" w:themeColor="text1"/>
        </w:rPr>
        <w:t>(同「</w:t>
      </w:r>
      <w:r w:rsidR="008D16DA" w:rsidRPr="00E224E9">
        <w:rPr>
          <w:rFonts w:ascii="標楷體" w:hAnsi="標楷體" w:hint="eastAsia"/>
          <w:color w:val="000000" w:themeColor="text1"/>
        </w:rPr>
        <w:t>表</w:t>
      </w:r>
      <w:r w:rsidR="008D16DA" w:rsidRPr="00E224E9">
        <w:rPr>
          <w:rFonts w:ascii="標楷體" w:hAnsi="標楷體"/>
          <w:color w:val="000000" w:themeColor="text1"/>
        </w:rPr>
        <w:t>30-3-1：C1a：國內資產風險--非關係人信用風險計算表</w:t>
      </w:r>
      <w:r w:rsidR="008D16DA" w:rsidRPr="00E224E9">
        <w:rPr>
          <w:rFonts w:ascii="標楷體" w:hAnsi="標楷體" w:hint="eastAsia"/>
          <w:color w:val="000000" w:themeColor="text1"/>
        </w:rPr>
        <w:t>」</w:t>
      </w:r>
      <w:r w:rsidR="00345FB8" w:rsidRPr="00E224E9">
        <w:rPr>
          <w:rFonts w:ascii="標楷體" w:hAnsi="標楷體" w:hint="eastAsia"/>
          <w:color w:val="000000" w:themeColor="text1"/>
        </w:rPr>
        <w:t>的</w:t>
      </w:r>
      <w:r w:rsidR="008D16DA" w:rsidRPr="00E224E9">
        <w:rPr>
          <w:rFonts w:ascii="標楷體" w:hAnsi="標楷體" w:hint="eastAsia"/>
          <w:color w:val="000000" w:themeColor="text1"/>
        </w:rPr>
        <w:t>信用評等對照表</w:t>
      </w:r>
      <w:r w:rsidR="008D16DA" w:rsidRPr="00E224E9">
        <w:rPr>
          <w:rFonts w:ascii="標楷體" w:hAnsi="標楷體"/>
          <w:color w:val="000000" w:themeColor="text1"/>
        </w:rPr>
        <w:t>)</w:t>
      </w:r>
      <w:r w:rsidR="008D16DA" w:rsidRPr="00E224E9">
        <w:rPr>
          <w:rFonts w:ascii="標楷體" w:hAnsi="標楷體" w:hint="eastAsia"/>
          <w:color w:val="000000" w:themeColor="text1"/>
        </w:rPr>
        <w:t>。</w:t>
      </w:r>
    </w:p>
    <w:p w14:paraId="6960C85A" w14:textId="77777777" w:rsidR="00065C53" w:rsidRPr="00E224E9" w:rsidRDefault="00065C53">
      <w:pPr>
        <w:jc w:val="both"/>
        <w:rPr>
          <w:color w:val="000000" w:themeColor="text1"/>
        </w:rPr>
      </w:pPr>
    </w:p>
    <w:p w14:paraId="5B3F075C" w14:textId="409686C3" w:rsidR="00065C53" w:rsidRPr="00E224E9" w:rsidRDefault="00065C53">
      <w:pPr>
        <w:jc w:val="both"/>
        <w:rPr>
          <w:b/>
          <w:color w:val="000000" w:themeColor="text1"/>
        </w:rPr>
      </w:pPr>
    </w:p>
    <w:p w14:paraId="1C0A4617" w14:textId="77777777" w:rsidR="00065C53" w:rsidRPr="00E224E9" w:rsidRDefault="00065C53">
      <w:pPr>
        <w:jc w:val="both"/>
        <w:rPr>
          <w:color w:val="000000" w:themeColor="text1"/>
        </w:rPr>
      </w:pPr>
    </w:p>
    <w:p w14:paraId="512FA8E3" w14:textId="77777777" w:rsidR="00065C53" w:rsidRPr="00E224E9" w:rsidRDefault="00065C53">
      <w:pPr>
        <w:pStyle w:val="1"/>
        <w:spacing w:afterLines="0" w:line="440" w:lineRule="exact"/>
        <w:jc w:val="both"/>
        <w:rPr>
          <w:color w:val="000000" w:themeColor="text1"/>
        </w:rPr>
      </w:pPr>
      <w:r w:rsidRPr="00E224E9">
        <w:rPr>
          <w:color w:val="000000" w:themeColor="text1"/>
        </w:rPr>
        <w:br w:type="page"/>
      </w:r>
      <w:bookmarkStart w:id="140" w:name="_Toc200468554"/>
      <w:r w:rsidRPr="00E224E9">
        <w:rPr>
          <w:rFonts w:hint="eastAsia"/>
          <w:color w:val="000000" w:themeColor="text1"/>
        </w:rPr>
        <w:lastRenderedPageBreak/>
        <w:t>表30-3-5：再保險資產風險資本額計算表</w:t>
      </w:r>
      <w:bookmarkEnd w:id="140"/>
    </w:p>
    <w:p w14:paraId="2C6EDFB6" w14:textId="77777777" w:rsidR="00065C53" w:rsidRPr="00E224E9" w:rsidRDefault="0032067D">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此表主要計算</w:t>
      </w:r>
      <w:r w:rsidR="00065C53" w:rsidRPr="00E224E9">
        <w:rPr>
          <w:rFonts w:ascii="標楷體" w:hAnsi="標楷體" w:hint="eastAsia"/>
          <w:color w:val="000000" w:themeColor="text1"/>
        </w:rPr>
        <w:t>再保險資產之信用風險，並將計算結果匯集至表30-3計算總資產風險資本額。</w:t>
      </w:r>
    </w:p>
    <w:p w14:paraId="34891B64" w14:textId="77777777" w:rsidR="00065C53" w:rsidRPr="00E224E9" w:rsidRDefault="00065C53">
      <w:pPr>
        <w:pStyle w:val="Layer2"/>
        <w:spacing w:line="440" w:lineRule="exact"/>
        <w:jc w:val="both"/>
        <w:rPr>
          <w:color w:val="000000" w:themeColor="text1"/>
        </w:rPr>
      </w:pPr>
      <w:r w:rsidRPr="00E224E9">
        <w:rPr>
          <w:rFonts w:hint="eastAsia"/>
          <w:color w:val="000000" w:themeColor="text1"/>
        </w:rPr>
        <w:t>各欄位說明如下：</w:t>
      </w:r>
    </w:p>
    <w:p w14:paraId="0AEC8FBE"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第1欄－發行機構信用評等</w:t>
      </w:r>
    </w:p>
    <w:p w14:paraId="30531948" w14:textId="77777777" w:rsidR="006F063D" w:rsidRPr="00E224E9" w:rsidRDefault="00065C53">
      <w:pPr>
        <w:spacing w:line="440" w:lineRule="exact"/>
        <w:ind w:leftChars="276" w:left="718"/>
        <w:jc w:val="both"/>
        <w:rPr>
          <w:color w:val="000000" w:themeColor="text1"/>
          <w:sz w:val="24"/>
        </w:rPr>
      </w:pPr>
      <w:r w:rsidRPr="00E224E9">
        <w:rPr>
          <w:rFonts w:hint="eastAsia"/>
          <w:color w:val="000000" w:themeColor="text1"/>
          <w:sz w:val="24"/>
        </w:rPr>
        <w:t>計算人身保險業資本適足率，信用評等公司長期信用評等等級之比較</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
        <w:gridCol w:w="2342"/>
        <w:gridCol w:w="1846"/>
        <w:gridCol w:w="1560"/>
        <w:gridCol w:w="2694"/>
      </w:tblGrid>
      <w:tr w:rsidR="00E224E9" w:rsidRPr="00E224E9" w14:paraId="6EA6E106" w14:textId="77777777" w:rsidTr="00824BED">
        <w:trPr>
          <w:trHeight w:val="315"/>
        </w:trPr>
        <w:tc>
          <w:tcPr>
            <w:tcW w:w="290" w:type="pct"/>
            <w:shd w:val="clear" w:color="auto" w:fill="FFFF99"/>
            <w:tcMar>
              <w:top w:w="15" w:type="dxa"/>
              <w:left w:w="108" w:type="dxa"/>
              <w:bottom w:w="0" w:type="dxa"/>
              <w:right w:w="108" w:type="dxa"/>
            </w:tcMar>
            <w:vAlign w:val="center"/>
            <w:hideMark/>
          </w:tcPr>
          <w:p w14:paraId="7EFDADE7" w14:textId="77777777" w:rsidR="00022F35" w:rsidRPr="00E224E9" w:rsidRDefault="00022F35" w:rsidP="001212A9">
            <w:pPr>
              <w:widowControl/>
              <w:ind w:leftChars="-57" w:left="-148" w:rightChars="-36" w:right="-94"/>
              <w:jc w:val="center"/>
              <w:rPr>
                <w:rFonts w:eastAsia="新細明體"/>
                <w:color w:val="000000" w:themeColor="text1"/>
                <w:spacing w:val="-10"/>
                <w:kern w:val="0"/>
                <w:sz w:val="20"/>
                <w:szCs w:val="20"/>
              </w:rPr>
            </w:pPr>
            <w:r w:rsidRPr="00E224E9">
              <w:rPr>
                <w:bCs/>
                <w:color w:val="000000" w:themeColor="text1"/>
                <w:spacing w:val="-10"/>
                <w:sz w:val="20"/>
                <w:szCs w:val="20"/>
              </w:rPr>
              <w:t>Class</w:t>
            </w:r>
          </w:p>
        </w:tc>
        <w:tc>
          <w:tcPr>
            <w:tcW w:w="1306" w:type="pct"/>
            <w:shd w:val="clear" w:color="auto" w:fill="FFFF99"/>
            <w:tcMar>
              <w:top w:w="15" w:type="dxa"/>
              <w:left w:w="108" w:type="dxa"/>
              <w:bottom w:w="0" w:type="dxa"/>
              <w:right w:w="108" w:type="dxa"/>
            </w:tcMar>
            <w:vAlign w:val="center"/>
            <w:hideMark/>
          </w:tcPr>
          <w:p w14:paraId="65057372" w14:textId="7616F037" w:rsidR="00022F35" w:rsidRPr="00E224E9" w:rsidRDefault="00022F35" w:rsidP="001212A9">
            <w:pPr>
              <w:widowControl/>
              <w:jc w:val="center"/>
              <w:rPr>
                <w:rFonts w:eastAsia="新細明體"/>
                <w:color w:val="000000" w:themeColor="text1"/>
                <w:kern w:val="0"/>
                <w:sz w:val="20"/>
                <w:szCs w:val="20"/>
              </w:rPr>
            </w:pPr>
            <w:r w:rsidRPr="00E224E9">
              <w:rPr>
                <w:bCs/>
                <w:color w:val="000000" w:themeColor="text1"/>
                <w:sz w:val="20"/>
                <w:szCs w:val="20"/>
              </w:rPr>
              <w:t>S&amp;P</w:t>
            </w:r>
            <w:r w:rsidRPr="00E224E9">
              <w:rPr>
                <w:rFonts w:hint="eastAsia"/>
                <w:bCs/>
                <w:color w:val="000000" w:themeColor="text1"/>
                <w:sz w:val="20"/>
                <w:szCs w:val="20"/>
              </w:rPr>
              <w:t>、</w:t>
            </w:r>
            <w:r w:rsidRPr="00E224E9">
              <w:rPr>
                <w:bCs/>
                <w:color w:val="000000" w:themeColor="text1"/>
                <w:sz w:val="20"/>
                <w:szCs w:val="20"/>
              </w:rPr>
              <w:t>Fitch</w:t>
            </w:r>
            <w:r w:rsidRPr="00E224E9">
              <w:rPr>
                <w:rFonts w:hint="eastAsia"/>
                <w:bCs/>
                <w:color w:val="000000" w:themeColor="text1"/>
                <w:sz w:val="20"/>
                <w:szCs w:val="20"/>
              </w:rPr>
              <w:t>、</w:t>
            </w:r>
            <w:r w:rsidRPr="00E224E9">
              <w:rPr>
                <w:bCs/>
                <w:color w:val="000000" w:themeColor="text1"/>
                <w:sz w:val="20"/>
                <w:szCs w:val="20"/>
              </w:rPr>
              <w:t>KBRA</w:t>
            </w:r>
          </w:p>
        </w:tc>
        <w:tc>
          <w:tcPr>
            <w:tcW w:w="1030" w:type="pct"/>
            <w:shd w:val="clear" w:color="auto" w:fill="FFFF99"/>
            <w:tcMar>
              <w:top w:w="15" w:type="dxa"/>
              <w:left w:w="108" w:type="dxa"/>
              <w:bottom w:w="0" w:type="dxa"/>
              <w:right w:w="108" w:type="dxa"/>
            </w:tcMar>
            <w:vAlign w:val="center"/>
            <w:hideMark/>
          </w:tcPr>
          <w:p w14:paraId="1D2AD86C" w14:textId="77777777" w:rsidR="00022F35" w:rsidRPr="00E224E9" w:rsidRDefault="00022F35" w:rsidP="001212A9">
            <w:pPr>
              <w:widowControl/>
              <w:jc w:val="center"/>
              <w:rPr>
                <w:rFonts w:eastAsia="新細明體"/>
                <w:color w:val="000000" w:themeColor="text1"/>
                <w:kern w:val="0"/>
                <w:sz w:val="36"/>
                <w:szCs w:val="36"/>
              </w:rPr>
            </w:pPr>
            <w:r w:rsidRPr="00E224E9">
              <w:rPr>
                <w:bCs/>
                <w:color w:val="000000" w:themeColor="text1"/>
                <w:sz w:val="20"/>
                <w:szCs w:val="20"/>
              </w:rPr>
              <w:t>Moody’s</w:t>
            </w:r>
          </w:p>
        </w:tc>
        <w:tc>
          <w:tcPr>
            <w:tcW w:w="870" w:type="pct"/>
            <w:shd w:val="clear" w:color="auto" w:fill="FFFF99"/>
            <w:tcMar>
              <w:top w:w="15" w:type="dxa"/>
              <w:left w:w="108" w:type="dxa"/>
              <w:bottom w:w="0" w:type="dxa"/>
              <w:right w:w="108" w:type="dxa"/>
            </w:tcMar>
            <w:vAlign w:val="center"/>
            <w:hideMark/>
          </w:tcPr>
          <w:p w14:paraId="71D7410C" w14:textId="77777777" w:rsidR="00022F35" w:rsidRPr="00E224E9" w:rsidRDefault="00022F35" w:rsidP="001212A9">
            <w:pPr>
              <w:widowControl/>
              <w:jc w:val="center"/>
              <w:rPr>
                <w:rFonts w:eastAsia="新細明體"/>
                <w:color w:val="000000" w:themeColor="text1"/>
                <w:kern w:val="0"/>
                <w:sz w:val="36"/>
                <w:szCs w:val="36"/>
              </w:rPr>
            </w:pPr>
            <w:r w:rsidRPr="00E224E9">
              <w:rPr>
                <w:bCs/>
                <w:color w:val="000000" w:themeColor="text1"/>
                <w:sz w:val="20"/>
                <w:szCs w:val="20"/>
              </w:rPr>
              <w:t>A</w:t>
            </w:r>
            <w:r w:rsidRPr="00E224E9">
              <w:rPr>
                <w:rFonts w:hint="eastAsia"/>
                <w:bCs/>
                <w:color w:val="000000" w:themeColor="text1"/>
                <w:sz w:val="20"/>
                <w:szCs w:val="20"/>
              </w:rPr>
              <w:t>.</w:t>
            </w:r>
            <w:r w:rsidRPr="00E224E9">
              <w:rPr>
                <w:bCs/>
                <w:color w:val="000000" w:themeColor="text1"/>
                <w:sz w:val="20"/>
                <w:szCs w:val="20"/>
              </w:rPr>
              <w:t>M</w:t>
            </w:r>
            <w:r w:rsidRPr="00E224E9">
              <w:rPr>
                <w:rFonts w:hint="eastAsia"/>
                <w:bCs/>
                <w:color w:val="000000" w:themeColor="text1"/>
                <w:sz w:val="20"/>
                <w:szCs w:val="20"/>
              </w:rPr>
              <w:t>.</w:t>
            </w:r>
            <w:r w:rsidRPr="00E224E9">
              <w:rPr>
                <w:bCs/>
                <w:color w:val="000000" w:themeColor="text1"/>
                <w:sz w:val="20"/>
                <w:szCs w:val="20"/>
              </w:rPr>
              <w:t xml:space="preserve"> Best</w:t>
            </w:r>
          </w:p>
        </w:tc>
        <w:tc>
          <w:tcPr>
            <w:tcW w:w="1503" w:type="pct"/>
            <w:shd w:val="clear" w:color="auto" w:fill="FFFF99"/>
            <w:tcMar>
              <w:top w:w="15" w:type="dxa"/>
              <w:left w:w="108" w:type="dxa"/>
              <w:bottom w:w="0" w:type="dxa"/>
              <w:right w:w="108" w:type="dxa"/>
            </w:tcMar>
            <w:vAlign w:val="center"/>
            <w:hideMark/>
          </w:tcPr>
          <w:p w14:paraId="69E76F54" w14:textId="77777777" w:rsidR="00022F35" w:rsidRPr="00E224E9" w:rsidRDefault="00022F35" w:rsidP="001212A9">
            <w:pPr>
              <w:widowControl/>
              <w:jc w:val="center"/>
              <w:rPr>
                <w:rFonts w:eastAsia="新細明體"/>
                <w:color w:val="000000" w:themeColor="text1"/>
                <w:kern w:val="0"/>
                <w:sz w:val="36"/>
                <w:szCs w:val="36"/>
              </w:rPr>
            </w:pPr>
            <w:r w:rsidRPr="00E224E9">
              <w:rPr>
                <w:bCs/>
                <w:color w:val="000000" w:themeColor="text1"/>
                <w:sz w:val="20"/>
                <w:szCs w:val="20"/>
              </w:rPr>
              <w:t>中華信評</w:t>
            </w:r>
          </w:p>
        </w:tc>
      </w:tr>
      <w:tr w:rsidR="00E224E9" w:rsidRPr="00E224E9" w14:paraId="580BECA3" w14:textId="77777777" w:rsidTr="00824BED">
        <w:trPr>
          <w:trHeight w:val="315"/>
        </w:trPr>
        <w:tc>
          <w:tcPr>
            <w:tcW w:w="290" w:type="pct"/>
            <w:shd w:val="clear" w:color="auto" w:fill="auto"/>
            <w:tcMar>
              <w:top w:w="15" w:type="dxa"/>
              <w:left w:w="108" w:type="dxa"/>
              <w:bottom w:w="0" w:type="dxa"/>
              <w:right w:w="108" w:type="dxa"/>
            </w:tcMar>
            <w:vAlign w:val="center"/>
            <w:hideMark/>
          </w:tcPr>
          <w:p w14:paraId="13139885"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Ⅰ</w:t>
            </w:r>
          </w:p>
        </w:tc>
        <w:tc>
          <w:tcPr>
            <w:tcW w:w="1306" w:type="pct"/>
            <w:shd w:val="clear" w:color="auto" w:fill="auto"/>
            <w:tcMar>
              <w:top w:w="15" w:type="dxa"/>
              <w:left w:w="108" w:type="dxa"/>
              <w:bottom w:w="0" w:type="dxa"/>
              <w:right w:w="108" w:type="dxa"/>
            </w:tcMar>
            <w:vAlign w:val="center"/>
            <w:hideMark/>
          </w:tcPr>
          <w:p w14:paraId="71CEEB2C"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AAA</w:t>
            </w:r>
          </w:p>
        </w:tc>
        <w:tc>
          <w:tcPr>
            <w:tcW w:w="1030" w:type="pct"/>
            <w:shd w:val="clear" w:color="auto" w:fill="auto"/>
            <w:tcMar>
              <w:top w:w="15" w:type="dxa"/>
              <w:left w:w="108" w:type="dxa"/>
              <w:bottom w:w="0" w:type="dxa"/>
              <w:right w:w="108" w:type="dxa"/>
            </w:tcMar>
            <w:vAlign w:val="center"/>
            <w:hideMark/>
          </w:tcPr>
          <w:p w14:paraId="2A20F46A"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Aaa</w:t>
            </w:r>
          </w:p>
        </w:tc>
        <w:tc>
          <w:tcPr>
            <w:tcW w:w="870" w:type="pct"/>
            <w:shd w:val="clear" w:color="auto" w:fill="auto"/>
            <w:tcMar>
              <w:top w:w="15" w:type="dxa"/>
              <w:left w:w="108" w:type="dxa"/>
              <w:bottom w:w="0" w:type="dxa"/>
              <w:right w:w="108" w:type="dxa"/>
            </w:tcMar>
            <w:vAlign w:val="center"/>
            <w:hideMark/>
          </w:tcPr>
          <w:p w14:paraId="2CDD835A"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A++</w:t>
            </w:r>
          </w:p>
        </w:tc>
        <w:tc>
          <w:tcPr>
            <w:tcW w:w="1503" w:type="pct"/>
            <w:shd w:val="clear" w:color="auto" w:fill="auto"/>
            <w:tcMar>
              <w:top w:w="15" w:type="dxa"/>
              <w:left w:w="108" w:type="dxa"/>
              <w:bottom w:w="0" w:type="dxa"/>
              <w:right w:w="108" w:type="dxa"/>
            </w:tcMar>
            <w:vAlign w:val="center"/>
            <w:hideMark/>
          </w:tcPr>
          <w:p w14:paraId="4904CBD1" w14:textId="77777777" w:rsidR="00022F35" w:rsidRPr="00E224E9" w:rsidRDefault="00022F35" w:rsidP="001513C1">
            <w:pPr>
              <w:widowControl/>
              <w:spacing w:line="320" w:lineRule="atLeast"/>
              <w:ind w:leftChars="-35" w:left="-91" w:rightChars="-41" w:right="-107"/>
              <w:jc w:val="both"/>
              <w:rPr>
                <w:rFonts w:eastAsia="新細明體"/>
                <w:color w:val="000000" w:themeColor="text1"/>
                <w:kern w:val="0"/>
                <w:sz w:val="18"/>
                <w:szCs w:val="36"/>
              </w:rPr>
            </w:pPr>
            <w:r w:rsidRPr="00E224E9">
              <w:rPr>
                <w:color w:val="000000" w:themeColor="text1"/>
                <w:sz w:val="18"/>
                <w:szCs w:val="22"/>
              </w:rPr>
              <w:t>---</w:t>
            </w:r>
          </w:p>
        </w:tc>
      </w:tr>
      <w:tr w:rsidR="00E224E9" w:rsidRPr="00E224E9" w14:paraId="5AE4CE8F" w14:textId="77777777" w:rsidTr="00824BED">
        <w:trPr>
          <w:trHeight w:val="315"/>
        </w:trPr>
        <w:tc>
          <w:tcPr>
            <w:tcW w:w="290" w:type="pct"/>
            <w:shd w:val="clear" w:color="auto" w:fill="auto"/>
            <w:tcMar>
              <w:top w:w="15" w:type="dxa"/>
              <w:left w:w="108" w:type="dxa"/>
              <w:bottom w:w="0" w:type="dxa"/>
              <w:right w:w="108" w:type="dxa"/>
            </w:tcMar>
            <w:vAlign w:val="center"/>
            <w:hideMark/>
          </w:tcPr>
          <w:p w14:paraId="5C820FA4"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Ⅱ</w:t>
            </w:r>
          </w:p>
        </w:tc>
        <w:tc>
          <w:tcPr>
            <w:tcW w:w="1306" w:type="pct"/>
            <w:shd w:val="clear" w:color="auto" w:fill="auto"/>
            <w:tcMar>
              <w:top w:w="15" w:type="dxa"/>
              <w:left w:w="108" w:type="dxa"/>
              <w:bottom w:w="0" w:type="dxa"/>
              <w:right w:w="108" w:type="dxa"/>
            </w:tcMar>
            <w:vAlign w:val="center"/>
            <w:hideMark/>
          </w:tcPr>
          <w:p w14:paraId="049EEC09"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AA+, AA, AA-</w:t>
            </w:r>
          </w:p>
        </w:tc>
        <w:tc>
          <w:tcPr>
            <w:tcW w:w="1030" w:type="pct"/>
            <w:shd w:val="clear" w:color="auto" w:fill="auto"/>
            <w:tcMar>
              <w:top w:w="15" w:type="dxa"/>
              <w:left w:w="108" w:type="dxa"/>
              <w:bottom w:w="0" w:type="dxa"/>
              <w:right w:w="108" w:type="dxa"/>
            </w:tcMar>
            <w:vAlign w:val="center"/>
            <w:hideMark/>
          </w:tcPr>
          <w:p w14:paraId="5FD1C67F"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Aa1, Aa2, Aa3</w:t>
            </w:r>
          </w:p>
        </w:tc>
        <w:tc>
          <w:tcPr>
            <w:tcW w:w="870" w:type="pct"/>
            <w:shd w:val="clear" w:color="auto" w:fill="auto"/>
            <w:tcMar>
              <w:top w:w="15" w:type="dxa"/>
              <w:left w:w="108" w:type="dxa"/>
              <w:bottom w:w="0" w:type="dxa"/>
              <w:right w:w="108" w:type="dxa"/>
            </w:tcMar>
            <w:vAlign w:val="center"/>
            <w:hideMark/>
          </w:tcPr>
          <w:p w14:paraId="0800C51F"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bCs/>
                <w:color w:val="000000" w:themeColor="text1"/>
                <w:spacing w:val="-10"/>
                <w:sz w:val="18"/>
                <w:szCs w:val="22"/>
              </w:rPr>
              <w:t>A+</w:t>
            </w:r>
          </w:p>
        </w:tc>
        <w:tc>
          <w:tcPr>
            <w:tcW w:w="1503" w:type="pct"/>
            <w:shd w:val="clear" w:color="auto" w:fill="auto"/>
            <w:tcMar>
              <w:top w:w="15" w:type="dxa"/>
              <w:left w:w="108" w:type="dxa"/>
              <w:bottom w:w="0" w:type="dxa"/>
              <w:right w:w="108" w:type="dxa"/>
            </w:tcMar>
            <w:vAlign w:val="center"/>
            <w:hideMark/>
          </w:tcPr>
          <w:p w14:paraId="2096F940"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tw AAA</w:t>
            </w:r>
          </w:p>
        </w:tc>
      </w:tr>
      <w:tr w:rsidR="00E224E9" w:rsidRPr="00E224E9" w14:paraId="1AFE0C71" w14:textId="77777777" w:rsidTr="00824BED">
        <w:trPr>
          <w:trHeight w:val="315"/>
        </w:trPr>
        <w:tc>
          <w:tcPr>
            <w:tcW w:w="290" w:type="pct"/>
            <w:shd w:val="clear" w:color="auto" w:fill="auto"/>
            <w:tcMar>
              <w:top w:w="15" w:type="dxa"/>
              <w:left w:w="108" w:type="dxa"/>
              <w:bottom w:w="0" w:type="dxa"/>
              <w:right w:w="108" w:type="dxa"/>
            </w:tcMar>
            <w:vAlign w:val="center"/>
            <w:hideMark/>
          </w:tcPr>
          <w:p w14:paraId="16D53AA3"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Ⅲ</w:t>
            </w:r>
          </w:p>
        </w:tc>
        <w:tc>
          <w:tcPr>
            <w:tcW w:w="1306" w:type="pct"/>
            <w:shd w:val="clear" w:color="auto" w:fill="auto"/>
            <w:tcMar>
              <w:top w:w="15" w:type="dxa"/>
              <w:left w:w="108" w:type="dxa"/>
              <w:bottom w:w="0" w:type="dxa"/>
              <w:right w:w="108" w:type="dxa"/>
            </w:tcMar>
            <w:vAlign w:val="center"/>
            <w:hideMark/>
          </w:tcPr>
          <w:p w14:paraId="0D374E45"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A+, A, A-</w:t>
            </w:r>
          </w:p>
        </w:tc>
        <w:tc>
          <w:tcPr>
            <w:tcW w:w="1030" w:type="pct"/>
            <w:shd w:val="clear" w:color="auto" w:fill="auto"/>
            <w:tcMar>
              <w:top w:w="15" w:type="dxa"/>
              <w:left w:w="108" w:type="dxa"/>
              <w:bottom w:w="0" w:type="dxa"/>
              <w:right w:w="108" w:type="dxa"/>
            </w:tcMar>
            <w:vAlign w:val="center"/>
            <w:hideMark/>
          </w:tcPr>
          <w:p w14:paraId="1DC25262"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A1, A2, A3</w:t>
            </w:r>
          </w:p>
        </w:tc>
        <w:tc>
          <w:tcPr>
            <w:tcW w:w="870" w:type="pct"/>
            <w:shd w:val="clear" w:color="auto" w:fill="auto"/>
            <w:tcMar>
              <w:top w:w="15" w:type="dxa"/>
              <w:left w:w="108" w:type="dxa"/>
              <w:bottom w:w="0" w:type="dxa"/>
              <w:right w:w="108" w:type="dxa"/>
            </w:tcMar>
            <w:vAlign w:val="center"/>
            <w:hideMark/>
          </w:tcPr>
          <w:p w14:paraId="0971CBAE"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bCs/>
                <w:color w:val="000000" w:themeColor="text1"/>
                <w:spacing w:val="-10"/>
                <w:sz w:val="18"/>
                <w:szCs w:val="22"/>
              </w:rPr>
              <w:t>A, A-</w:t>
            </w:r>
          </w:p>
        </w:tc>
        <w:tc>
          <w:tcPr>
            <w:tcW w:w="1503" w:type="pct"/>
            <w:shd w:val="clear" w:color="auto" w:fill="auto"/>
            <w:tcMar>
              <w:top w:w="15" w:type="dxa"/>
              <w:left w:w="108" w:type="dxa"/>
              <w:bottom w:w="0" w:type="dxa"/>
              <w:right w:w="108" w:type="dxa"/>
            </w:tcMar>
            <w:vAlign w:val="center"/>
            <w:hideMark/>
          </w:tcPr>
          <w:p w14:paraId="6D9F7FFD"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tw AA+, tw AA, tw AA-</w:t>
            </w:r>
          </w:p>
        </w:tc>
      </w:tr>
      <w:tr w:rsidR="00E224E9" w:rsidRPr="00E224E9" w14:paraId="7CEF9FC8" w14:textId="77777777" w:rsidTr="00824BED">
        <w:trPr>
          <w:trHeight w:val="315"/>
        </w:trPr>
        <w:tc>
          <w:tcPr>
            <w:tcW w:w="290" w:type="pct"/>
            <w:shd w:val="clear" w:color="auto" w:fill="auto"/>
            <w:tcMar>
              <w:top w:w="15" w:type="dxa"/>
              <w:left w:w="108" w:type="dxa"/>
              <w:bottom w:w="0" w:type="dxa"/>
              <w:right w:w="108" w:type="dxa"/>
            </w:tcMar>
            <w:vAlign w:val="center"/>
            <w:hideMark/>
          </w:tcPr>
          <w:p w14:paraId="1F300486"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Ⅳ</w:t>
            </w:r>
          </w:p>
        </w:tc>
        <w:tc>
          <w:tcPr>
            <w:tcW w:w="1306" w:type="pct"/>
            <w:shd w:val="clear" w:color="auto" w:fill="auto"/>
            <w:tcMar>
              <w:top w:w="15" w:type="dxa"/>
              <w:left w:w="108" w:type="dxa"/>
              <w:bottom w:w="0" w:type="dxa"/>
              <w:right w:w="108" w:type="dxa"/>
            </w:tcMar>
            <w:vAlign w:val="center"/>
            <w:hideMark/>
          </w:tcPr>
          <w:p w14:paraId="102A485F"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BBB+, BBB, BBB-</w:t>
            </w:r>
          </w:p>
        </w:tc>
        <w:tc>
          <w:tcPr>
            <w:tcW w:w="1030" w:type="pct"/>
            <w:shd w:val="clear" w:color="auto" w:fill="auto"/>
            <w:tcMar>
              <w:top w:w="15" w:type="dxa"/>
              <w:left w:w="108" w:type="dxa"/>
              <w:bottom w:w="0" w:type="dxa"/>
              <w:right w:w="108" w:type="dxa"/>
            </w:tcMar>
            <w:vAlign w:val="center"/>
            <w:hideMark/>
          </w:tcPr>
          <w:p w14:paraId="41272720"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Baa1, Baa2, Baa3</w:t>
            </w:r>
          </w:p>
        </w:tc>
        <w:tc>
          <w:tcPr>
            <w:tcW w:w="870" w:type="pct"/>
            <w:shd w:val="clear" w:color="auto" w:fill="auto"/>
            <w:tcMar>
              <w:top w:w="15" w:type="dxa"/>
              <w:left w:w="108" w:type="dxa"/>
              <w:bottom w:w="0" w:type="dxa"/>
              <w:right w:w="108" w:type="dxa"/>
            </w:tcMar>
            <w:vAlign w:val="center"/>
            <w:hideMark/>
          </w:tcPr>
          <w:p w14:paraId="348EB96F"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bCs/>
                <w:color w:val="000000" w:themeColor="text1"/>
                <w:spacing w:val="-10"/>
                <w:sz w:val="18"/>
                <w:szCs w:val="22"/>
              </w:rPr>
              <w:t>B++, B+</w:t>
            </w:r>
          </w:p>
        </w:tc>
        <w:tc>
          <w:tcPr>
            <w:tcW w:w="1503" w:type="pct"/>
            <w:shd w:val="clear" w:color="auto" w:fill="auto"/>
            <w:tcMar>
              <w:top w:w="15" w:type="dxa"/>
              <w:left w:w="108" w:type="dxa"/>
              <w:bottom w:w="0" w:type="dxa"/>
              <w:right w:w="108" w:type="dxa"/>
            </w:tcMar>
            <w:vAlign w:val="center"/>
            <w:hideMark/>
          </w:tcPr>
          <w:p w14:paraId="626CA480"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tw A+, tw A, tw A-</w:t>
            </w:r>
          </w:p>
        </w:tc>
      </w:tr>
      <w:tr w:rsidR="00E224E9" w:rsidRPr="00E224E9" w14:paraId="2A79C899" w14:textId="77777777" w:rsidTr="00824BED">
        <w:trPr>
          <w:trHeight w:val="315"/>
        </w:trPr>
        <w:tc>
          <w:tcPr>
            <w:tcW w:w="290" w:type="pct"/>
            <w:shd w:val="clear" w:color="auto" w:fill="auto"/>
            <w:tcMar>
              <w:top w:w="15" w:type="dxa"/>
              <w:left w:w="108" w:type="dxa"/>
              <w:bottom w:w="0" w:type="dxa"/>
              <w:right w:w="108" w:type="dxa"/>
            </w:tcMar>
            <w:vAlign w:val="center"/>
            <w:hideMark/>
          </w:tcPr>
          <w:p w14:paraId="0FD1C155"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Ⅴ</w:t>
            </w:r>
          </w:p>
        </w:tc>
        <w:tc>
          <w:tcPr>
            <w:tcW w:w="1306" w:type="pct"/>
            <w:shd w:val="clear" w:color="auto" w:fill="auto"/>
            <w:tcMar>
              <w:top w:w="15" w:type="dxa"/>
              <w:left w:w="108" w:type="dxa"/>
              <w:bottom w:w="0" w:type="dxa"/>
              <w:right w:w="108" w:type="dxa"/>
            </w:tcMar>
            <w:vAlign w:val="center"/>
            <w:hideMark/>
          </w:tcPr>
          <w:p w14:paraId="7CF28F26"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BB+, BB, BB-</w:t>
            </w:r>
          </w:p>
        </w:tc>
        <w:tc>
          <w:tcPr>
            <w:tcW w:w="1030" w:type="pct"/>
            <w:shd w:val="clear" w:color="auto" w:fill="auto"/>
            <w:tcMar>
              <w:top w:w="15" w:type="dxa"/>
              <w:left w:w="108" w:type="dxa"/>
              <w:bottom w:w="0" w:type="dxa"/>
              <w:right w:w="108" w:type="dxa"/>
            </w:tcMar>
            <w:vAlign w:val="center"/>
            <w:hideMark/>
          </w:tcPr>
          <w:p w14:paraId="006AAAA1"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Ba1, Ba2, Ba3</w:t>
            </w:r>
          </w:p>
        </w:tc>
        <w:tc>
          <w:tcPr>
            <w:tcW w:w="870" w:type="pct"/>
            <w:shd w:val="clear" w:color="auto" w:fill="auto"/>
            <w:tcMar>
              <w:top w:w="15" w:type="dxa"/>
              <w:left w:w="108" w:type="dxa"/>
              <w:bottom w:w="0" w:type="dxa"/>
              <w:right w:w="108" w:type="dxa"/>
            </w:tcMar>
            <w:vAlign w:val="center"/>
            <w:hideMark/>
          </w:tcPr>
          <w:p w14:paraId="5A875AFC"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w:t>
            </w:r>
          </w:p>
        </w:tc>
        <w:tc>
          <w:tcPr>
            <w:tcW w:w="1503" w:type="pct"/>
            <w:shd w:val="clear" w:color="auto" w:fill="auto"/>
            <w:tcMar>
              <w:top w:w="15" w:type="dxa"/>
              <w:left w:w="108" w:type="dxa"/>
              <w:bottom w:w="0" w:type="dxa"/>
              <w:right w:w="108" w:type="dxa"/>
            </w:tcMar>
            <w:vAlign w:val="center"/>
            <w:hideMark/>
          </w:tcPr>
          <w:p w14:paraId="15BA6322"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tw BBB+, tw BBB, tw BBB-</w:t>
            </w:r>
          </w:p>
        </w:tc>
      </w:tr>
      <w:tr w:rsidR="00E224E9" w:rsidRPr="00E224E9" w14:paraId="5AC677BF" w14:textId="77777777" w:rsidTr="00824BED">
        <w:trPr>
          <w:trHeight w:val="315"/>
        </w:trPr>
        <w:tc>
          <w:tcPr>
            <w:tcW w:w="290" w:type="pct"/>
            <w:shd w:val="clear" w:color="auto" w:fill="auto"/>
            <w:tcMar>
              <w:top w:w="15" w:type="dxa"/>
              <w:left w:w="108" w:type="dxa"/>
              <w:bottom w:w="0" w:type="dxa"/>
              <w:right w:w="108" w:type="dxa"/>
            </w:tcMar>
            <w:vAlign w:val="center"/>
            <w:hideMark/>
          </w:tcPr>
          <w:p w14:paraId="1D1166BB"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Ⅵ</w:t>
            </w:r>
          </w:p>
        </w:tc>
        <w:tc>
          <w:tcPr>
            <w:tcW w:w="1306" w:type="pct"/>
            <w:shd w:val="clear" w:color="auto" w:fill="auto"/>
            <w:tcMar>
              <w:top w:w="15" w:type="dxa"/>
              <w:left w:w="108" w:type="dxa"/>
              <w:bottom w:w="0" w:type="dxa"/>
              <w:right w:w="108" w:type="dxa"/>
            </w:tcMar>
            <w:vAlign w:val="center"/>
            <w:hideMark/>
          </w:tcPr>
          <w:p w14:paraId="3F9EE2E9"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 B, B-</w:t>
            </w:r>
          </w:p>
        </w:tc>
        <w:tc>
          <w:tcPr>
            <w:tcW w:w="1030" w:type="pct"/>
            <w:shd w:val="clear" w:color="auto" w:fill="auto"/>
            <w:tcMar>
              <w:top w:w="15" w:type="dxa"/>
              <w:left w:w="108" w:type="dxa"/>
              <w:bottom w:w="0" w:type="dxa"/>
              <w:right w:w="108" w:type="dxa"/>
            </w:tcMar>
            <w:vAlign w:val="center"/>
            <w:hideMark/>
          </w:tcPr>
          <w:p w14:paraId="4D73C95A"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B1, B2, B3</w:t>
            </w:r>
          </w:p>
        </w:tc>
        <w:tc>
          <w:tcPr>
            <w:tcW w:w="870" w:type="pct"/>
            <w:shd w:val="clear" w:color="auto" w:fill="auto"/>
            <w:tcMar>
              <w:top w:w="15" w:type="dxa"/>
              <w:left w:w="108" w:type="dxa"/>
              <w:bottom w:w="0" w:type="dxa"/>
              <w:right w:w="108" w:type="dxa"/>
            </w:tcMar>
            <w:vAlign w:val="center"/>
            <w:hideMark/>
          </w:tcPr>
          <w:p w14:paraId="22032311"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w:t>
            </w:r>
          </w:p>
        </w:tc>
        <w:tc>
          <w:tcPr>
            <w:tcW w:w="1503" w:type="pct"/>
            <w:shd w:val="clear" w:color="auto" w:fill="auto"/>
            <w:tcMar>
              <w:top w:w="15" w:type="dxa"/>
              <w:left w:w="108" w:type="dxa"/>
              <w:bottom w:w="0" w:type="dxa"/>
              <w:right w:w="108" w:type="dxa"/>
            </w:tcMar>
            <w:vAlign w:val="center"/>
            <w:hideMark/>
          </w:tcPr>
          <w:p w14:paraId="6D651AEA"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tw BB+, tw BB, tw BB-</w:t>
            </w:r>
          </w:p>
        </w:tc>
      </w:tr>
      <w:tr w:rsidR="00E224E9" w:rsidRPr="00E224E9" w14:paraId="6981C1E8" w14:textId="77777777" w:rsidTr="00824BED">
        <w:trPr>
          <w:trHeight w:val="315"/>
        </w:trPr>
        <w:tc>
          <w:tcPr>
            <w:tcW w:w="290" w:type="pct"/>
            <w:shd w:val="clear" w:color="auto" w:fill="auto"/>
            <w:tcMar>
              <w:top w:w="15" w:type="dxa"/>
              <w:left w:w="108" w:type="dxa"/>
              <w:bottom w:w="0" w:type="dxa"/>
              <w:right w:w="108" w:type="dxa"/>
            </w:tcMar>
            <w:vAlign w:val="center"/>
            <w:hideMark/>
          </w:tcPr>
          <w:p w14:paraId="0AECB43B"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Ⅶ</w:t>
            </w:r>
          </w:p>
        </w:tc>
        <w:tc>
          <w:tcPr>
            <w:tcW w:w="1306" w:type="pct"/>
            <w:shd w:val="clear" w:color="auto" w:fill="auto"/>
            <w:tcMar>
              <w:top w:w="15" w:type="dxa"/>
              <w:left w:w="108" w:type="dxa"/>
              <w:bottom w:w="0" w:type="dxa"/>
              <w:right w:w="108" w:type="dxa"/>
            </w:tcMar>
            <w:vAlign w:val="center"/>
            <w:hideMark/>
          </w:tcPr>
          <w:p w14:paraId="35CAE6BE"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CCC+, CCC, CCC-, CC, C</w:t>
            </w:r>
          </w:p>
        </w:tc>
        <w:tc>
          <w:tcPr>
            <w:tcW w:w="1030" w:type="pct"/>
            <w:shd w:val="clear" w:color="auto" w:fill="auto"/>
            <w:tcMar>
              <w:top w:w="15" w:type="dxa"/>
              <w:left w:w="108" w:type="dxa"/>
              <w:bottom w:w="0" w:type="dxa"/>
              <w:right w:w="108" w:type="dxa"/>
            </w:tcMar>
            <w:vAlign w:val="center"/>
            <w:hideMark/>
          </w:tcPr>
          <w:p w14:paraId="4402E06A"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Caa1, Caa2, Caa3, Ca, C</w:t>
            </w:r>
          </w:p>
        </w:tc>
        <w:tc>
          <w:tcPr>
            <w:tcW w:w="870" w:type="pct"/>
            <w:shd w:val="clear" w:color="auto" w:fill="auto"/>
            <w:tcMar>
              <w:top w:w="15" w:type="dxa"/>
              <w:left w:w="108" w:type="dxa"/>
              <w:bottom w:w="0" w:type="dxa"/>
              <w:right w:w="108" w:type="dxa"/>
            </w:tcMar>
            <w:vAlign w:val="center"/>
            <w:hideMark/>
          </w:tcPr>
          <w:p w14:paraId="5C56C80C"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C++, C+, C, C-, D</w:t>
            </w:r>
          </w:p>
        </w:tc>
        <w:tc>
          <w:tcPr>
            <w:tcW w:w="1503" w:type="pct"/>
            <w:shd w:val="clear" w:color="auto" w:fill="auto"/>
            <w:tcMar>
              <w:top w:w="15" w:type="dxa"/>
              <w:left w:w="108" w:type="dxa"/>
              <w:bottom w:w="0" w:type="dxa"/>
              <w:right w:w="108" w:type="dxa"/>
            </w:tcMar>
            <w:vAlign w:val="center"/>
            <w:hideMark/>
          </w:tcPr>
          <w:p w14:paraId="084566B4"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tw B+, tw B, tw B-, tw CCC+, tw CCC</w:t>
            </w:r>
          </w:p>
        </w:tc>
      </w:tr>
    </w:tbl>
    <w:p w14:paraId="31F8DC2A" w14:textId="77777777" w:rsidR="00065C53" w:rsidRPr="00E224E9" w:rsidRDefault="00065C53">
      <w:pPr>
        <w:spacing w:line="440" w:lineRule="exact"/>
        <w:ind w:leftChars="276" w:left="718"/>
        <w:jc w:val="both"/>
        <w:rPr>
          <w:color w:val="000000" w:themeColor="text1"/>
          <w:sz w:val="24"/>
        </w:rPr>
      </w:pPr>
      <w:r w:rsidRPr="00E224E9">
        <w:rPr>
          <w:color w:val="000000" w:themeColor="text1"/>
          <w:sz w:val="24"/>
        </w:rPr>
        <w:t>上表並非正式對照表，僅供參考。</w:t>
      </w:r>
    </w:p>
    <w:p w14:paraId="33230CE7"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第2欄－應列入本表計算風險資本額之再保險資產</w:t>
      </w:r>
    </w:p>
    <w:p w14:paraId="62B2C4FF" w14:textId="1FE3207A" w:rsidR="00065C53" w:rsidRPr="00E224E9" w:rsidRDefault="00065C53" w:rsidP="004373AD">
      <w:pPr>
        <w:numPr>
          <w:ilvl w:val="0"/>
          <w:numId w:val="26"/>
        </w:numPr>
        <w:spacing w:line="440" w:lineRule="exact"/>
        <w:jc w:val="both"/>
        <w:rPr>
          <w:color w:val="000000" w:themeColor="text1"/>
          <w:sz w:val="24"/>
        </w:rPr>
      </w:pPr>
      <w:r w:rsidRPr="00E224E9">
        <w:rPr>
          <w:rFonts w:hint="eastAsia"/>
          <w:color w:val="000000" w:themeColor="text1"/>
          <w:sz w:val="24"/>
        </w:rPr>
        <w:t>請按表</w:t>
      </w:r>
      <w:r w:rsidRPr="00E224E9">
        <w:rPr>
          <w:rFonts w:hint="eastAsia"/>
          <w:color w:val="000000" w:themeColor="text1"/>
          <w:sz w:val="24"/>
        </w:rPr>
        <w:t>19-5</w:t>
      </w:r>
      <w:r w:rsidRPr="00E224E9">
        <w:rPr>
          <w:rFonts w:hint="eastAsia"/>
          <w:color w:val="000000" w:themeColor="text1"/>
          <w:sz w:val="24"/>
        </w:rPr>
        <w:t>第</w:t>
      </w:r>
      <w:r w:rsidRPr="00E224E9">
        <w:rPr>
          <w:rFonts w:hint="eastAsia"/>
          <w:color w:val="000000" w:themeColor="text1"/>
          <w:sz w:val="24"/>
        </w:rPr>
        <w:t>(13)</w:t>
      </w:r>
      <w:r w:rsidRPr="00E224E9">
        <w:rPr>
          <w:rFonts w:hint="eastAsia"/>
          <w:color w:val="000000" w:themeColor="text1"/>
          <w:sz w:val="24"/>
        </w:rPr>
        <w:t>欄合計數依再保險人別的信用評等予以分類，並請依規定扣除催收款及非許認資產後之金額填列</w:t>
      </w:r>
      <w:r w:rsidR="004B5D34" w:rsidRPr="00E224E9">
        <w:rPr>
          <w:rFonts w:hint="eastAsia"/>
          <w:color w:val="000000" w:themeColor="text1"/>
          <w:sz w:val="24"/>
        </w:rPr>
        <w:t>(</w:t>
      </w:r>
      <w:r w:rsidR="004B5D34" w:rsidRPr="00E224E9">
        <w:rPr>
          <w:rFonts w:hint="eastAsia"/>
          <w:color w:val="000000" w:themeColor="text1"/>
          <w:sz w:val="24"/>
        </w:rPr>
        <w:t>前述扣除金額如因主管機關另有規定而未列為非認許資產者，則不予扣除</w:t>
      </w:r>
      <w:r w:rsidR="004B5D34" w:rsidRPr="00E224E9">
        <w:rPr>
          <w:rFonts w:hint="eastAsia"/>
          <w:color w:val="000000" w:themeColor="text1"/>
          <w:sz w:val="24"/>
        </w:rPr>
        <w:t>)</w:t>
      </w:r>
      <w:r w:rsidRPr="00E224E9">
        <w:rPr>
          <w:rFonts w:hint="eastAsia"/>
          <w:color w:val="000000" w:themeColor="text1"/>
          <w:sz w:val="24"/>
        </w:rPr>
        <w:t>，其中若再保險人係屬未適格再保險人時，請依規定再扣除該未適格再保險人之相關再保險資產後之金額填列。</w:t>
      </w:r>
    </w:p>
    <w:p w14:paraId="7F3C449F" w14:textId="77777777" w:rsidR="00065C53" w:rsidRPr="00E224E9" w:rsidRDefault="00065C53" w:rsidP="004373AD">
      <w:pPr>
        <w:numPr>
          <w:ilvl w:val="0"/>
          <w:numId w:val="26"/>
        </w:numPr>
        <w:spacing w:line="440" w:lineRule="exact"/>
        <w:jc w:val="both"/>
        <w:rPr>
          <w:color w:val="000000" w:themeColor="text1"/>
          <w:sz w:val="24"/>
        </w:rPr>
      </w:pPr>
      <w:r w:rsidRPr="00E224E9">
        <w:rPr>
          <w:rFonts w:hint="eastAsia"/>
          <w:color w:val="000000" w:themeColor="text1"/>
          <w:sz w:val="24"/>
        </w:rPr>
        <w:t>分出保費不足及分出負債適足準備項目，若無法拆分至各再保險人時，指定為最差信評等級</w:t>
      </w:r>
      <w:r w:rsidRPr="00E224E9">
        <w:rPr>
          <w:rFonts w:hint="eastAsia"/>
          <w:color w:val="000000" w:themeColor="text1"/>
          <w:sz w:val="24"/>
        </w:rPr>
        <w:t>(</w:t>
      </w:r>
      <w:r w:rsidRPr="00E224E9">
        <w:rPr>
          <w:rFonts w:hint="eastAsia"/>
          <w:color w:val="000000" w:themeColor="text1"/>
          <w:sz w:val="24"/>
        </w:rPr>
        <w:t>投資等級</w:t>
      </w:r>
      <w:r w:rsidRPr="00E224E9">
        <w:rPr>
          <w:rFonts w:hint="eastAsia"/>
          <w:color w:val="000000" w:themeColor="text1"/>
          <w:sz w:val="24"/>
        </w:rPr>
        <w:t>Baa)</w:t>
      </w:r>
      <w:r w:rsidRPr="00E224E9">
        <w:rPr>
          <w:rFonts w:hint="eastAsia"/>
          <w:color w:val="000000" w:themeColor="text1"/>
          <w:sz w:val="24"/>
        </w:rPr>
        <w:t>，或按已有的各信用評等分配之比例予以拆分。</w:t>
      </w:r>
    </w:p>
    <w:p w14:paraId="46218DBC" w14:textId="77777777" w:rsidR="00065C53" w:rsidRPr="00E224E9" w:rsidRDefault="00065C53" w:rsidP="004373AD">
      <w:pPr>
        <w:numPr>
          <w:ilvl w:val="0"/>
          <w:numId w:val="26"/>
        </w:numPr>
        <w:spacing w:line="440" w:lineRule="exact"/>
        <w:jc w:val="both"/>
        <w:rPr>
          <w:color w:val="000000" w:themeColor="text1"/>
          <w:sz w:val="24"/>
        </w:rPr>
      </w:pPr>
      <w:r w:rsidRPr="00E224E9">
        <w:rPr>
          <w:rFonts w:hint="eastAsia"/>
          <w:color w:val="000000" w:themeColor="text1"/>
          <w:sz w:val="24"/>
        </w:rPr>
        <w:t>若再保險人為國內共保組織請分別依下列信用評等級予以填列：</w:t>
      </w:r>
    </w:p>
    <w:p w14:paraId="10473673" w14:textId="77777777" w:rsidR="00065C53" w:rsidRPr="00E224E9" w:rsidRDefault="00065C53" w:rsidP="004373AD">
      <w:pPr>
        <w:numPr>
          <w:ilvl w:val="0"/>
          <w:numId w:val="27"/>
        </w:numPr>
        <w:spacing w:line="440" w:lineRule="exact"/>
        <w:jc w:val="both"/>
        <w:rPr>
          <w:color w:val="000000" w:themeColor="text1"/>
          <w:sz w:val="24"/>
        </w:rPr>
      </w:pPr>
      <w:r w:rsidRPr="00E224E9">
        <w:rPr>
          <w:rFonts w:hint="eastAsia"/>
          <w:color w:val="000000" w:themeColor="text1"/>
          <w:sz w:val="24"/>
        </w:rPr>
        <w:t>住宅地震保險共保</w:t>
      </w:r>
      <w:r w:rsidRPr="00E224E9">
        <w:rPr>
          <w:rFonts w:hint="eastAsia"/>
          <w:color w:val="000000" w:themeColor="text1"/>
          <w:sz w:val="24"/>
        </w:rPr>
        <w:t>--&gt;Aaa</w:t>
      </w:r>
      <w:r w:rsidRPr="00E224E9">
        <w:rPr>
          <w:rFonts w:hint="eastAsia"/>
          <w:color w:val="000000" w:themeColor="text1"/>
          <w:sz w:val="24"/>
        </w:rPr>
        <w:t>、</w:t>
      </w:r>
      <w:r w:rsidRPr="00E224E9">
        <w:rPr>
          <w:rFonts w:hint="eastAsia"/>
          <w:color w:val="000000" w:themeColor="text1"/>
          <w:sz w:val="24"/>
        </w:rPr>
        <w:t>(2)</w:t>
      </w:r>
      <w:r w:rsidRPr="00E224E9">
        <w:rPr>
          <w:rFonts w:hint="eastAsia"/>
          <w:color w:val="000000" w:themeColor="text1"/>
        </w:rPr>
        <w:t xml:space="preserve"> </w:t>
      </w:r>
      <w:r w:rsidRPr="00E224E9">
        <w:rPr>
          <w:rFonts w:hint="eastAsia"/>
          <w:color w:val="000000" w:themeColor="text1"/>
          <w:sz w:val="24"/>
        </w:rPr>
        <w:t>強制汽車責任保險共保</w:t>
      </w:r>
      <w:r w:rsidRPr="00E224E9">
        <w:rPr>
          <w:rFonts w:hint="eastAsia"/>
          <w:color w:val="000000" w:themeColor="text1"/>
          <w:sz w:val="24"/>
        </w:rPr>
        <w:t>--&gt;Aa</w:t>
      </w:r>
      <w:r w:rsidRPr="00E224E9">
        <w:rPr>
          <w:rFonts w:hint="eastAsia"/>
          <w:color w:val="000000" w:themeColor="text1"/>
          <w:sz w:val="24"/>
        </w:rPr>
        <w:t>、</w:t>
      </w:r>
      <w:r w:rsidRPr="00E224E9">
        <w:rPr>
          <w:rFonts w:hint="eastAsia"/>
          <w:color w:val="000000" w:themeColor="text1"/>
          <w:sz w:val="24"/>
        </w:rPr>
        <w:t>(3)</w:t>
      </w:r>
      <w:r w:rsidRPr="00E224E9">
        <w:rPr>
          <w:rFonts w:hint="eastAsia"/>
          <w:color w:val="000000" w:themeColor="text1"/>
          <w:sz w:val="24"/>
        </w:rPr>
        <w:t>其他</w:t>
      </w:r>
      <w:r w:rsidRPr="00E224E9">
        <w:rPr>
          <w:rFonts w:hint="eastAsia"/>
          <w:color w:val="000000" w:themeColor="text1"/>
          <w:sz w:val="24"/>
        </w:rPr>
        <w:t>--&gt;A</w:t>
      </w:r>
      <w:r w:rsidRPr="00E224E9">
        <w:rPr>
          <w:rFonts w:hint="eastAsia"/>
          <w:color w:val="000000" w:themeColor="text1"/>
          <w:sz w:val="24"/>
        </w:rPr>
        <w:t>。</w:t>
      </w:r>
    </w:p>
    <w:p w14:paraId="17008264" w14:textId="77777777" w:rsidR="00065C53" w:rsidRPr="00E224E9" w:rsidRDefault="00065C53">
      <w:pPr>
        <w:spacing w:line="440" w:lineRule="exact"/>
        <w:ind w:left="1558"/>
        <w:jc w:val="both"/>
        <w:rPr>
          <w:color w:val="000000" w:themeColor="text1"/>
          <w:sz w:val="24"/>
        </w:rPr>
      </w:pPr>
      <w:r w:rsidRPr="00E224E9">
        <w:rPr>
          <w:rFonts w:hint="eastAsia"/>
          <w:color w:val="000000" w:themeColor="text1"/>
          <w:sz w:val="24"/>
        </w:rPr>
        <w:t>其他係指：核能保險共保</w:t>
      </w:r>
      <w:r w:rsidRPr="00E224E9">
        <w:rPr>
          <w:rFonts w:ascii="標楷體" w:hAnsi="標楷體" w:hint="eastAsia"/>
          <w:color w:val="000000" w:themeColor="text1"/>
          <w:sz w:val="24"/>
        </w:rPr>
        <w:t>、大宗物資共保、工程保險聯營、漁船保險共保及傷害險恐怖主義行為保險共保</w:t>
      </w:r>
      <w:r w:rsidRPr="00E224E9">
        <w:rPr>
          <w:rFonts w:ascii="標楷體" w:hAnsi="標楷體"/>
          <w:color w:val="000000" w:themeColor="text1"/>
          <w:sz w:val="24"/>
        </w:rPr>
        <w:t>…</w:t>
      </w:r>
      <w:r w:rsidRPr="00E224E9">
        <w:rPr>
          <w:rFonts w:ascii="標楷體" w:hAnsi="標楷體" w:hint="eastAsia"/>
          <w:color w:val="000000" w:themeColor="text1"/>
          <w:sz w:val="24"/>
        </w:rPr>
        <w:t>等</w:t>
      </w:r>
      <w:r w:rsidRPr="00E224E9">
        <w:rPr>
          <w:rFonts w:hint="eastAsia"/>
          <w:color w:val="000000" w:themeColor="text1"/>
          <w:sz w:val="24"/>
        </w:rPr>
        <w:t>。</w:t>
      </w:r>
    </w:p>
    <w:p w14:paraId="0996FB0B" w14:textId="77777777" w:rsidR="00065C53" w:rsidRPr="00E224E9" w:rsidRDefault="00065C53" w:rsidP="004373AD">
      <w:pPr>
        <w:numPr>
          <w:ilvl w:val="0"/>
          <w:numId w:val="26"/>
        </w:numPr>
        <w:spacing w:line="440" w:lineRule="exact"/>
        <w:jc w:val="both"/>
        <w:rPr>
          <w:color w:val="000000" w:themeColor="text1"/>
          <w:sz w:val="24"/>
        </w:rPr>
      </w:pPr>
      <w:r w:rsidRPr="00E224E9">
        <w:rPr>
          <w:rFonts w:hint="eastAsia"/>
          <w:color w:val="000000" w:themeColor="text1"/>
          <w:sz w:val="24"/>
        </w:rPr>
        <w:t>若再保險人為國內依法設立之保險公司且未有信用評等者，請依該再保險人最近一期已公告之</w:t>
      </w:r>
      <w:r w:rsidRPr="00E224E9">
        <w:rPr>
          <w:rFonts w:hint="eastAsia"/>
          <w:color w:val="000000" w:themeColor="text1"/>
          <w:sz w:val="24"/>
        </w:rPr>
        <w:t>RBC</w:t>
      </w:r>
      <w:r w:rsidRPr="00E224E9">
        <w:rPr>
          <w:rFonts w:hint="eastAsia"/>
          <w:color w:val="000000" w:themeColor="text1"/>
          <w:sz w:val="24"/>
        </w:rPr>
        <w:t>比率等級予以填列：</w:t>
      </w:r>
    </w:p>
    <w:p w14:paraId="002977C4" w14:textId="77777777" w:rsidR="00065C53" w:rsidRPr="00E224E9" w:rsidRDefault="00065C53">
      <w:pPr>
        <w:spacing w:line="440" w:lineRule="exact"/>
        <w:ind w:left="1198"/>
        <w:jc w:val="both"/>
        <w:rPr>
          <w:color w:val="000000" w:themeColor="text1"/>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E224E9" w:rsidRPr="00E224E9" w14:paraId="11DC9F23" w14:textId="77777777">
        <w:trPr>
          <w:trHeight w:val="315"/>
        </w:trPr>
        <w:tc>
          <w:tcPr>
            <w:tcW w:w="2220" w:type="dxa"/>
            <w:tcBorders>
              <w:top w:val="single" w:sz="4" w:space="0" w:color="auto"/>
              <w:left w:val="single" w:sz="4" w:space="0" w:color="auto"/>
              <w:bottom w:val="single" w:sz="4" w:space="0" w:color="auto"/>
              <w:right w:val="single" w:sz="4" w:space="0" w:color="auto"/>
            </w:tcBorders>
            <w:vAlign w:val="center"/>
            <w:hideMark/>
          </w:tcPr>
          <w:p w14:paraId="51E45878" w14:textId="77777777" w:rsidR="00065C53" w:rsidRPr="00E224E9" w:rsidRDefault="00065C53">
            <w:pPr>
              <w:widowControl/>
              <w:jc w:val="center"/>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RBC 比率</w:t>
            </w:r>
          </w:p>
        </w:tc>
        <w:tc>
          <w:tcPr>
            <w:tcW w:w="2200" w:type="dxa"/>
            <w:tcBorders>
              <w:top w:val="single" w:sz="4" w:space="0" w:color="auto"/>
              <w:left w:val="nil"/>
              <w:bottom w:val="single" w:sz="4" w:space="0" w:color="auto"/>
              <w:right w:val="single" w:sz="4" w:space="0" w:color="auto"/>
            </w:tcBorders>
            <w:vAlign w:val="center"/>
            <w:hideMark/>
          </w:tcPr>
          <w:p w14:paraId="4022CB43" w14:textId="77777777" w:rsidR="00065C53" w:rsidRPr="00E224E9" w:rsidRDefault="00065C53">
            <w:pPr>
              <w:widowControl/>
              <w:jc w:val="center"/>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風險係數</w:t>
            </w:r>
          </w:p>
        </w:tc>
      </w:tr>
      <w:tr w:rsidR="00E224E9" w:rsidRPr="00E224E9" w14:paraId="03C9708E"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57D1B45E" w14:textId="77777777" w:rsidR="00065C53" w:rsidRPr="00E224E9" w:rsidRDefault="00065C53">
            <w:pPr>
              <w:widowControl/>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23014BE6" w14:textId="77777777" w:rsidR="00065C53" w:rsidRPr="00E224E9" w:rsidRDefault="00065C53">
            <w:pPr>
              <w:widowControl/>
              <w:jc w:val="center"/>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 xml:space="preserve">0.0125 </w:t>
            </w:r>
          </w:p>
        </w:tc>
      </w:tr>
      <w:tr w:rsidR="00E224E9" w:rsidRPr="00E224E9" w14:paraId="2779CF66" w14:textId="77777777">
        <w:trPr>
          <w:trHeight w:val="570"/>
        </w:trPr>
        <w:tc>
          <w:tcPr>
            <w:tcW w:w="2220" w:type="dxa"/>
            <w:tcBorders>
              <w:top w:val="nil"/>
              <w:left w:val="single" w:sz="4" w:space="0" w:color="auto"/>
              <w:bottom w:val="single" w:sz="4" w:space="0" w:color="auto"/>
              <w:right w:val="single" w:sz="4" w:space="0" w:color="auto"/>
            </w:tcBorders>
            <w:vAlign w:val="center"/>
            <w:hideMark/>
          </w:tcPr>
          <w:p w14:paraId="61EF9B53" w14:textId="77777777" w:rsidR="00065C53" w:rsidRPr="00E224E9" w:rsidRDefault="00065C53">
            <w:pPr>
              <w:widowControl/>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4026B1A5" w14:textId="77777777" w:rsidR="00065C53" w:rsidRPr="00E224E9" w:rsidRDefault="00065C53">
            <w:pPr>
              <w:widowControl/>
              <w:jc w:val="center"/>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 xml:space="preserve">0.0455 </w:t>
            </w:r>
          </w:p>
        </w:tc>
      </w:tr>
      <w:tr w:rsidR="00E224E9" w:rsidRPr="00E224E9" w14:paraId="7ADA3076"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07164856" w14:textId="77777777" w:rsidR="00065C53" w:rsidRPr="00E224E9" w:rsidRDefault="00065C53">
            <w:pPr>
              <w:widowControl/>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7CE1BB45" w14:textId="77777777" w:rsidR="00065C53" w:rsidRPr="00E224E9" w:rsidRDefault="00065C53">
            <w:pPr>
              <w:widowControl/>
              <w:jc w:val="center"/>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 xml:space="preserve">0.1207 </w:t>
            </w:r>
          </w:p>
        </w:tc>
      </w:tr>
      <w:tr w:rsidR="00E224E9" w:rsidRPr="00E224E9" w14:paraId="2A7937D1"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1F821C60" w14:textId="77777777" w:rsidR="00065C53" w:rsidRPr="00E224E9" w:rsidRDefault="00065C53">
            <w:pPr>
              <w:widowControl/>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5D874BF1" w14:textId="77777777" w:rsidR="00065C53" w:rsidRPr="00E224E9" w:rsidRDefault="00065C53">
            <w:pPr>
              <w:widowControl/>
              <w:jc w:val="center"/>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 xml:space="preserve">0.3021 </w:t>
            </w:r>
          </w:p>
        </w:tc>
      </w:tr>
    </w:tbl>
    <w:p w14:paraId="075F098C" w14:textId="77777777" w:rsidR="00065C53" w:rsidRPr="00E224E9" w:rsidRDefault="00065C53">
      <w:pPr>
        <w:spacing w:line="440" w:lineRule="exact"/>
        <w:ind w:left="1198"/>
        <w:jc w:val="both"/>
        <w:rPr>
          <w:color w:val="000000" w:themeColor="text1"/>
          <w:sz w:val="24"/>
        </w:rPr>
      </w:pPr>
    </w:p>
    <w:p w14:paraId="63FDF14F"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第3欄－風險係數</w:t>
      </w:r>
    </w:p>
    <w:p w14:paraId="201F5F68" w14:textId="77777777" w:rsidR="00065C53" w:rsidRPr="00E224E9" w:rsidRDefault="00065C53">
      <w:pPr>
        <w:spacing w:line="440" w:lineRule="exact"/>
        <w:ind w:leftChars="276" w:left="718"/>
        <w:jc w:val="both"/>
        <w:rPr>
          <w:color w:val="000000" w:themeColor="text1"/>
          <w:sz w:val="24"/>
        </w:rPr>
      </w:pPr>
      <w:r w:rsidRPr="00E224E9">
        <w:rPr>
          <w:rFonts w:hint="eastAsia"/>
          <w:color w:val="000000" w:themeColor="text1"/>
          <w:sz w:val="24"/>
        </w:rPr>
        <w:t>係指計算風險資本額之風險係數。</w:t>
      </w:r>
    </w:p>
    <w:p w14:paraId="6E9BEE59"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第4欄－再保險資產風險資本額</w:t>
      </w:r>
    </w:p>
    <w:p w14:paraId="6F13B6CD" w14:textId="77777777" w:rsidR="00065C53" w:rsidRPr="00E224E9" w:rsidRDefault="00065C53">
      <w:pPr>
        <w:spacing w:line="440" w:lineRule="exact"/>
        <w:ind w:leftChars="276" w:left="718"/>
        <w:jc w:val="both"/>
        <w:rPr>
          <w:color w:val="000000" w:themeColor="text1"/>
          <w:sz w:val="24"/>
        </w:rPr>
      </w:pPr>
      <w:r w:rsidRPr="00E224E9">
        <w:rPr>
          <w:rFonts w:hint="eastAsia"/>
          <w:color w:val="000000" w:themeColor="text1"/>
          <w:sz w:val="24"/>
        </w:rPr>
        <w:t>按第</w:t>
      </w:r>
      <w:r w:rsidRPr="00E224E9">
        <w:rPr>
          <w:rFonts w:hint="eastAsia"/>
          <w:color w:val="000000" w:themeColor="text1"/>
          <w:sz w:val="24"/>
        </w:rPr>
        <w:t>2</w:t>
      </w:r>
      <w:r w:rsidRPr="00E224E9">
        <w:rPr>
          <w:rFonts w:hint="eastAsia"/>
          <w:color w:val="000000" w:themeColor="text1"/>
          <w:sz w:val="24"/>
        </w:rPr>
        <w:t>欄之</w:t>
      </w:r>
      <w:r w:rsidRPr="00E224E9">
        <w:rPr>
          <w:rFonts w:ascii="標楷體" w:hAnsi="標楷體" w:hint="eastAsia"/>
          <w:color w:val="000000" w:themeColor="text1"/>
          <w:sz w:val="24"/>
        </w:rPr>
        <w:t>應列入本表計算風險資本額之再保險資產</w:t>
      </w:r>
      <w:r w:rsidRPr="00E224E9">
        <w:rPr>
          <w:rFonts w:hint="eastAsia"/>
          <w:color w:val="000000" w:themeColor="text1"/>
          <w:sz w:val="24"/>
        </w:rPr>
        <w:t>相關金額，乘以其所對應之風險係數計算風險資本額。</w:t>
      </w:r>
    </w:p>
    <w:p w14:paraId="6258DB05" w14:textId="77777777" w:rsidR="00065C53" w:rsidRPr="00E224E9" w:rsidRDefault="00065C53">
      <w:pPr>
        <w:pStyle w:val="Layer2"/>
        <w:spacing w:line="440" w:lineRule="exact"/>
        <w:jc w:val="both"/>
        <w:rPr>
          <w:rFonts w:ascii="標楷體" w:hAnsi="標楷體"/>
          <w:color w:val="000000" w:themeColor="text1"/>
        </w:rPr>
      </w:pPr>
    </w:p>
    <w:p w14:paraId="05D73519" w14:textId="4F1E3ADA" w:rsidR="00065C53" w:rsidRDefault="0031277E" w:rsidP="004D5D28">
      <w:pPr>
        <w:pStyle w:val="1"/>
        <w:spacing w:afterLines="0" w:line="440" w:lineRule="exact"/>
        <w:jc w:val="both"/>
        <w:rPr>
          <w:color w:val="000000" w:themeColor="text1"/>
        </w:rPr>
      </w:pPr>
      <w:r w:rsidRPr="00E224E9">
        <w:rPr>
          <w:color w:val="000000" w:themeColor="text1"/>
        </w:rPr>
        <w:br w:type="page"/>
      </w:r>
      <w:bookmarkStart w:id="141" w:name="_Toc200468555"/>
      <w:r w:rsidRPr="0031277E">
        <w:rPr>
          <w:rFonts w:hint="eastAsia"/>
          <w:color w:val="EE0000"/>
        </w:rPr>
        <w:lastRenderedPageBreak/>
        <w:t>表30-3-6：匯率日均價調整數</w:t>
      </w:r>
      <w:bookmarkEnd w:id="141"/>
    </w:p>
    <w:p w14:paraId="742BD153" w14:textId="144610BC" w:rsidR="00CA7CB4" w:rsidRPr="00CA7CB4" w:rsidRDefault="00CA7CB4" w:rsidP="00CA7CB4">
      <w:pPr>
        <w:pStyle w:val="Layer2"/>
        <w:spacing w:line="440" w:lineRule="exact"/>
        <w:jc w:val="both"/>
        <w:rPr>
          <w:color w:val="EE0000"/>
        </w:rPr>
      </w:pPr>
      <w:r w:rsidRPr="00CA7CB4">
        <w:rPr>
          <w:rFonts w:hint="eastAsia"/>
          <w:color w:val="EE0000"/>
        </w:rPr>
        <w:t>為因應近期</w:t>
      </w:r>
      <w:r w:rsidRPr="00CA7CB4">
        <w:rPr>
          <w:rFonts w:hint="eastAsia"/>
          <w:color w:val="EE0000"/>
        </w:rPr>
        <w:t>(114</w:t>
      </w:r>
      <w:r w:rsidRPr="00CA7CB4">
        <w:rPr>
          <w:rFonts w:hint="eastAsia"/>
          <w:color w:val="EE0000"/>
        </w:rPr>
        <w:t>年度</w:t>
      </w:r>
      <w:r w:rsidRPr="00CA7CB4">
        <w:rPr>
          <w:rFonts w:hint="eastAsia"/>
          <w:color w:val="EE0000"/>
        </w:rPr>
        <w:t>)</w:t>
      </w:r>
      <w:r w:rsidRPr="00CA7CB4">
        <w:rPr>
          <w:rFonts w:hint="eastAsia"/>
          <w:color w:val="EE0000"/>
        </w:rPr>
        <w:t>國際金融情勢產生之金融市場及資本市場之波動對我國保險業之影響，對資本適足率匯率採均價制度訂定暫行措施。本計算表之規範係依照金融監督管理委員會之</w:t>
      </w:r>
      <w:r w:rsidR="00966B76" w:rsidRPr="00966B76">
        <w:rPr>
          <w:rFonts w:hint="eastAsia"/>
          <w:color w:val="EE0000"/>
        </w:rPr>
        <w:t>金管保財字第</w:t>
      </w:r>
      <w:r w:rsidR="00966B76" w:rsidRPr="00966B76">
        <w:rPr>
          <w:rFonts w:hint="eastAsia"/>
          <w:color w:val="EE0000"/>
        </w:rPr>
        <w:t>1140421677</w:t>
      </w:r>
      <w:r w:rsidR="00966B76" w:rsidRPr="00966B76">
        <w:rPr>
          <w:rFonts w:hint="eastAsia"/>
          <w:color w:val="EE0000"/>
        </w:rPr>
        <w:t>號</w:t>
      </w:r>
      <w:r w:rsidRPr="00CA7CB4">
        <w:rPr>
          <w:rFonts w:hint="eastAsia"/>
          <w:color w:val="EE0000"/>
        </w:rPr>
        <w:t>函辦理。</w:t>
      </w:r>
    </w:p>
    <w:p w14:paraId="3BA7D4E1" w14:textId="625BFF06" w:rsidR="00CA7CB4" w:rsidRDefault="00CA7CB4" w:rsidP="00CA7CB4">
      <w:pPr>
        <w:pStyle w:val="Layer2"/>
        <w:spacing w:line="440" w:lineRule="exact"/>
        <w:jc w:val="both"/>
        <w:rPr>
          <w:color w:val="EE0000"/>
        </w:rPr>
      </w:pPr>
      <w:r w:rsidRPr="00CA7CB4">
        <w:rPr>
          <w:rFonts w:hint="eastAsia"/>
          <w:color w:val="EE0000"/>
        </w:rPr>
        <w:t>有關資本適足率匯率採均價制度部分，將比照現行股票採半年均價評價之方式，採匯率均價基礎計算自有資本及風險資本，適用範圍以受匯市短期波動導致</w:t>
      </w:r>
      <w:r w:rsidR="007F4F1E">
        <w:rPr>
          <w:rFonts w:hint="eastAsia"/>
          <w:color w:val="EE0000"/>
        </w:rPr>
        <w:t>保</w:t>
      </w:r>
      <w:r w:rsidRPr="00CA7CB4">
        <w:rPr>
          <w:rFonts w:hint="eastAsia"/>
          <w:color w:val="EE0000"/>
        </w:rPr>
        <w:t>險業未及調整避險策略之既有金融資產為原則，排除外幣現金及外幣存款等資產。</w:t>
      </w:r>
    </w:p>
    <w:p w14:paraId="4730F7A3" w14:textId="67C996B7" w:rsidR="00BA5B4B" w:rsidRPr="004D5D28" w:rsidRDefault="00BA5B4B" w:rsidP="00BA5B4B">
      <w:pPr>
        <w:pStyle w:val="Layer2"/>
        <w:spacing w:line="440" w:lineRule="exact"/>
        <w:jc w:val="both"/>
        <w:rPr>
          <w:color w:val="EE0000"/>
        </w:rPr>
      </w:pPr>
      <w:r w:rsidRPr="004D5D28">
        <w:rPr>
          <w:rFonts w:hint="eastAsia"/>
          <w:color w:val="EE0000"/>
        </w:rPr>
        <w:t>此表主要計算「匯率日均價調整數」，相關結果相反映於「表</w:t>
      </w:r>
      <w:r w:rsidRPr="004D5D28">
        <w:rPr>
          <w:color w:val="EE0000"/>
        </w:rPr>
        <w:t>30-2</w:t>
      </w:r>
      <w:r w:rsidRPr="004D5D28">
        <w:rPr>
          <w:rFonts w:hint="eastAsia"/>
          <w:color w:val="EE0000"/>
        </w:rPr>
        <w:t>」和「表</w:t>
      </w:r>
      <w:r w:rsidRPr="004D5D28">
        <w:rPr>
          <w:color w:val="EE0000"/>
        </w:rPr>
        <w:t>30-3</w:t>
      </w:r>
      <w:r w:rsidRPr="004D5D28">
        <w:rPr>
          <w:rFonts w:hint="eastAsia"/>
          <w:color w:val="EE0000"/>
        </w:rPr>
        <w:t>」的「國外投資曝險部位」和「表</w:t>
      </w:r>
      <w:r w:rsidRPr="004D5D28">
        <w:rPr>
          <w:color w:val="EE0000"/>
        </w:rPr>
        <w:t>30-7</w:t>
      </w:r>
      <w:r w:rsidRPr="004D5D28">
        <w:rPr>
          <w:rFonts w:hint="eastAsia"/>
          <w:color w:val="EE0000"/>
        </w:rPr>
        <w:t>：自有資本總額計算表」</w:t>
      </w:r>
    </w:p>
    <w:p w14:paraId="05653AA7" w14:textId="4E570339" w:rsidR="0031277E" w:rsidRPr="004D5D28" w:rsidRDefault="00BA5B4B" w:rsidP="004D5D28">
      <w:pPr>
        <w:pStyle w:val="Layer2"/>
        <w:spacing w:line="440" w:lineRule="exact"/>
        <w:jc w:val="both"/>
        <w:rPr>
          <w:color w:val="EE0000"/>
        </w:rPr>
      </w:pPr>
      <w:r w:rsidRPr="004D5D28">
        <w:rPr>
          <w:rFonts w:hint="eastAsia"/>
          <w:color w:val="EE0000"/>
        </w:rPr>
        <w:t>各欄位說明如下：</w:t>
      </w:r>
    </w:p>
    <w:p w14:paraId="544273A4" w14:textId="5E6BDD7E" w:rsidR="0031277E" w:rsidRPr="004D5D28" w:rsidRDefault="00BA5B4B" w:rsidP="00BA5B4B">
      <w:pPr>
        <w:pStyle w:val="Layer2"/>
        <w:spacing w:line="440" w:lineRule="exact"/>
        <w:jc w:val="both"/>
        <w:rPr>
          <w:color w:val="EE0000"/>
        </w:rPr>
      </w:pPr>
      <w:r w:rsidRPr="004D5D28">
        <w:rPr>
          <w:rFonts w:hint="eastAsia"/>
          <w:color w:val="EE0000"/>
        </w:rPr>
        <w:t>第</w:t>
      </w:r>
      <w:r w:rsidRPr="004D5D28">
        <w:rPr>
          <w:color w:val="EE0000"/>
        </w:rPr>
        <w:t>1</w:t>
      </w:r>
      <w:r w:rsidRPr="004D5D28">
        <w:rPr>
          <w:rFonts w:hint="eastAsia"/>
          <w:color w:val="EE0000"/>
        </w:rPr>
        <w:t>列：</w:t>
      </w:r>
      <w:r w:rsidR="00DB63FE">
        <w:rPr>
          <w:rFonts w:hint="eastAsia"/>
          <w:color w:val="EE0000"/>
        </w:rPr>
        <w:t>匯率市價</w:t>
      </w:r>
      <w:r w:rsidRPr="004D5D28">
        <w:rPr>
          <w:color w:val="EE0000"/>
        </w:rPr>
        <w:t>(TWD/USD)</w:t>
      </w:r>
    </w:p>
    <w:p w14:paraId="3F3E7001" w14:textId="5663A2FD" w:rsidR="00BA5B4B" w:rsidRPr="004D5D28" w:rsidRDefault="00BA5B4B" w:rsidP="00BA5B4B">
      <w:pPr>
        <w:pStyle w:val="Layer2"/>
        <w:spacing w:line="440" w:lineRule="exact"/>
        <w:jc w:val="both"/>
        <w:rPr>
          <w:color w:val="EE0000"/>
        </w:rPr>
      </w:pPr>
      <w:r w:rsidRPr="004D5D28">
        <w:rPr>
          <w:rFonts w:hint="eastAsia"/>
          <w:color w:val="EE0000"/>
        </w:rPr>
        <w:t>第</w:t>
      </w:r>
      <w:r w:rsidRPr="004D5D28">
        <w:rPr>
          <w:color w:val="EE0000"/>
        </w:rPr>
        <w:t>2</w:t>
      </w:r>
      <w:r w:rsidRPr="004D5D28">
        <w:rPr>
          <w:rFonts w:hint="eastAsia"/>
          <w:color w:val="EE0000"/>
        </w:rPr>
        <w:t>列：</w:t>
      </w:r>
      <w:r w:rsidR="00DB63FE">
        <w:rPr>
          <w:rFonts w:hint="eastAsia"/>
          <w:color w:val="EE0000"/>
        </w:rPr>
        <w:t>匯率</w:t>
      </w:r>
      <w:r w:rsidRPr="004D5D28">
        <w:rPr>
          <w:rFonts w:hint="eastAsia"/>
          <w:color w:val="EE0000"/>
        </w:rPr>
        <w:t>日均價</w:t>
      </w:r>
      <w:r w:rsidRPr="004D5D28">
        <w:rPr>
          <w:color w:val="EE0000"/>
        </w:rPr>
        <w:t>(TWD/USD)</w:t>
      </w:r>
    </w:p>
    <w:p w14:paraId="599C300F" w14:textId="663A3C48" w:rsidR="00BA5B4B" w:rsidRPr="004D5D28" w:rsidRDefault="00BA5B4B" w:rsidP="00BA5B4B">
      <w:pPr>
        <w:pStyle w:val="Layer2"/>
        <w:spacing w:line="440" w:lineRule="exact"/>
        <w:jc w:val="both"/>
        <w:rPr>
          <w:color w:val="EE0000"/>
        </w:rPr>
      </w:pPr>
      <w:r w:rsidRPr="004D5D28">
        <w:rPr>
          <w:rFonts w:hint="eastAsia"/>
          <w:color w:val="EE0000"/>
        </w:rPr>
        <w:t>第</w:t>
      </w:r>
      <w:r w:rsidRPr="004D5D28">
        <w:rPr>
          <w:color w:val="EE0000"/>
        </w:rPr>
        <w:t>3</w:t>
      </w:r>
      <w:r w:rsidRPr="004D5D28">
        <w:rPr>
          <w:rFonts w:hint="eastAsia"/>
          <w:color w:val="EE0000"/>
        </w:rPr>
        <w:t>列</w:t>
      </w:r>
      <w:r w:rsidRPr="004D5D28">
        <w:rPr>
          <w:color w:val="EE0000"/>
        </w:rPr>
        <w:t>~</w:t>
      </w:r>
      <w:r w:rsidRPr="004D5D28">
        <w:rPr>
          <w:rFonts w:hint="eastAsia"/>
          <w:color w:val="EE0000"/>
        </w:rPr>
        <w:t>第</w:t>
      </w:r>
      <w:r w:rsidRPr="004D5D28">
        <w:rPr>
          <w:color w:val="EE0000"/>
        </w:rPr>
        <w:t>5</w:t>
      </w:r>
      <w:r w:rsidRPr="004D5D28">
        <w:rPr>
          <w:rFonts w:hint="eastAsia"/>
          <w:color w:val="EE0000"/>
        </w:rPr>
        <w:t>列，第</w:t>
      </w:r>
      <w:r w:rsidRPr="004D5D28">
        <w:rPr>
          <w:color w:val="EE0000"/>
        </w:rPr>
        <w:t>2</w:t>
      </w:r>
      <w:r w:rsidRPr="004D5D28">
        <w:rPr>
          <w:rFonts w:hint="eastAsia"/>
          <w:color w:val="EE0000"/>
        </w:rPr>
        <w:t>欄：</w:t>
      </w:r>
      <w:r w:rsidR="00DB63FE">
        <w:rPr>
          <w:rFonts w:hint="eastAsia"/>
          <w:color w:val="EE0000"/>
        </w:rPr>
        <w:t>市價</w:t>
      </w:r>
      <w:r w:rsidRPr="004D5D28">
        <w:rPr>
          <w:rFonts w:hint="eastAsia"/>
          <w:color w:val="EE0000"/>
        </w:rPr>
        <w:t>匯率基礎下，國外投資部位的評價金額。</w:t>
      </w:r>
    </w:p>
    <w:p w14:paraId="479BE29F" w14:textId="05D5611F" w:rsidR="00BA5B4B" w:rsidRPr="004D5D28" w:rsidRDefault="00BA5B4B" w:rsidP="00BA5B4B">
      <w:pPr>
        <w:pStyle w:val="Layer2"/>
        <w:spacing w:line="440" w:lineRule="exact"/>
        <w:jc w:val="both"/>
        <w:rPr>
          <w:color w:val="EE0000"/>
        </w:rPr>
      </w:pPr>
      <w:r w:rsidRPr="004D5D28">
        <w:rPr>
          <w:rFonts w:hint="eastAsia"/>
          <w:color w:val="EE0000"/>
        </w:rPr>
        <w:t>第</w:t>
      </w:r>
      <w:r w:rsidRPr="004D5D28">
        <w:rPr>
          <w:color w:val="EE0000"/>
        </w:rPr>
        <w:t>3</w:t>
      </w:r>
      <w:r w:rsidRPr="004D5D28">
        <w:rPr>
          <w:rFonts w:hint="eastAsia"/>
          <w:color w:val="EE0000"/>
        </w:rPr>
        <w:t>列</w:t>
      </w:r>
      <w:r w:rsidRPr="004D5D28">
        <w:rPr>
          <w:color w:val="EE0000"/>
        </w:rPr>
        <w:t>~</w:t>
      </w:r>
      <w:r w:rsidRPr="004D5D28">
        <w:rPr>
          <w:rFonts w:hint="eastAsia"/>
          <w:color w:val="EE0000"/>
        </w:rPr>
        <w:t>第</w:t>
      </w:r>
      <w:r w:rsidRPr="004D5D28">
        <w:rPr>
          <w:color w:val="EE0000"/>
        </w:rPr>
        <w:t>5</w:t>
      </w:r>
      <w:r w:rsidRPr="004D5D28">
        <w:rPr>
          <w:rFonts w:hint="eastAsia"/>
          <w:color w:val="EE0000"/>
        </w:rPr>
        <w:t>列，第</w:t>
      </w:r>
      <w:r w:rsidR="000065A1" w:rsidRPr="004D5D28">
        <w:rPr>
          <w:color w:val="EE0000"/>
        </w:rPr>
        <w:t>3</w:t>
      </w:r>
      <w:r w:rsidRPr="004D5D28">
        <w:rPr>
          <w:rFonts w:hint="eastAsia"/>
          <w:color w:val="EE0000"/>
        </w:rPr>
        <w:t>欄</w:t>
      </w:r>
      <w:r w:rsidR="000065A1" w:rsidRPr="004D5D28">
        <w:rPr>
          <w:rFonts w:hint="eastAsia"/>
          <w:color w:val="EE0000"/>
        </w:rPr>
        <w:t>：「表</w:t>
      </w:r>
      <w:r w:rsidR="000065A1" w:rsidRPr="004D5D28">
        <w:rPr>
          <w:color w:val="EE0000"/>
        </w:rPr>
        <w:t>30-3-3</w:t>
      </w:r>
      <w:r w:rsidR="000065A1" w:rsidRPr="004D5D28">
        <w:rPr>
          <w:rFonts w:hint="eastAsia"/>
          <w:color w:val="EE0000"/>
        </w:rPr>
        <w:t>」</w:t>
      </w:r>
      <w:r w:rsidR="00791F7E" w:rsidRPr="004D5D28">
        <w:rPr>
          <w:rFonts w:hint="eastAsia"/>
          <w:color w:val="EE0000"/>
        </w:rPr>
        <w:t>基礎下的準備金</w:t>
      </w:r>
      <w:r w:rsidR="00FE6994">
        <w:rPr>
          <w:rFonts w:hint="eastAsia"/>
          <w:color w:val="EE0000"/>
        </w:rPr>
        <w:t>，請依資產配置比例拆分，並保留相關底稿</w:t>
      </w:r>
      <w:r w:rsidR="00067359">
        <w:rPr>
          <w:rFonts w:hint="eastAsia"/>
          <w:color w:val="EE0000"/>
        </w:rPr>
        <w:t>，以供查核。</w:t>
      </w:r>
    </w:p>
    <w:p w14:paraId="349E0355" w14:textId="2E4E08B6" w:rsidR="00791F7E" w:rsidRPr="004D5D28" w:rsidRDefault="00791F7E" w:rsidP="004D5D28">
      <w:pPr>
        <w:pStyle w:val="Layer2"/>
        <w:spacing w:line="440" w:lineRule="exact"/>
        <w:jc w:val="both"/>
        <w:rPr>
          <w:rFonts w:ascii="標楷體" w:hAnsi="標楷體"/>
          <w:color w:val="EE0000"/>
        </w:rPr>
      </w:pPr>
      <w:r w:rsidRPr="004D5D28">
        <w:rPr>
          <w:rFonts w:hint="eastAsia"/>
          <w:color w:val="EE0000"/>
        </w:rPr>
        <w:t>第</w:t>
      </w:r>
      <w:r w:rsidRPr="004D5D28">
        <w:rPr>
          <w:color w:val="EE0000"/>
        </w:rPr>
        <w:t>3</w:t>
      </w:r>
      <w:r w:rsidRPr="004D5D28">
        <w:rPr>
          <w:rFonts w:hint="eastAsia"/>
          <w:color w:val="EE0000"/>
        </w:rPr>
        <w:t>列</w:t>
      </w:r>
      <w:r w:rsidRPr="004D5D28">
        <w:rPr>
          <w:color w:val="EE0000"/>
        </w:rPr>
        <w:t>~</w:t>
      </w:r>
      <w:r w:rsidRPr="004D5D28">
        <w:rPr>
          <w:rFonts w:hint="eastAsia"/>
          <w:color w:val="EE0000"/>
        </w:rPr>
        <w:t>第</w:t>
      </w:r>
      <w:r w:rsidRPr="004D5D28">
        <w:rPr>
          <w:color w:val="EE0000"/>
        </w:rPr>
        <w:t>5</w:t>
      </w:r>
      <w:r w:rsidRPr="004D5D28">
        <w:rPr>
          <w:rFonts w:hint="eastAsia"/>
          <w:color w:val="EE0000"/>
        </w:rPr>
        <w:t>列，第</w:t>
      </w:r>
      <w:r w:rsidRPr="004D5D28">
        <w:rPr>
          <w:color w:val="EE0000"/>
        </w:rPr>
        <w:t>7</w:t>
      </w:r>
      <w:r w:rsidRPr="004D5D28">
        <w:rPr>
          <w:rFonts w:hint="eastAsia"/>
          <w:color w:val="EE0000"/>
        </w:rPr>
        <w:t>欄：評價由</w:t>
      </w:r>
      <w:r w:rsidR="001200F0" w:rsidRPr="004D5D28">
        <w:rPr>
          <w:rFonts w:hint="eastAsia"/>
          <w:color w:val="EE0000"/>
        </w:rPr>
        <w:t>「</w:t>
      </w:r>
      <w:r w:rsidR="00185FF6">
        <w:rPr>
          <w:rFonts w:hint="eastAsia"/>
          <w:color w:val="EE0000"/>
        </w:rPr>
        <w:t>匯率市價</w:t>
      </w:r>
      <w:r w:rsidR="001200F0" w:rsidRPr="004D5D28">
        <w:rPr>
          <w:rFonts w:hint="eastAsia"/>
          <w:color w:val="EE0000"/>
        </w:rPr>
        <w:t>」</w:t>
      </w:r>
      <w:r w:rsidRPr="004D5D28">
        <w:rPr>
          <w:rFonts w:hint="eastAsia"/>
          <w:color w:val="EE0000"/>
        </w:rPr>
        <w:t>基礎調整為</w:t>
      </w:r>
      <w:r w:rsidR="001200F0" w:rsidRPr="004D5D28">
        <w:rPr>
          <w:rFonts w:hint="eastAsia"/>
          <w:color w:val="EE0000"/>
        </w:rPr>
        <w:t>「匯率</w:t>
      </w:r>
      <w:r w:rsidR="00185FF6">
        <w:rPr>
          <w:rFonts w:hint="eastAsia"/>
          <w:color w:val="EE0000"/>
        </w:rPr>
        <w:t>日均價</w:t>
      </w:r>
      <w:r w:rsidR="001200F0" w:rsidRPr="004D5D28">
        <w:rPr>
          <w:rFonts w:hint="eastAsia"/>
          <w:color w:val="EE0000"/>
        </w:rPr>
        <w:t>」基礎的「調整因子」。</w:t>
      </w:r>
    </w:p>
    <w:p w14:paraId="32D34D0C" w14:textId="579564A9" w:rsidR="0031277E" w:rsidRPr="004D5D28" w:rsidRDefault="001200F0" w:rsidP="004D5D28">
      <w:pPr>
        <w:pStyle w:val="Layer2"/>
        <w:spacing w:line="440" w:lineRule="exact"/>
        <w:jc w:val="both"/>
        <w:rPr>
          <w:rFonts w:ascii="標楷體" w:hAnsi="標楷體"/>
          <w:color w:val="EE0000"/>
        </w:rPr>
      </w:pPr>
      <w:r w:rsidRPr="004D5D28">
        <w:rPr>
          <w:rFonts w:hint="eastAsia"/>
          <w:color w:val="EE0000"/>
        </w:rPr>
        <w:t>第</w:t>
      </w:r>
      <w:r w:rsidRPr="004D5D28">
        <w:rPr>
          <w:color w:val="EE0000"/>
        </w:rPr>
        <w:t>8</w:t>
      </w:r>
      <w:r w:rsidRPr="004D5D28">
        <w:rPr>
          <w:rFonts w:hint="eastAsia"/>
          <w:color w:val="EE0000"/>
        </w:rPr>
        <w:t>列，第</w:t>
      </w:r>
      <w:r w:rsidRPr="004D5D28">
        <w:rPr>
          <w:color w:val="EE0000"/>
        </w:rPr>
        <w:t>9</w:t>
      </w:r>
      <w:r w:rsidRPr="004D5D28">
        <w:rPr>
          <w:rFonts w:hint="eastAsia"/>
          <w:color w:val="EE0000"/>
        </w:rPr>
        <w:t>欄：</w:t>
      </w:r>
      <w:r w:rsidR="00185FF6">
        <w:rPr>
          <w:rFonts w:hint="eastAsia"/>
          <w:color w:val="EE0000"/>
        </w:rPr>
        <w:t>自有資本</w:t>
      </w:r>
      <w:r w:rsidRPr="004D5D28">
        <w:rPr>
          <w:rFonts w:hint="eastAsia"/>
          <w:color w:val="EE0000"/>
        </w:rPr>
        <w:t>匯率日均價調整數。</w:t>
      </w:r>
    </w:p>
    <w:p w14:paraId="110A6388" w14:textId="77777777" w:rsidR="0031277E" w:rsidRPr="004D5D28" w:rsidRDefault="0031277E" w:rsidP="004D5D28">
      <w:pPr>
        <w:pStyle w:val="Layer2"/>
        <w:spacing w:line="440" w:lineRule="exact"/>
        <w:jc w:val="both"/>
        <w:rPr>
          <w:rFonts w:ascii="標楷體" w:hAnsi="標楷體"/>
          <w:color w:val="000000" w:themeColor="text1"/>
        </w:rPr>
      </w:pPr>
    </w:p>
    <w:p w14:paraId="0AA35FCF" w14:textId="77777777" w:rsidR="0031277E" w:rsidRPr="00E224E9" w:rsidRDefault="0031277E">
      <w:pPr>
        <w:rPr>
          <w:color w:val="000000" w:themeColor="text1"/>
        </w:rPr>
      </w:pPr>
    </w:p>
    <w:p w14:paraId="2C1CB13D" w14:textId="77777777" w:rsidR="00065C53" w:rsidRPr="00E224E9" w:rsidRDefault="00065C53">
      <w:pPr>
        <w:pStyle w:val="1"/>
        <w:spacing w:afterLines="0" w:line="440" w:lineRule="exact"/>
        <w:jc w:val="both"/>
        <w:rPr>
          <w:color w:val="000000" w:themeColor="text1"/>
        </w:rPr>
      </w:pPr>
      <w:r w:rsidRPr="00E224E9">
        <w:rPr>
          <w:color w:val="000000" w:themeColor="text1"/>
          <w:szCs w:val="26"/>
        </w:rPr>
        <w:br w:type="page"/>
      </w:r>
      <w:bookmarkStart w:id="142" w:name="_Toc219262256"/>
      <w:bookmarkStart w:id="143" w:name="_Toc200468556"/>
      <w:r w:rsidRPr="00E224E9">
        <w:rPr>
          <w:rFonts w:hint="eastAsia"/>
          <w:color w:val="000000" w:themeColor="text1"/>
        </w:rPr>
        <w:lastRenderedPageBreak/>
        <w:t>表30-4：C2：保險風險計算表</w:t>
      </w:r>
      <w:bookmarkEnd w:id="142"/>
      <w:bookmarkEnd w:id="143"/>
    </w:p>
    <w:p w14:paraId="63C82AA1" w14:textId="77777777" w:rsidR="00065C53" w:rsidRPr="00E224E9" w:rsidRDefault="00065C53">
      <w:pPr>
        <w:pStyle w:val="Layer1"/>
        <w:spacing w:line="440" w:lineRule="exact"/>
        <w:rPr>
          <w:rFonts w:ascii="標楷體" w:hAnsi="標楷體"/>
          <w:color w:val="000000" w:themeColor="text1"/>
          <w:sz w:val="24"/>
        </w:rPr>
      </w:pPr>
      <w:r w:rsidRPr="00E224E9">
        <w:rPr>
          <w:rFonts w:ascii="標楷體" w:hAnsi="標楷體" w:hint="eastAsia"/>
          <w:color w:val="000000" w:themeColor="text1"/>
          <w:sz w:val="24"/>
        </w:rPr>
        <w:t>保險風險係指保險業經營業務時針對已簽單業務低估負債、或是於未來新簽單契約費率定價不足之風險，依此風險計算提存之風險資本，試圖保障保險業不致因為承保風險的突然惡化，造成保險業無法清償之危險。本報告保險風險之相關風險係數主要係以我國保險市場之實證資料來計算，其無實證資料部分則參考美國風險資本額制度之相關經驗，再考量我國實際情形以主觀的方法研定之。</w:t>
      </w:r>
    </w:p>
    <w:p w14:paraId="1118488B" w14:textId="77777777" w:rsidR="00065C53" w:rsidRPr="00E224E9" w:rsidRDefault="00065C53">
      <w:pPr>
        <w:pStyle w:val="Layer1"/>
        <w:spacing w:line="440" w:lineRule="exact"/>
        <w:rPr>
          <w:rFonts w:ascii="標楷體" w:hAnsi="標楷體"/>
          <w:color w:val="000000" w:themeColor="text1"/>
          <w:sz w:val="24"/>
        </w:rPr>
      </w:pPr>
    </w:p>
    <w:p w14:paraId="6BA3BF1B" w14:textId="77777777" w:rsidR="00065C53" w:rsidRPr="00E224E9" w:rsidRDefault="00065C53">
      <w:pPr>
        <w:pStyle w:val="Layer1"/>
        <w:spacing w:line="440" w:lineRule="exact"/>
        <w:rPr>
          <w:rFonts w:ascii="標楷體" w:hAnsi="標楷體"/>
          <w:color w:val="000000" w:themeColor="text1"/>
          <w:sz w:val="24"/>
        </w:rPr>
      </w:pPr>
      <w:r w:rsidRPr="00E224E9">
        <w:rPr>
          <w:rFonts w:ascii="標楷體" w:hAnsi="標楷體" w:hint="eastAsia"/>
          <w:color w:val="000000" w:themeColor="text1"/>
          <w:sz w:val="24"/>
        </w:rPr>
        <w:t>保險風險分為「個人壽險」、「年金保險」、「個人傷害保險」、「個人健康保險」、「團體保險」、「失能保險」及「賠款準備金」七大部分，其分類標準採商品給付性質於商品審查時呈報予主管機關精算報告商品分類為依據；針對投資型商品而言，除保證收益及死亡給付部份以外，不應含括於相關報表科目之中，而有關保證死亡給付部份，依其商品給付性質歸入以下適當分類中。</w:t>
      </w:r>
    </w:p>
    <w:p w14:paraId="03E75B02" w14:textId="77777777" w:rsidR="00065C53" w:rsidRPr="00E224E9" w:rsidRDefault="00065C53">
      <w:pPr>
        <w:pStyle w:val="Layer2"/>
        <w:spacing w:line="440" w:lineRule="exact"/>
        <w:jc w:val="both"/>
        <w:rPr>
          <w:rFonts w:ascii="標楷體" w:hAnsi="標楷體"/>
          <w:color w:val="000000" w:themeColor="text1"/>
        </w:rPr>
      </w:pPr>
      <w:bookmarkStart w:id="144" w:name="_Toc7492343"/>
      <w:r w:rsidRPr="00E224E9">
        <w:rPr>
          <w:rFonts w:ascii="標楷體" w:hAnsi="標楷體"/>
          <w:color w:val="000000" w:themeColor="text1"/>
        </w:rPr>
        <w:t>2.1</w:t>
      </w:r>
      <w:r w:rsidRPr="00E224E9">
        <w:rPr>
          <w:rFonts w:ascii="標楷體" w:hAnsi="標楷體"/>
          <w:color w:val="000000" w:themeColor="text1"/>
        </w:rPr>
        <w:tab/>
      </w:r>
      <w:r w:rsidRPr="00E224E9">
        <w:rPr>
          <w:rFonts w:ascii="標楷體" w:hAnsi="標楷體" w:hint="eastAsia"/>
          <w:color w:val="000000" w:themeColor="text1"/>
        </w:rPr>
        <w:t>個人壽險</w:t>
      </w:r>
      <w:bookmarkEnd w:id="144"/>
    </w:p>
    <w:p w14:paraId="5D9B1A4A" w14:textId="77777777" w:rsidR="00065C53" w:rsidRPr="00E224E9" w:rsidRDefault="00065C53">
      <w:pPr>
        <w:pStyle w:val="Layer3"/>
        <w:spacing w:line="440" w:lineRule="exact"/>
        <w:ind w:left="585"/>
        <w:jc w:val="both"/>
        <w:rPr>
          <w:rFonts w:ascii="標楷體" w:hAnsi="標楷體"/>
          <w:color w:val="000000" w:themeColor="text1"/>
        </w:rPr>
      </w:pPr>
      <w:bookmarkStart w:id="145" w:name="_Toc7492344"/>
      <w:r w:rsidRPr="00E224E9">
        <w:rPr>
          <w:rFonts w:ascii="標楷體" w:hAnsi="標楷體"/>
          <w:color w:val="000000" w:themeColor="text1"/>
        </w:rPr>
        <w:t>2.1.1</w:t>
      </w:r>
      <w:r w:rsidRPr="00E224E9">
        <w:rPr>
          <w:rFonts w:ascii="標楷體" w:hAnsi="標楷體" w:hint="eastAsia"/>
          <w:color w:val="000000" w:themeColor="text1"/>
        </w:rPr>
        <w:t>死亡險</w:t>
      </w:r>
      <w:bookmarkEnd w:id="145"/>
    </w:p>
    <w:p w14:paraId="224C7C6D"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所謂死亡險，係指</w:t>
      </w:r>
      <w:r w:rsidRPr="00E224E9">
        <w:rPr>
          <w:rFonts w:ascii="標楷體" w:hAnsi="標楷體"/>
          <w:color w:val="000000" w:themeColor="text1"/>
        </w:rPr>
        <w:t>保險業</w:t>
      </w:r>
      <w:r w:rsidRPr="00E224E9">
        <w:rPr>
          <w:rFonts w:ascii="標楷體" w:hAnsi="標楷體" w:hint="eastAsia"/>
          <w:color w:val="000000" w:themeColor="text1"/>
        </w:rPr>
        <w:t>與要保人約定，</w:t>
      </w:r>
      <w:r w:rsidRPr="00E224E9">
        <w:rPr>
          <w:rFonts w:ascii="標楷體" w:hAnsi="標楷體"/>
          <w:color w:val="000000" w:themeColor="text1"/>
        </w:rPr>
        <w:t>被保險</w:t>
      </w:r>
      <w:r w:rsidRPr="00E224E9">
        <w:rPr>
          <w:rFonts w:ascii="標楷體" w:hAnsi="標楷體" w:hint="eastAsia"/>
          <w:color w:val="000000" w:themeColor="text1"/>
        </w:rPr>
        <w:t>人於</w:t>
      </w:r>
      <w:r w:rsidRPr="00E224E9">
        <w:rPr>
          <w:rFonts w:ascii="標楷體" w:hAnsi="標楷體"/>
          <w:color w:val="000000" w:themeColor="text1"/>
        </w:rPr>
        <w:t>契約規定年限內死亡</w:t>
      </w:r>
      <w:r w:rsidRPr="00E224E9">
        <w:rPr>
          <w:rFonts w:ascii="標楷體" w:hAnsi="標楷體" w:hint="eastAsia"/>
          <w:color w:val="000000" w:themeColor="text1"/>
        </w:rPr>
        <w:t>者</w:t>
      </w:r>
      <w:r w:rsidRPr="00E224E9">
        <w:rPr>
          <w:rFonts w:ascii="標楷體" w:hAnsi="標楷體"/>
          <w:color w:val="000000" w:themeColor="text1"/>
        </w:rPr>
        <w:t>，</w:t>
      </w:r>
      <w:r w:rsidRPr="00E224E9">
        <w:rPr>
          <w:rFonts w:ascii="標楷體" w:hAnsi="標楷體" w:hint="eastAsia"/>
          <w:color w:val="000000" w:themeColor="text1"/>
        </w:rPr>
        <w:t>保險業</w:t>
      </w:r>
      <w:r w:rsidRPr="00E224E9">
        <w:rPr>
          <w:rFonts w:ascii="標楷體" w:hAnsi="標楷體"/>
          <w:color w:val="000000" w:themeColor="text1"/>
        </w:rPr>
        <w:t>依照契約負給付保險金額之責。</w:t>
      </w:r>
    </w:p>
    <w:p w14:paraId="6B4E1885" w14:textId="77777777" w:rsidR="00065C53" w:rsidRPr="00E224E9" w:rsidRDefault="00065C53">
      <w:pPr>
        <w:pStyle w:val="a7"/>
        <w:spacing w:after="0" w:line="440" w:lineRule="exact"/>
        <w:ind w:left="520"/>
        <w:jc w:val="both"/>
        <w:rPr>
          <w:rFonts w:ascii="標楷體" w:hAnsi="標楷體"/>
          <w:color w:val="000000" w:themeColor="text1"/>
          <w:sz w:val="24"/>
        </w:rPr>
      </w:pPr>
    </w:p>
    <w:p w14:paraId="2E0F85A0"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其中終身保險，係指保險業與要保人所訂立之死亡險契約年限係以終身為期者。而定期保險，係指保險業與要保人所訂立之死亡險契約年限有約定期間者。</w:t>
      </w:r>
    </w:p>
    <w:p w14:paraId="248626C4" w14:textId="77777777" w:rsidR="00065C53" w:rsidRPr="00E224E9" w:rsidRDefault="00065C53">
      <w:pPr>
        <w:pStyle w:val="Layer30"/>
        <w:spacing w:line="440" w:lineRule="exact"/>
        <w:ind w:left="975"/>
        <w:jc w:val="both"/>
        <w:rPr>
          <w:rFonts w:ascii="標楷體" w:hAnsi="標楷體"/>
          <w:color w:val="000000" w:themeColor="text1"/>
        </w:rPr>
      </w:pPr>
    </w:p>
    <w:p w14:paraId="4989E64C"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此項目再細分為終身保險與定期保險，再就終身保險與定期保險依其分紅狀況區分為自由分紅保單及非自由分紅保單，並依該險種淨危險保額之大小區分五級，分別按「表30-10：淨危險保額報告表」之相關欄位金額，乘以其所對應之風險係數計算風險資本額。</w:t>
      </w:r>
    </w:p>
    <w:p w14:paraId="4A54DB2F" w14:textId="77777777" w:rsidR="00065C53" w:rsidRPr="00E224E9" w:rsidRDefault="00065C53">
      <w:pPr>
        <w:pStyle w:val="Layer3"/>
        <w:spacing w:line="440" w:lineRule="exact"/>
        <w:ind w:left="585"/>
        <w:jc w:val="both"/>
        <w:rPr>
          <w:rFonts w:ascii="標楷體" w:hAnsi="標楷體"/>
          <w:color w:val="000000" w:themeColor="text1"/>
        </w:rPr>
      </w:pPr>
      <w:bookmarkStart w:id="146" w:name="_Toc7492345"/>
    </w:p>
    <w:p w14:paraId="3469714B" w14:textId="77777777" w:rsidR="00065C53" w:rsidRPr="00E224E9" w:rsidRDefault="00065C53">
      <w:pPr>
        <w:pStyle w:val="Layer3"/>
        <w:spacing w:line="440" w:lineRule="exact"/>
        <w:ind w:left="585"/>
        <w:jc w:val="both"/>
        <w:rPr>
          <w:rFonts w:ascii="標楷體" w:hAnsi="標楷體"/>
          <w:color w:val="000000" w:themeColor="text1"/>
        </w:rPr>
      </w:pPr>
      <w:r w:rsidRPr="00E224E9">
        <w:rPr>
          <w:rFonts w:ascii="標楷體" w:hAnsi="標楷體"/>
          <w:color w:val="000000" w:themeColor="text1"/>
        </w:rPr>
        <w:t>2.1.2</w:t>
      </w:r>
      <w:r w:rsidRPr="00E224E9">
        <w:rPr>
          <w:rFonts w:ascii="標楷體" w:hAnsi="標楷體" w:hint="eastAsia"/>
          <w:color w:val="000000" w:themeColor="text1"/>
        </w:rPr>
        <w:t>生死合險</w:t>
      </w:r>
      <w:bookmarkEnd w:id="146"/>
    </w:p>
    <w:p w14:paraId="4C2C0E35"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所謂生死合險，係指</w:t>
      </w:r>
      <w:r w:rsidRPr="00E224E9">
        <w:rPr>
          <w:rFonts w:ascii="標楷體" w:hAnsi="標楷體"/>
          <w:color w:val="000000" w:themeColor="text1"/>
        </w:rPr>
        <w:t>保險業</w:t>
      </w:r>
      <w:r w:rsidRPr="00E224E9">
        <w:rPr>
          <w:rFonts w:ascii="標楷體" w:hAnsi="標楷體" w:hint="eastAsia"/>
          <w:color w:val="000000" w:themeColor="text1"/>
        </w:rPr>
        <w:t>與要保人約定，</w:t>
      </w:r>
      <w:r w:rsidRPr="00E224E9">
        <w:rPr>
          <w:rFonts w:ascii="標楷體" w:hAnsi="標楷體"/>
          <w:color w:val="000000" w:themeColor="text1"/>
        </w:rPr>
        <w:t>被保險</w:t>
      </w:r>
      <w:r w:rsidRPr="00E224E9">
        <w:rPr>
          <w:rFonts w:ascii="標楷體" w:hAnsi="標楷體" w:hint="eastAsia"/>
          <w:color w:val="000000" w:themeColor="text1"/>
        </w:rPr>
        <w:t>人於</w:t>
      </w:r>
      <w:r w:rsidRPr="00E224E9">
        <w:rPr>
          <w:rFonts w:ascii="標楷體" w:hAnsi="標楷體"/>
          <w:color w:val="000000" w:themeColor="text1"/>
        </w:rPr>
        <w:t>契約規定年限內死亡</w:t>
      </w:r>
      <w:r w:rsidRPr="00E224E9">
        <w:rPr>
          <w:rFonts w:ascii="標楷體" w:hAnsi="標楷體" w:hint="eastAsia"/>
          <w:color w:val="000000" w:themeColor="text1"/>
        </w:rPr>
        <w:t>者</w:t>
      </w:r>
      <w:r w:rsidRPr="00E224E9">
        <w:rPr>
          <w:rFonts w:ascii="標楷體" w:hAnsi="標楷體"/>
          <w:color w:val="000000" w:themeColor="text1"/>
        </w:rPr>
        <w:t>，或屆契約規定年限而仍生存時，</w:t>
      </w:r>
      <w:r w:rsidRPr="00E224E9">
        <w:rPr>
          <w:rFonts w:ascii="標楷體" w:hAnsi="標楷體" w:hint="eastAsia"/>
          <w:color w:val="000000" w:themeColor="text1"/>
        </w:rPr>
        <w:t>保險業</w:t>
      </w:r>
      <w:r w:rsidRPr="00E224E9">
        <w:rPr>
          <w:rFonts w:ascii="標楷體" w:hAnsi="標楷體"/>
          <w:color w:val="000000" w:themeColor="text1"/>
        </w:rPr>
        <w:t>依照契約負給付保險金額之責。</w:t>
      </w:r>
    </w:p>
    <w:p w14:paraId="5129D76D" w14:textId="77777777" w:rsidR="00065C53" w:rsidRPr="00E224E9" w:rsidRDefault="00065C53">
      <w:pPr>
        <w:pStyle w:val="Layer30"/>
        <w:spacing w:line="440" w:lineRule="exact"/>
        <w:ind w:left="975"/>
        <w:jc w:val="both"/>
        <w:rPr>
          <w:rFonts w:ascii="標楷體" w:hAnsi="標楷體"/>
          <w:color w:val="000000" w:themeColor="text1"/>
        </w:rPr>
      </w:pPr>
    </w:p>
    <w:p w14:paraId="4D3A5813"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生死合險項目下細分為養老保險與還本型保險，就養老保險與還本型保險依</w:t>
      </w:r>
      <w:r w:rsidRPr="00E224E9">
        <w:rPr>
          <w:rFonts w:ascii="標楷體" w:hAnsi="標楷體" w:hint="eastAsia"/>
          <w:color w:val="000000" w:themeColor="text1"/>
        </w:rPr>
        <w:lastRenderedPageBreak/>
        <w:t>其分紅狀況再區分為自由分紅保單及非自由分紅保單，並依該險種淨危險保額之大小區分五級，分別按「表30-10：淨危險保額報告表」之相關欄位金額，乘以其所對應之風險係數計算風險資本額。</w:t>
      </w:r>
    </w:p>
    <w:p w14:paraId="5251A4D2" w14:textId="77777777" w:rsidR="00065C53" w:rsidRPr="00E224E9" w:rsidRDefault="00065C53">
      <w:pPr>
        <w:pStyle w:val="Layer3"/>
        <w:spacing w:line="440" w:lineRule="exact"/>
        <w:ind w:left="585"/>
        <w:jc w:val="both"/>
        <w:rPr>
          <w:rFonts w:ascii="標楷體" w:hAnsi="標楷體"/>
          <w:color w:val="000000" w:themeColor="text1"/>
        </w:rPr>
      </w:pPr>
      <w:bookmarkStart w:id="147" w:name="_Toc7492346"/>
    </w:p>
    <w:p w14:paraId="212CF6EA" w14:textId="77777777" w:rsidR="00065C53" w:rsidRPr="00E224E9" w:rsidRDefault="00065C53">
      <w:pPr>
        <w:pStyle w:val="Layer3"/>
        <w:spacing w:line="440" w:lineRule="exact"/>
        <w:ind w:left="585"/>
        <w:jc w:val="both"/>
        <w:rPr>
          <w:rFonts w:ascii="標楷體" w:hAnsi="標楷體"/>
          <w:color w:val="000000" w:themeColor="text1"/>
        </w:rPr>
      </w:pPr>
      <w:r w:rsidRPr="00E224E9">
        <w:rPr>
          <w:rFonts w:ascii="標楷體" w:hAnsi="標楷體"/>
          <w:color w:val="000000" w:themeColor="text1"/>
        </w:rPr>
        <w:t>2.1.3</w:t>
      </w:r>
      <w:r w:rsidRPr="00E224E9">
        <w:rPr>
          <w:rFonts w:ascii="標楷體" w:hAnsi="標楷體" w:hint="eastAsia"/>
          <w:color w:val="000000" w:themeColor="text1"/>
        </w:rPr>
        <w:t>生存保險</w:t>
      </w:r>
      <w:bookmarkEnd w:id="147"/>
    </w:p>
    <w:p w14:paraId="550934B1"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所謂生存保險，係指</w:t>
      </w:r>
      <w:r w:rsidRPr="00E224E9">
        <w:rPr>
          <w:rFonts w:ascii="標楷體" w:hAnsi="標楷體"/>
          <w:color w:val="000000" w:themeColor="text1"/>
        </w:rPr>
        <w:t>保險業</w:t>
      </w:r>
      <w:r w:rsidRPr="00E224E9">
        <w:rPr>
          <w:rFonts w:ascii="標楷體" w:hAnsi="標楷體" w:hint="eastAsia"/>
          <w:color w:val="000000" w:themeColor="text1"/>
        </w:rPr>
        <w:t>與要保人約定，</w:t>
      </w:r>
      <w:r w:rsidRPr="00E224E9">
        <w:rPr>
          <w:rFonts w:ascii="標楷體" w:hAnsi="標楷體"/>
          <w:color w:val="000000" w:themeColor="text1"/>
        </w:rPr>
        <w:t>被保險業</w:t>
      </w:r>
      <w:r w:rsidRPr="00E224E9">
        <w:rPr>
          <w:rFonts w:ascii="標楷體" w:hAnsi="標楷體" w:hint="eastAsia"/>
          <w:color w:val="000000" w:themeColor="text1"/>
        </w:rPr>
        <w:t>於</w:t>
      </w:r>
      <w:r w:rsidRPr="00E224E9">
        <w:rPr>
          <w:rFonts w:ascii="標楷體" w:hAnsi="標楷體"/>
          <w:color w:val="000000" w:themeColor="text1"/>
        </w:rPr>
        <w:t>契約規定年限內</w:t>
      </w:r>
      <w:r w:rsidRPr="00E224E9">
        <w:rPr>
          <w:rFonts w:ascii="標楷體" w:hAnsi="標楷體" w:hint="eastAsia"/>
          <w:color w:val="000000" w:themeColor="text1"/>
        </w:rPr>
        <w:t>持續生存時</w:t>
      </w:r>
      <w:r w:rsidRPr="00E224E9">
        <w:rPr>
          <w:rFonts w:ascii="標楷體" w:hAnsi="標楷體"/>
          <w:color w:val="000000" w:themeColor="text1"/>
        </w:rPr>
        <w:t>，或屆契約規定年限而仍生存時，</w:t>
      </w:r>
      <w:r w:rsidRPr="00E224E9">
        <w:rPr>
          <w:rFonts w:ascii="標楷體" w:hAnsi="標楷體" w:hint="eastAsia"/>
          <w:color w:val="000000" w:themeColor="text1"/>
        </w:rPr>
        <w:t>保險業</w:t>
      </w:r>
      <w:r w:rsidRPr="00E224E9">
        <w:rPr>
          <w:rFonts w:ascii="標楷體" w:hAnsi="標楷體"/>
          <w:color w:val="000000" w:themeColor="text1"/>
        </w:rPr>
        <w:t>依照契約負給付保險金額之責。</w:t>
      </w:r>
    </w:p>
    <w:p w14:paraId="5D37414B" w14:textId="77777777" w:rsidR="00065C53" w:rsidRPr="00E224E9" w:rsidRDefault="00065C53">
      <w:pPr>
        <w:pStyle w:val="Layer30"/>
        <w:spacing w:line="440" w:lineRule="exact"/>
        <w:ind w:left="975"/>
        <w:jc w:val="both"/>
        <w:rPr>
          <w:rFonts w:ascii="標楷體" w:hAnsi="標楷體"/>
          <w:color w:val="000000" w:themeColor="text1"/>
        </w:rPr>
      </w:pPr>
    </w:p>
    <w:p w14:paraId="2BD0AFAA"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就生存保險依其分紅狀況區分為自由分紅保單及非自由分紅保單，生存保險之風險資本額，按「表23：有效契約責任準備金明細表」之相關欄位金額，乘以其所對應之風險係數計算風險資本額。</w:t>
      </w:r>
    </w:p>
    <w:p w14:paraId="7FEFE94A" w14:textId="77777777" w:rsidR="00065C53" w:rsidRPr="00E224E9" w:rsidRDefault="00065C53">
      <w:pPr>
        <w:pStyle w:val="Layer30"/>
        <w:spacing w:line="440" w:lineRule="exact"/>
        <w:ind w:leftChars="450" w:left="1170"/>
        <w:jc w:val="both"/>
        <w:rPr>
          <w:rFonts w:ascii="標楷體" w:hAnsi="標楷體"/>
          <w:color w:val="000000" w:themeColor="text1"/>
        </w:rPr>
      </w:pPr>
    </w:p>
    <w:p w14:paraId="31D5C899" w14:textId="77777777" w:rsidR="00065C53" w:rsidRPr="00E224E9" w:rsidRDefault="00065C53">
      <w:pPr>
        <w:pStyle w:val="Layer30"/>
        <w:spacing w:line="440" w:lineRule="exact"/>
        <w:ind w:leftChars="0" w:left="0"/>
        <w:jc w:val="both"/>
        <w:rPr>
          <w:rFonts w:ascii="標楷體" w:hAnsi="標楷體"/>
          <w:color w:val="000000" w:themeColor="text1"/>
        </w:rPr>
      </w:pPr>
      <w:r w:rsidRPr="00E224E9">
        <w:rPr>
          <w:rFonts w:ascii="標楷體" w:hAnsi="標楷體" w:hint="eastAsia"/>
          <w:color w:val="000000" w:themeColor="text1"/>
        </w:rPr>
        <w:t xml:space="preserve">    </w:t>
      </w:r>
      <w:r w:rsidRPr="00E224E9">
        <w:rPr>
          <w:rFonts w:ascii="標楷體" w:hAnsi="標楷體"/>
          <w:color w:val="000000" w:themeColor="text1"/>
        </w:rPr>
        <w:t>2.1.</w:t>
      </w:r>
      <w:r w:rsidRPr="00E224E9">
        <w:rPr>
          <w:rFonts w:ascii="標楷體" w:hAnsi="標楷體" w:hint="eastAsia"/>
          <w:color w:val="000000" w:themeColor="text1"/>
        </w:rPr>
        <w:t>4短期個人壽險</w:t>
      </w:r>
    </w:p>
    <w:p w14:paraId="717D7437" w14:textId="77777777" w:rsidR="00065C53" w:rsidRPr="00E224E9" w:rsidRDefault="00065C53">
      <w:pPr>
        <w:pStyle w:val="Layer30"/>
        <w:spacing w:line="440" w:lineRule="exact"/>
        <w:ind w:leftChars="0" w:left="1080" w:hangingChars="450" w:hanging="1080"/>
        <w:jc w:val="both"/>
        <w:rPr>
          <w:rFonts w:ascii="標楷體" w:hAnsi="標楷體"/>
          <w:color w:val="000000" w:themeColor="text1"/>
        </w:rPr>
      </w:pPr>
      <w:r w:rsidRPr="00E224E9">
        <w:rPr>
          <w:rFonts w:ascii="標楷體" w:hAnsi="標楷體" w:hint="eastAsia"/>
          <w:color w:val="000000" w:themeColor="text1"/>
        </w:rPr>
        <w:t xml:space="preserve">         所謂短期個人壽險，係指一年期以下之定期人壽保險，其風險資本額，按「表24：未滿期保費準備金明細表」之相關欄位金額，乘以其所對應之風險係數計算風險資本額。</w:t>
      </w:r>
    </w:p>
    <w:p w14:paraId="74E04BA0" w14:textId="77777777" w:rsidR="00065C53" w:rsidRPr="00E224E9" w:rsidRDefault="00065C53">
      <w:pPr>
        <w:pStyle w:val="Layer30"/>
        <w:spacing w:line="440" w:lineRule="exact"/>
        <w:ind w:leftChars="0" w:left="1080" w:hangingChars="450" w:hanging="1080"/>
        <w:jc w:val="both"/>
        <w:rPr>
          <w:rFonts w:ascii="標楷體" w:hAnsi="標楷體"/>
          <w:color w:val="000000" w:themeColor="text1"/>
        </w:rPr>
      </w:pPr>
    </w:p>
    <w:p w14:paraId="5BC23DD2" w14:textId="77777777" w:rsidR="00065C53" w:rsidRPr="00E224E9" w:rsidRDefault="00065C53">
      <w:pPr>
        <w:pStyle w:val="Layer2"/>
        <w:spacing w:line="440" w:lineRule="exact"/>
        <w:jc w:val="both"/>
        <w:rPr>
          <w:rFonts w:ascii="標楷體" w:hAnsi="標楷體"/>
          <w:color w:val="000000" w:themeColor="text1"/>
        </w:rPr>
      </w:pPr>
      <w:bookmarkStart w:id="148" w:name="_Toc7492347"/>
      <w:r w:rsidRPr="00E224E9">
        <w:rPr>
          <w:rFonts w:ascii="標楷體" w:hAnsi="標楷體"/>
          <w:color w:val="000000" w:themeColor="text1"/>
        </w:rPr>
        <w:t>2.2</w:t>
      </w:r>
      <w:r w:rsidRPr="00E224E9">
        <w:rPr>
          <w:rFonts w:ascii="標楷體" w:hAnsi="標楷體"/>
          <w:color w:val="000000" w:themeColor="text1"/>
        </w:rPr>
        <w:tab/>
      </w:r>
      <w:r w:rsidRPr="00E224E9">
        <w:rPr>
          <w:rFonts w:ascii="標楷體" w:hAnsi="標楷體" w:hint="eastAsia"/>
          <w:color w:val="000000" w:themeColor="text1"/>
        </w:rPr>
        <w:t>年金保險</w:t>
      </w:r>
      <w:bookmarkEnd w:id="148"/>
    </w:p>
    <w:p w14:paraId="45CA9581"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包括(1)依保險法第一百三十五條之一之規定，保險人於被保險人生存期間或特定期間內，依照契約一次或分期給付一定金額之保險；以及(2)勞退年金保險。</w:t>
      </w:r>
    </w:p>
    <w:p w14:paraId="07D64524" w14:textId="77777777" w:rsidR="00065C53" w:rsidRPr="00E224E9" w:rsidRDefault="00065C53">
      <w:pPr>
        <w:pStyle w:val="Layer20"/>
        <w:spacing w:line="440" w:lineRule="exact"/>
        <w:ind w:left="585"/>
        <w:jc w:val="both"/>
        <w:rPr>
          <w:rFonts w:ascii="標楷體" w:hAnsi="標楷體"/>
          <w:color w:val="000000" w:themeColor="text1"/>
        </w:rPr>
      </w:pPr>
    </w:p>
    <w:p w14:paraId="4227304C"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年金保險之風險資本額，按「表23：有效契約責任準備金明細表」之相關欄位金額，乘以其所對應之風險係數計算風險資本額。</w:t>
      </w:r>
    </w:p>
    <w:p w14:paraId="7474B29E" w14:textId="77777777" w:rsidR="00065C53" w:rsidRPr="00E224E9" w:rsidRDefault="00065C53">
      <w:pPr>
        <w:pStyle w:val="a7"/>
        <w:spacing w:after="0" w:line="440" w:lineRule="exact"/>
        <w:ind w:left="520"/>
        <w:jc w:val="both"/>
        <w:rPr>
          <w:rFonts w:ascii="標楷體" w:hAnsi="標楷體"/>
          <w:color w:val="000000" w:themeColor="text1"/>
          <w:sz w:val="24"/>
        </w:rPr>
      </w:pPr>
    </w:p>
    <w:p w14:paraId="3BF53D87" w14:textId="77777777" w:rsidR="00065C53" w:rsidRPr="00E224E9" w:rsidRDefault="00065C53">
      <w:pPr>
        <w:pStyle w:val="Layer2"/>
        <w:spacing w:line="440" w:lineRule="exact"/>
        <w:jc w:val="both"/>
        <w:rPr>
          <w:rFonts w:ascii="標楷體" w:hAnsi="標楷體"/>
          <w:color w:val="000000" w:themeColor="text1"/>
        </w:rPr>
      </w:pPr>
      <w:bookmarkStart w:id="149" w:name="_Toc7492348"/>
      <w:r w:rsidRPr="00E224E9">
        <w:rPr>
          <w:rFonts w:ascii="標楷體" w:hAnsi="標楷體"/>
          <w:color w:val="000000" w:themeColor="text1"/>
        </w:rPr>
        <w:t>2.3</w:t>
      </w:r>
      <w:r w:rsidRPr="00E224E9">
        <w:rPr>
          <w:rFonts w:ascii="標楷體" w:hAnsi="標楷體"/>
          <w:color w:val="000000" w:themeColor="text1"/>
        </w:rPr>
        <w:tab/>
      </w:r>
      <w:r w:rsidRPr="00E224E9">
        <w:rPr>
          <w:rFonts w:ascii="標楷體" w:hAnsi="標楷體" w:hint="eastAsia"/>
          <w:color w:val="000000" w:themeColor="text1"/>
        </w:rPr>
        <w:t>個人傷害保險</w:t>
      </w:r>
      <w:bookmarkEnd w:id="149"/>
    </w:p>
    <w:p w14:paraId="4A462DB2"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所謂個人傷害保險，係指</w:t>
      </w:r>
      <w:r w:rsidRPr="00E224E9">
        <w:rPr>
          <w:rFonts w:ascii="標楷體" w:hAnsi="標楷體"/>
          <w:color w:val="000000" w:themeColor="text1"/>
        </w:rPr>
        <w:t>保險業於被保險</w:t>
      </w:r>
      <w:r w:rsidRPr="00E224E9">
        <w:rPr>
          <w:rFonts w:ascii="標楷體" w:hAnsi="標楷體" w:hint="eastAsia"/>
          <w:color w:val="000000" w:themeColor="text1"/>
        </w:rPr>
        <w:t>人</w:t>
      </w:r>
      <w:r w:rsidRPr="00E224E9">
        <w:rPr>
          <w:rFonts w:ascii="標楷體" w:hAnsi="標楷體"/>
          <w:color w:val="000000" w:themeColor="text1"/>
        </w:rPr>
        <w:t>遭受意外傷害及其所致殘廢或死亡時，負給付保險金額之責</w:t>
      </w:r>
      <w:r w:rsidRPr="00E224E9">
        <w:rPr>
          <w:rFonts w:ascii="標楷體" w:hAnsi="標楷體" w:hint="eastAsia"/>
          <w:color w:val="000000" w:themeColor="text1"/>
        </w:rPr>
        <w:t>。</w:t>
      </w:r>
    </w:p>
    <w:p w14:paraId="0153F4B6" w14:textId="77777777" w:rsidR="00065C53" w:rsidRPr="00E224E9" w:rsidRDefault="00065C53">
      <w:pPr>
        <w:pStyle w:val="Layer20"/>
        <w:spacing w:line="440" w:lineRule="exact"/>
        <w:ind w:left="585"/>
        <w:jc w:val="both"/>
        <w:rPr>
          <w:rFonts w:ascii="標楷體" w:hAnsi="標楷體"/>
          <w:color w:val="000000" w:themeColor="text1"/>
        </w:rPr>
      </w:pPr>
    </w:p>
    <w:p w14:paraId="0CDFA4F0"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個人傷害保險之風險資本額，按「表24：未滿期保費準備金明細表」之相關欄位金額，乘以其所對應之風險係數計算風險資本額。</w:t>
      </w:r>
    </w:p>
    <w:p w14:paraId="7AC75537" w14:textId="77777777" w:rsidR="00065C53" w:rsidRPr="00E224E9" w:rsidRDefault="00065C53">
      <w:pPr>
        <w:pStyle w:val="Layer2"/>
        <w:spacing w:line="440" w:lineRule="exact"/>
        <w:jc w:val="both"/>
        <w:rPr>
          <w:rFonts w:ascii="標楷體" w:hAnsi="標楷體"/>
          <w:color w:val="000000" w:themeColor="text1"/>
        </w:rPr>
      </w:pPr>
      <w:bookmarkStart w:id="150" w:name="_Toc7492349"/>
      <w:r w:rsidRPr="00E224E9">
        <w:rPr>
          <w:rFonts w:ascii="標楷體" w:hAnsi="標楷體"/>
          <w:color w:val="000000" w:themeColor="text1"/>
        </w:rPr>
        <w:t>2.4</w:t>
      </w:r>
      <w:r w:rsidRPr="00E224E9">
        <w:rPr>
          <w:rFonts w:ascii="標楷體" w:hAnsi="標楷體"/>
          <w:color w:val="000000" w:themeColor="text1"/>
        </w:rPr>
        <w:tab/>
      </w:r>
      <w:r w:rsidRPr="00E224E9">
        <w:rPr>
          <w:rFonts w:ascii="標楷體" w:hAnsi="標楷體" w:hint="eastAsia"/>
          <w:color w:val="000000" w:themeColor="text1"/>
        </w:rPr>
        <w:t>個人健康保險</w:t>
      </w:r>
      <w:bookmarkEnd w:id="150"/>
    </w:p>
    <w:p w14:paraId="4C1D1601"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lastRenderedPageBreak/>
        <w:t>個人健康保險係指</w:t>
      </w:r>
      <w:r w:rsidRPr="00E224E9">
        <w:rPr>
          <w:rFonts w:ascii="標楷體" w:hAnsi="標楷體"/>
          <w:color w:val="000000" w:themeColor="text1"/>
        </w:rPr>
        <w:t>保險業於被保險</w:t>
      </w:r>
      <w:r w:rsidRPr="00E224E9">
        <w:rPr>
          <w:rFonts w:ascii="標楷體" w:hAnsi="標楷體" w:hint="eastAsia"/>
          <w:color w:val="000000" w:themeColor="text1"/>
        </w:rPr>
        <w:t>人</w:t>
      </w:r>
      <w:r w:rsidRPr="00E224E9">
        <w:rPr>
          <w:rFonts w:ascii="標楷體" w:hAnsi="標楷體"/>
          <w:color w:val="000000" w:themeColor="text1"/>
        </w:rPr>
        <w:t>疾病、分娩及其所致殘廢或死亡時，負給付保險金額之責</w:t>
      </w:r>
      <w:r w:rsidRPr="00E224E9">
        <w:rPr>
          <w:rFonts w:ascii="標楷體" w:hAnsi="標楷體" w:hint="eastAsia"/>
          <w:color w:val="000000" w:themeColor="text1"/>
        </w:rPr>
        <w:t>。</w:t>
      </w:r>
    </w:p>
    <w:p w14:paraId="12E1FFB4" w14:textId="77777777" w:rsidR="00065C53" w:rsidRPr="00E224E9" w:rsidRDefault="00065C53">
      <w:pPr>
        <w:pStyle w:val="Layer20"/>
        <w:spacing w:line="440" w:lineRule="exact"/>
        <w:ind w:left="585"/>
        <w:jc w:val="both"/>
        <w:rPr>
          <w:rFonts w:ascii="標楷體" w:hAnsi="標楷體"/>
          <w:color w:val="000000" w:themeColor="text1"/>
        </w:rPr>
      </w:pPr>
    </w:p>
    <w:p w14:paraId="031B5FFB"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個人健康保險分為保證費率與非保證費率二個項目，其中保證費率再區分為「有給付上限」及「無給付上限」二項。保證費率，係指此種類之個人健康保險於契約訂立時，保險業與要保人約定於契約期間，所收取之保險費率維持不變者。而非保證費率，則係指健康保險契約訂立時，保險業與要保人並無約定於契約期間所收取之保險費率維持不變者。</w:t>
      </w:r>
    </w:p>
    <w:p w14:paraId="4C3DCD84" w14:textId="77777777" w:rsidR="00065C53" w:rsidRPr="00E224E9" w:rsidRDefault="00065C53">
      <w:pPr>
        <w:pStyle w:val="Layer20"/>
        <w:spacing w:line="440" w:lineRule="exact"/>
        <w:ind w:left="585"/>
        <w:jc w:val="both"/>
        <w:rPr>
          <w:rFonts w:ascii="標楷體" w:hAnsi="標楷體"/>
          <w:color w:val="000000" w:themeColor="text1"/>
        </w:rPr>
      </w:pPr>
    </w:p>
    <w:p w14:paraId="7A0216AC"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有給付上限」係指此種類之個人健康保險於契約存續期間內保險人應給付金額上限是已設定數值，「無給付上限」則無法預知該保險契約應給付金額之上限，例如：住院日額保險金，給付限制為每單位每日給付100元，每年最高以180天為限，含該類保險給付應歸為「無給付上限」類，因無法確定契約給付之總額。</w:t>
      </w:r>
    </w:p>
    <w:p w14:paraId="3D2CAD89" w14:textId="77777777" w:rsidR="00065C53" w:rsidRPr="00E224E9" w:rsidRDefault="00065C53">
      <w:pPr>
        <w:pStyle w:val="Layer20"/>
        <w:spacing w:line="440" w:lineRule="exact"/>
        <w:ind w:left="585"/>
        <w:jc w:val="both"/>
        <w:rPr>
          <w:rFonts w:ascii="標楷體" w:hAnsi="標楷體"/>
          <w:color w:val="000000" w:themeColor="text1"/>
        </w:rPr>
      </w:pPr>
    </w:p>
    <w:p w14:paraId="760A2DB8"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個人健康保險保證費率項目之風險資本額，按資本適足性相關填報表格之責任準備金報告表所記錄扣除再保風險部位後[註]之帳載價值及規定之風險係數計算風險資本額。而個人健康保險非保證費率項目之風險資本額，按年度檢查報告之未滿期保費準備金報告表所記錄之帳載價值及規定之風險係數計算風險資本額。</w:t>
      </w:r>
    </w:p>
    <w:p w14:paraId="7F88DA96" w14:textId="77777777" w:rsidR="00065C53" w:rsidRPr="00E224E9" w:rsidRDefault="00065C53">
      <w:pPr>
        <w:pStyle w:val="Layer20"/>
        <w:spacing w:line="440" w:lineRule="exact"/>
        <w:ind w:left="585"/>
        <w:jc w:val="both"/>
        <w:rPr>
          <w:rFonts w:ascii="標楷體" w:hAnsi="標楷體"/>
          <w:color w:val="000000" w:themeColor="text1"/>
        </w:rPr>
      </w:pPr>
    </w:p>
    <w:p w14:paraId="40369850" w14:textId="77777777" w:rsidR="00065C53" w:rsidRPr="00E224E9" w:rsidRDefault="00065C53">
      <w:pPr>
        <w:spacing w:line="440" w:lineRule="exact"/>
        <w:ind w:firstLineChars="200" w:firstLine="480"/>
        <w:jc w:val="both"/>
        <w:rPr>
          <w:rFonts w:ascii="標楷體" w:hAnsi="標楷體" w:cs="Arial"/>
          <w:color w:val="000000" w:themeColor="text1"/>
          <w:sz w:val="24"/>
        </w:rPr>
      </w:pPr>
      <w:r w:rsidRPr="00E224E9">
        <w:rPr>
          <w:rFonts w:ascii="標楷體" w:hAnsi="標楷體" w:hint="eastAsia"/>
          <w:color w:val="000000" w:themeColor="text1"/>
          <w:sz w:val="24"/>
        </w:rPr>
        <w:t>[註]</w:t>
      </w:r>
      <w:r w:rsidRPr="00E224E9">
        <w:rPr>
          <w:rFonts w:ascii="標楷體" w:hAnsi="標楷體" w:cs="Arial" w:hint="eastAsia"/>
          <w:color w:val="000000" w:themeColor="text1"/>
          <w:sz w:val="24"/>
        </w:rPr>
        <w:t>考慮再保之風險部位=未考慮再保之風險部位×（1-再保比例）</w:t>
      </w:r>
    </w:p>
    <w:p w14:paraId="097E1D97" w14:textId="77777777" w:rsidR="00065C53" w:rsidRPr="00E224E9" w:rsidRDefault="00065C53">
      <w:pPr>
        <w:numPr>
          <w:ilvl w:val="1"/>
          <w:numId w:val="3"/>
        </w:numPr>
        <w:spacing w:line="440" w:lineRule="exact"/>
        <w:jc w:val="both"/>
        <w:rPr>
          <w:rFonts w:ascii="標楷體" w:hAnsi="標楷體" w:cs="Arial"/>
          <w:color w:val="000000" w:themeColor="text1"/>
          <w:sz w:val="24"/>
        </w:rPr>
      </w:pPr>
      <w:r w:rsidRPr="00E224E9">
        <w:rPr>
          <w:rFonts w:ascii="標楷體" w:hAnsi="標楷體" w:cs="Arial" w:hint="eastAsia"/>
          <w:color w:val="000000" w:themeColor="text1"/>
          <w:sz w:val="24"/>
        </w:rPr>
        <w:t>原則以比例（Proportional ）再保為限，並區分商品計算：</w:t>
      </w:r>
    </w:p>
    <w:p w14:paraId="4641EC3E" w14:textId="77777777" w:rsidR="00065C53" w:rsidRPr="00E224E9" w:rsidRDefault="00065C53">
      <w:pPr>
        <w:numPr>
          <w:ilvl w:val="2"/>
          <w:numId w:val="3"/>
        </w:numPr>
        <w:spacing w:line="440" w:lineRule="exact"/>
        <w:jc w:val="both"/>
        <w:rPr>
          <w:rFonts w:ascii="標楷體" w:hAnsi="標楷體" w:cs="Arial"/>
          <w:color w:val="000000" w:themeColor="text1"/>
          <w:sz w:val="24"/>
        </w:rPr>
      </w:pPr>
      <w:r w:rsidRPr="00E224E9">
        <w:rPr>
          <w:rFonts w:ascii="標楷體" w:hAnsi="標楷體" w:cs="Arial" w:hint="eastAsia"/>
          <w:color w:val="000000" w:themeColor="text1"/>
          <w:sz w:val="24"/>
        </w:rPr>
        <w:t>比率再保（Quota Share）：由於每張保單之再保比例均相同，因此，該商品再保比例=比率再保之再保比例。</w:t>
      </w:r>
    </w:p>
    <w:p w14:paraId="6A10DDD0" w14:textId="77777777" w:rsidR="00065C53" w:rsidRPr="00E224E9" w:rsidRDefault="00065C53">
      <w:pPr>
        <w:numPr>
          <w:ilvl w:val="2"/>
          <w:numId w:val="3"/>
        </w:numPr>
        <w:spacing w:line="440" w:lineRule="exact"/>
        <w:jc w:val="both"/>
        <w:rPr>
          <w:rFonts w:ascii="標楷體" w:hAnsi="標楷體" w:cs="Arial"/>
          <w:color w:val="000000" w:themeColor="text1"/>
          <w:sz w:val="24"/>
        </w:rPr>
      </w:pPr>
      <w:r w:rsidRPr="00E224E9">
        <w:rPr>
          <w:rFonts w:ascii="標楷體" w:hAnsi="標楷體" w:cs="Arial" w:hint="eastAsia"/>
          <w:color w:val="000000" w:themeColor="text1"/>
          <w:sz w:val="24"/>
        </w:rPr>
        <w:t>溢額（Surplus）再保或比率與溢額混合再保：雖然該類再保方式之特色為每張保單之再保比例不盡相同，但該商品之平均再保比例可以按每張保單未考慮再保之風險部位占該商品未考慮再保之風險部位之比例乘上該保單之再保比例後逐保單加總求得，其公式推導如下：</w:t>
      </w:r>
    </w:p>
    <w:p w14:paraId="241A65DB" w14:textId="77777777" w:rsidR="00065C53" w:rsidRPr="00E224E9" w:rsidRDefault="00065C53">
      <w:pPr>
        <w:spacing w:line="440" w:lineRule="exact"/>
        <w:jc w:val="both"/>
        <w:rPr>
          <w:rFonts w:ascii="標楷體" w:hAnsi="標楷體" w:cs="Arial"/>
          <w:color w:val="000000" w:themeColor="text1"/>
          <w:sz w:val="24"/>
        </w:rPr>
      </w:pPr>
    </w:p>
    <w:p w14:paraId="23C24E9D" w14:textId="77777777" w:rsidR="00065C53" w:rsidRPr="00E224E9" w:rsidRDefault="00065C53">
      <w:pPr>
        <w:spacing w:line="440" w:lineRule="exact"/>
        <w:jc w:val="both"/>
        <w:rPr>
          <w:rFonts w:ascii="標楷體" w:hAnsi="標楷體" w:cs="Arial"/>
          <w:color w:val="000000" w:themeColor="text1"/>
          <w:sz w:val="24"/>
        </w:rPr>
      </w:pPr>
    </w:p>
    <w:p w14:paraId="704E9E85" w14:textId="77777777" w:rsidR="00065C53" w:rsidRPr="00E224E9" w:rsidRDefault="00065C53">
      <w:pPr>
        <w:spacing w:line="440" w:lineRule="exact"/>
        <w:jc w:val="both"/>
        <w:rPr>
          <w:rFonts w:ascii="標楷體" w:hAnsi="標楷體" w:cs="Arial"/>
          <w:color w:val="000000" w:themeColor="text1"/>
          <w:sz w:val="24"/>
        </w:rPr>
      </w:pPr>
    </w:p>
    <w:p w14:paraId="13244B15" w14:textId="77777777" w:rsidR="00FB133C" w:rsidRPr="00E224E9" w:rsidRDefault="00FB133C">
      <w:pPr>
        <w:spacing w:line="440" w:lineRule="exact"/>
        <w:jc w:val="both"/>
        <w:rPr>
          <w:rFonts w:ascii="標楷體" w:hAnsi="標楷體" w:cs="Arial"/>
          <w:color w:val="000000" w:themeColor="text1"/>
          <w:sz w:val="24"/>
        </w:rPr>
      </w:pPr>
    </w:p>
    <w:p w14:paraId="7261145B" w14:textId="77777777" w:rsidR="00065C53" w:rsidRPr="00E224E9" w:rsidRDefault="007F4F1E">
      <w:pPr>
        <w:spacing w:line="440" w:lineRule="exact"/>
        <w:ind w:left="900" w:firstLineChars="150" w:firstLine="390"/>
        <w:jc w:val="both"/>
        <w:rPr>
          <w:rFonts w:ascii="標楷體" w:hAnsi="標楷體" w:cs="Arial"/>
          <w:color w:val="000000" w:themeColor="text1"/>
        </w:rPr>
      </w:pPr>
      <w:r>
        <w:rPr>
          <w:rFonts w:ascii="標楷體" w:hAnsi="標楷體" w:cs="Arial"/>
          <w:noProof/>
          <w:color w:val="000000" w:themeColor="text1"/>
        </w:rPr>
        <w:lastRenderedPageBreak/>
        <w:object w:dxaOrig="1440" w:dyaOrig="1440" w14:anchorId="29C74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45pt;margin-top:9pt;width:365pt;height:264pt;z-index:251665408">
            <v:imagedata r:id="rId10" o:title=""/>
          </v:shape>
          <o:OLEObject Type="Embed" ProgID="Equation.3" ShapeID="_x0000_s2081" DrawAspect="Content" ObjectID="_1814015524" r:id="rId11"/>
        </w:object>
      </w:r>
    </w:p>
    <w:p w14:paraId="1156DBF3" w14:textId="77777777" w:rsidR="00065C53" w:rsidRPr="00E224E9" w:rsidRDefault="00065C53">
      <w:pPr>
        <w:spacing w:line="440" w:lineRule="exact"/>
        <w:ind w:left="845"/>
        <w:jc w:val="both"/>
        <w:rPr>
          <w:rFonts w:ascii="標楷體" w:hAnsi="標楷體"/>
          <w:i/>
          <w:iCs/>
          <w:color w:val="000000" w:themeColor="text1"/>
          <w:sz w:val="24"/>
        </w:rPr>
      </w:pPr>
    </w:p>
    <w:p w14:paraId="4C40BA8A" w14:textId="77777777" w:rsidR="00065C53" w:rsidRPr="00E224E9" w:rsidRDefault="00065C53">
      <w:pPr>
        <w:spacing w:line="440" w:lineRule="exact"/>
        <w:ind w:left="845"/>
        <w:jc w:val="both"/>
        <w:rPr>
          <w:rFonts w:ascii="標楷體" w:hAnsi="標楷體"/>
          <w:i/>
          <w:iCs/>
          <w:color w:val="000000" w:themeColor="text1"/>
          <w:sz w:val="24"/>
        </w:rPr>
      </w:pPr>
    </w:p>
    <w:p w14:paraId="6A4121FD" w14:textId="77777777" w:rsidR="00065C53" w:rsidRPr="00E224E9" w:rsidRDefault="00065C53">
      <w:pPr>
        <w:spacing w:line="440" w:lineRule="exact"/>
        <w:ind w:left="845"/>
        <w:jc w:val="both"/>
        <w:rPr>
          <w:rFonts w:ascii="標楷體" w:hAnsi="標楷體"/>
          <w:i/>
          <w:iCs/>
          <w:color w:val="000000" w:themeColor="text1"/>
          <w:sz w:val="24"/>
        </w:rPr>
      </w:pPr>
    </w:p>
    <w:p w14:paraId="5FC1C94A" w14:textId="77777777" w:rsidR="00065C53" w:rsidRPr="00E224E9" w:rsidRDefault="00065C53">
      <w:pPr>
        <w:spacing w:line="440" w:lineRule="exact"/>
        <w:ind w:left="845"/>
        <w:jc w:val="both"/>
        <w:rPr>
          <w:rFonts w:ascii="標楷體" w:hAnsi="標楷體"/>
          <w:i/>
          <w:iCs/>
          <w:color w:val="000000" w:themeColor="text1"/>
          <w:sz w:val="24"/>
        </w:rPr>
      </w:pPr>
    </w:p>
    <w:p w14:paraId="285408AE" w14:textId="77777777" w:rsidR="00065C53" w:rsidRPr="00E224E9" w:rsidRDefault="00065C53">
      <w:pPr>
        <w:spacing w:line="440" w:lineRule="exact"/>
        <w:ind w:left="845"/>
        <w:jc w:val="both"/>
        <w:rPr>
          <w:rFonts w:ascii="標楷體" w:hAnsi="標楷體"/>
          <w:i/>
          <w:iCs/>
          <w:color w:val="000000" w:themeColor="text1"/>
          <w:sz w:val="24"/>
        </w:rPr>
      </w:pPr>
    </w:p>
    <w:p w14:paraId="3ADDCB29" w14:textId="77777777" w:rsidR="00065C53" w:rsidRPr="00E224E9" w:rsidRDefault="00065C53">
      <w:pPr>
        <w:spacing w:line="440" w:lineRule="exact"/>
        <w:ind w:left="845"/>
        <w:jc w:val="both"/>
        <w:rPr>
          <w:rFonts w:ascii="標楷體" w:hAnsi="標楷體"/>
          <w:i/>
          <w:iCs/>
          <w:color w:val="000000" w:themeColor="text1"/>
          <w:sz w:val="24"/>
        </w:rPr>
      </w:pPr>
    </w:p>
    <w:p w14:paraId="69C7B677" w14:textId="77777777" w:rsidR="00065C53" w:rsidRPr="00E224E9" w:rsidRDefault="00065C53">
      <w:pPr>
        <w:spacing w:line="440" w:lineRule="exact"/>
        <w:ind w:left="845"/>
        <w:jc w:val="both"/>
        <w:rPr>
          <w:rFonts w:ascii="標楷體" w:hAnsi="標楷體"/>
          <w:i/>
          <w:iCs/>
          <w:color w:val="000000" w:themeColor="text1"/>
          <w:sz w:val="24"/>
        </w:rPr>
      </w:pPr>
    </w:p>
    <w:p w14:paraId="2DAFD384" w14:textId="77777777" w:rsidR="00065C53" w:rsidRPr="00E224E9" w:rsidRDefault="00065C53">
      <w:pPr>
        <w:spacing w:line="440" w:lineRule="exact"/>
        <w:ind w:left="845"/>
        <w:jc w:val="both"/>
        <w:rPr>
          <w:rFonts w:ascii="標楷體" w:hAnsi="標楷體"/>
          <w:i/>
          <w:iCs/>
          <w:color w:val="000000" w:themeColor="text1"/>
          <w:sz w:val="24"/>
        </w:rPr>
      </w:pPr>
    </w:p>
    <w:p w14:paraId="4D523217" w14:textId="77777777" w:rsidR="00065C53" w:rsidRPr="00E224E9" w:rsidRDefault="00065C53">
      <w:pPr>
        <w:spacing w:line="440" w:lineRule="exact"/>
        <w:ind w:left="845"/>
        <w:jc w:val="both"/>
        <w:rPr>
          <w:rFonts w:ascii="標楷體" w:hAnsi="標楷體"/>
          <w:i/>
          <w:iCs/>
          <w:color w:val="000000" w:themeColor="text1"/>
          <w:sz w:val="24"/>
        </w:rPr>
      </w:pPr>
    </w:p>
    <w:p w14:paraId="65586C9A" w14:textId="77777777" w:rsidR="00065C53" w:rsidRPr="00E224E9" w:rsidRDefault="00065C53">
      <w:pPr>
        <w:spacing w:line="440" w:lineRule="exact"/>
        <w:ind w:left="845"/>
        <w:jc w:val="both"/>
        <w:rPr>
          <w:rFonts w:ascii="標楷體" w:hAnsi="標楷體"/>
          <w:i/>
          <w:iCs/>
          <w:color w:val="000000" w:themeColor="text1"/>
          <w:sz w:val="24"/>
        </w:rPr>
      </w:pPr>
    </w:p>
    <w:p w14:paraId="0C4B3E65" w14:textId="77777777" w:rsidR="00065C53" w:rsidRPr="00E224E9" w:rsidRDefault="00065C53">
      <w:pPr>
        <w:spacing w:line="440" w:lineRule="exact"/>
        <w:ind w:left="845"/>
        <w:jc w:val="both"/>
        <w:rPr>
          <w:rFonts w:ascii="標楷體" w:hAnsi="標楷體"/>
          <w:i/>
          <w:iCs/>
          <w:color w:val="000000" w:themeColor="text1"/>
          <w:sz w:val="24"/>
        </w:rPr>
      </w:pPr>
    </w:p>
    <w:p w14:paraId="3DA55221" w14:textId="77777777" w:rsidR="00065C53" w:rsidRPr="00E224E9" w:rsidRDefault="00065C53">
      <w:pPr>
        <w:spacing w:line="440" w:lineRule="exact"/>
        <w:ind w:left="845"/>
        <w:jc w:val="both"/>
        <w:rPr>
          <w:rFonts w:ascii="標楷體" w:hAnsi="標楷體"/>
          <w:i/>
          <w:iCs/>
          <w:color w:val="000000" w:themeColor="text1"/>
          <w:sz w:val="24"/>
        </w:rPr>
      </w:pPr>
    </w:p>
    <w:p w14:paraId="0A4C80A0" w14:textId="77777777" w:rsidR="00065C53" w:rsidRPr="00E224E9" w:rsidRDefault="00065C53">
      <w:pPr>
        <w:spacing w:line="440" w:lineRule="exact"/>
        <w:ind w:left="845"/>
        <w:jc w:val="both"/>
        <w:rPr>
          <w:rFonts w:ascii="標楷體" w:hAnsi="標楷體"/>
          <w:i/>
          <w:iCs/>
          <w:color w:val="000000" w:themeColor="text1"/>
          <w:sz w:val="24"/>
        </w:rPr>
      </w:pPr>
    </w:p>
    <w:p w14:paraId="33EF3C4A" w14:textId="77777777" w:rsidR="00065C53" w:rsidRPr="00E224E9" w:rsidRDefault="00065C53">
      <w:pPr>
        <w:spacing w:line="440" w:lineRule="exact"/>
        <w:ind w:left="845"/>
        <w:jc w:val="both"/>
        <w:rPr>
          <w:rFonts w:ascii="標楷體" w:hAnsi="標楷體"/>
          <w:color w:val="000000" w:themeColor="text1"/>
          <w:sz w:val="24"/>
        </w:rPr>
      </w:pPr>
      <w:r w:rsidRPr="00E224E9">
        <w:rPr>
          <w:rFonts w:ascii="標楷體" w:hAnsi="標楷體" w:hint="eastAsia"/>
          <w:i/>
          <w:iCs/>
          <w:color w:val="000000" w:themeColor="text1"/>
          <w:sz w:val="24"/>
        </w:rPr>
        <w:t>NakedRiskPosition</w:t>
      </w:r>
      <w:r w:rsidRPr="00E224E9">
        <w:rPr>
          <w:rFonts w:ascii="標楷體" w:hAnsi="標楷體" w:hint="eastAsia"/>
          <w:i/>
          <w:iCs/>
          <w:color w:val="000000" w:themeColor="text1"/>
          <w:sz w:val="24"/>
          <w:vertAlign w:val="subscript"/>
        </w:rPr>
        <w:t>i</w:t>
      </w:r>
      <w:r w:rsidRPr="00E224E9">
        <w:rPr>
          <w:rFonts w:ascii="標楷體" w:hAnsi="標楷體" w:hint="eastAsia"/>
          <w:color w:val="000000" w:themeColor="text1"/>
          <w:sz w:val="24"/>
        </w:rPr>
        <w:t>：第</w:t>
      </w:r>
      <w:r w:rsidRPr="00E224E9">
        <w:rPr>
          <w:rFonts w:ascii="標楷體" w:hAnsi="標楷體" w:hint="eastAsia"/>
          <w:i/>
          <w:iCs/>
          <w:color w:val="000000" w:themeColor="text1"/>
          <w:sz w:val="24"/>
        </w:rPr>
        <w:t>i</w:t>
      </w:r>
      <w:r w:rsidRPr="00E224E9">
        <w:rPr>
          <w:rFonts w:ascii="標楷體" w:hAnsi="標楷體" w:hint="eastAsia"/>
          <w:color w:val="000000" w:themeColor="text1"/>
          <w:sz w:val="24"/>
        </w:rPr>
        <w:t>保單之責任準備金(即其風險部位)</w:t>
      </w:r>
    </w:p>
    <w:p w14:paraId="7BE8A544" w14:textId="77777777" w:rsidR="00065C53" w:rsidRPr="00E224E9" w:rsidRDefault="00065C53">
      <w:pPr>
        <w:spacing w:line="440" w:lineRule="exact"/>
        <w:ind w:left="845"/>
        <w:jc w:val="both"/>
        <w:rPr>
          <w:rFonts w:ascii="標楷體" w:hAnsi="標楷體"/>
          <w:color w:val="000000" w:themeColor="text1"/>
          <w:sz w:val="24"/>
        </w:rPr>
      </w:pPr>
      <w:r w:rsidRPr="00E224E9">
        <w:rPr>
          <w:rFonts w:ascii="標楷體" w:hAnsi="標楷體" w:hint="eastAsia"/>
          <w:i/>
          <w:iCs/>
          <w:color w:val="000000" w:themeColor="text1"/>
          <w:sz w:val="24"/>
        </w:rPr>
        <w:t>TotalNakedRiskPosition</w:t>
      </w:r>
      <w:r w:rsidRPr="00E224E9">
        <w:rPr>
          <w:rFonts w:ascii="標楷體" w:hAnsi="標楷體" w:hint="eastAsia"/>
          <w:color w:val="000000" w:themeColor="text1"/>
          <w:sz w:val="24"/>
        </w:rPr>
        <w:t>：該類別所有保單之責任準備金(即其總風險部位)</w:t>
      </w:r>
    </w:p>
    <w:p w14:paraId="27191F5C" w14:textId="77777777" w:rsidR="00065C53" w:rsidRPr="00E224E9" w:rsidRDefault="00065C53">
      <w:pPr>
        <w:spacing w:line="440" w:lineRule="exact"/>
        <w:ind w:left="845"/>
        <w:jc w:val="both"/>
        <w:rPr>
          <w:rFonts w:ascii="標楷體" w:hAnsi="標楷體"/>
          <w:color w:val="000000" w:themeColor="text1"/>
          <w:sz w:val="24"/>
        </w:rPr>
      </w:pPr>
      <w:r w:rsidRPr="00E224E9">
        <w:rPr>
          <w:rFonts w:ascii="標楷體" w:hAnsi="標楷體" w:hint="eastAsia"/>
          <w:i/>
          <w:iCs/>
          <w:color w:val="000000" w:themeColor="text1"/>
          <w:sz w:val="24"/>
        </w:rPr>
        <w:t>CededRatio</w:t>
      </w:r>
      <w:r w:rsidRPr="00E224E9">
        <w:rPr>
          <w:rFonts w:ascii="標楷體" w:hAnsi="標楷體" w:hint="eastAsia"/>
          <w:i/>
          <w:iCs/>
          <w:color w:val="000000" w:themeColor="text1"/>
          <w:sz w:val="24"/>
          <w:vertAlign w:val="subscript"/>
        </w:rPr>
        <w:t>i</w:t>
      </w:r>
      <w:r w:rsidRPr="00E224E9">
        <w:rPr>
          <w:rFonts w:ascii="標楷體" w:hAnsi="標楷體" w:hint="eastAsia"/>
          <w:color w:val="000000" w:themeColor="text1"/>
          <w:sz w:val="24"/>
        </w:rPr>
        <w:t>：第</w:t>
      </w:r>
      <w:r w:rsidRPr="00E224E9">
        <w:rPr>
          <w:rFonts w:ascii="標楷體" w:hAnsi="標楷體" w:hint="eastAsia"/>
          <w:i/>
          <w:iCs/>
          <w:color w:val="000000" w:themeColor="text1"/>
          <w:sz w:val="24"/>
        </w:rPr>
        <w:t>i</w:t>
      </w:r>
      <w:r w:rsidRPr="00E224E9">
        <w:rPr>
          <w:rFonts w:ascii="標楷體" w:hAnsi="標楷體" w:hint="eastAsia"/>
          <w:color w:val="000000" w:themeColor="text1"/>
          <w:sz w:val="24"/>
        </w:rPr>
        <w:t>保單之再保比例</w:t>
      </w:r>
    </w:p>
    <w:p w14:paraId="09D4D76E" w14:textId="77777777" w:rsidR="00065C53" w:rsidRPr="00E224E9" w:rsidRDefault="00065C53">
      <w:pPr>
        <w:spacing w:line="440" w:lineRule="exact"/>
        <w:ind w:left="845"/>
        <w:jc w:val="both"/>
        <w:rPr>
          <w:rFonts w:ascii="標楷體" w:hAnsi="標楷體" w:cs="Arial"/>
          <w:color w:val="000000" w:themeColor="text1"/>
          <w:sz w:val="24"/>
        </w:rPr>
      </w:pPr>
    </w:p>
    <w:p w14:paraId="4559439E" w14:textId="77777777" w:rsidR="00065C53" w:rsidRPr="00E224E9" w:rsidRDefault="00065C53">
      <w:pPr>
        <w:numPr>
          <w:ilvl w:val="1"/>
          <w:numId w:val="3"/>
        </w:numPr>
        <w:spacing w:line="440" w:lineRule="exact"/>
        <w:jc w:val="both"/>
        <w:rPr>
          <w:rFonts w:ascii="標楷體" w:hAnsi="標楷體" w:cs="Arial"/>
          <w:color w:val="000000" w:themeColor="text1"/>
          <w:sz w:val="24"/>
        </w:rPr>
      </w:pPr>
      <w:r w:rsidRPr="00E224E9">
        <w:rPr>
          <w:rFonts w:ascii="標楷體" w:hAnsi="標楷體" w:cs="Arial" w:hint="eastAsia"/>
          <w:color w:val="000000" w:themeColor="text1"/>
          <w:sz w:val="24"/>
        </w:rPr>
        <w:t>再保費率：保證費率。</w:t>
      </w:r>
    </w:p>
    <w:p w14:paraId="0C83E822" w14:textId="77777777" w:rsidR="00065C53" w:rsidRPr="00E224E9" w:rsidRDefault="00065C53">
      <w:pPr>
        <w:numPr>
          <w:ilvl w:val="1"/>
          <w:numId w:val="3"/>
        </w:numPr>
        <w:spacing w:line="440" w:lineRule="exact"/>
        <w:jc w:val="both"/>
        <w:rPr>
          <w:rFonts w:ascii="標楷體" w:hAnsi="標楷體" w:cs="Arial"/>
          <w:color w:val="000000" w:themeColor="text1"/>
          <w:sz w:val="24"/>
        </w:rPr>
      </w:pPr>
      <w:r w:rsidRPr="00E224E9">
        <w:rPr>
          <w:rFonts w:ascii="標楷體" w:hAnsi="標楷體" w:cs="Arial" w:hint="eastAsia"/>
          <w:color w:val="000000" w:themeColor="text1"/>
          <w:sz w:val="24"/>
        </w:rPr>
        <w:t>再保人條件：應為適格之再保人。</w:t>
      </w:r>
    </w:p>
    <w:p w14:paraId="3B6D0AC3" w14:textId="77777777" w:rsidR="00065C53" w:rsidRPr="00E224E9" w:rsidRDefault="00065C53">
      <w:pPr>
        <w:numPr>
          <w:ilvl w:val="1"/>
          <w:numId w:val="3"/>
        </w:numPr>
        <w:spacing w:line="440" w:lineRule="exact"/>
        <w:jc w:val="both"/>
        <w:rPr>
          <w:rFonts w:ascii="標楷體" w:hAnsi="標楷體" w:cs="Arial"/>
          <w:color w:val="000000" w:themeColor="text1"/>
          <w:sz w:val="24"/>
        </w:rPr>
      </w:pPr>
      <w:r w:rsidRPr="00E224E9">
        <w:rPr>
          <w:rFonts w:ascii="標楷體" w:hAnsi="標楷體" w:cs="Arial" w:hint="eastAsia"/>
          <w:color w:val="000000" w:themeColor="text1"/>
          <w:sz w:val="24"/>
        </w:rPr>
        <w:t>資本適足性報告上之揭露事項：再保公司名稱及評等、再保方式、再保費率保證方式說明。</w:t>
      </w:r>
    </w:p>
    <w:p w14:paraId="6142AD56" w14:textId="77777777" w:rsidR="00065C53" w:rsidRPr="00E224E9" w:rsidRDefault="00065C53">
      <w:pPr>
        <w:pStyle w:val="Layer20"/>
        <w:spacing w:line="440" w:lineRule="exact"/>
        <w:ind w:left="585"/>
        <w:jc w:val="both"/>
        <w:rPr>
          <w:rFonts w:ascii="標楷體" w:hAnsi="標楷體"/>
          <w:color w:val="000000" w:themeColor="text1"/>
        </w:rPr>
      </w:pPr>
    </w:p>
    <w:p w14:paraId="5600958E" w14:textId="77777777" w:rsidR="00065C53" w:rsidRPr="00E224E9" w:rsidRDefault="00065C53">
      <w:pPr>
        <w:pStyle w:val="Layer2"/>
        <w:spacing w:line="440" w:lineRule="exact"/>
        <w:jc w:val="both"/>
        <w:rPr>
          <w:rFonts w:ascii="標楷體" w:hAnsi="標楷體"/>
          <w:color w:val="000000" w:themeColor="text1"/>
        </w:rPr>
      </w:pPr>
      <w:bookmarkStart w:id="151" w:name="_Toc7492350"/>
      <w:r w:rsidRPr="00E224E9">
        <w:rPr>
          <w:rFonts w:ascii="標楷體" w:hAnsi="標楷體"/>
          <w:color w:val="000000" w:themeColor="text1"/>
        </w:rPr>
        <w:t>2.5</w:t>
      </w:r>
      <w:r w:rsidRPr="00E224E9">
        <w:rPr>
          <w:rFonts w:ascii="標楷體" w:hAnsi="標楷體"/>
          <w:color w:val="000000" w:themeColor="text1"/>
        </w:rPr>
        <w:tab/>
      </w:r>
      <w:r w:rsidRPr="00E224E9">
        <w:rPr>
          <w:rFonts w:ascii="標楷體" w:hAnsi="標楷體" w:hint="eastAsia"/>
          <w:color w:val="000000" w:themeColor="text1"/>
        </w:rPr>
        <w:t>團體保險</w:t>
      </w:r>
      <w:bookmarkEnd w:id="151"/>
    </w:p>
    <w:p w14:paraId="6F765634" w14:textId="77777777" w:rsidR="00065C53" w:rsidRPr="00E224E9" w:rsidRDefault="00065C53">
      <w:pPr>
        <w:pStyle w:val="Layer3"/>
        <w:spacing w:line="440" w:lineRule="exact"/>
        <w:ind w:left="585"/>
        <w:jc w:val="both"/>
        <w:rPr>
          <w:rFonts w:ascii="標楷體" w:hAnsi="標楷體"/>
          <w:color w:val="000000" w:themeColor="text1"/>
        </w:rPr>
      </w:pPr>
      <w:bookmarkStart w:id="152" w:name="_Toc7492351"/>
      <w:r w:rsidRPr="00E224E9">
        <w:rPr>
          <w:rFonts w:ascii="標楷體" w:hAnsi="標楷體"/>
          <w:color w:val="000000" w:themeColor="text1"/>
        </w:rPr>
        <w:t>2.5.1</w:t>
      </w:r>
      <w:r w:rsidRPr="00E224E9">
        <w:rPr>
          <w:rFonts w:ascii="標楷體" w:hAnsi="標楷體" w:hint="eastAsia"/>
          <w:color w:val="000000" w:themeColor="text1"/>
        </w:rPr>
        <w:t>壽險</w:t>
      </w:r>
      <w:bookmarkEnd w:id="152"/>
    </w:p>
    <w:p w14:paraId="29D5FF21"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團體保險之壽險分為一年期及非一年期之團體壽險，一年期係指保險期間為一年以下之團體壽險，其風險資本額，按「表24：未滿期保費準備金明細表」之相關欄位金額，乘以其所對應之風險係數計算風險資本額；而非一年期係指保險期間超過一年之團體壽險，其風險資本額，按「表30-10：淨危險保額報告表」之相關欄位金額，乘以其所對應之風險係數計算風險資本額。</w:t>
      </w:r>
    </w:p>
    <w:p w14:paraId="11A960BE" w14:textId="77777777" w:rsidR="00065C53" w:rsidRPr="00E224E9" w:rsidRDefault="00065C53">
      <w:pPr>
        <w:pStyle w:val="a7"/>
        <w:spacing w:after="0" w:line="440" w:lineRule="exact"/>
        <w:ind w:left="520"/>
        <w:jc w:val="both"/>
        <w:rPr>
          <w:rFonts w:ascii="標楷體" w:hAnsi="標楷體"/>
          <w:color w:val="000000" w:themeColor="text1"/>
        </w:rPr>
      </w:pPr>
    </w:p>
    <w:p w14:paraId="29F12501" w14:textId="77777777" w:rsidR="00065C53" w:rsidRPr="00E224E9" w:rsidRDefault="00065C53">
      <w:pPr>
        <w:pStyle w:val="Layer3"/>
        <w:spacing w:line="440" w:lineRule="exact"/>
        <w:ind w:left="585"/>
        <w:jc w:val="both"/>
        <w:rPr>
          <w:rFonts w:ascii="標楷體" w:hAnsi="標楷體"/>
          <w:color w:val="000000" w:themeColor="text1"/>
        </w:rPr>
      </w:pPr>
      <w:bookmarkStart w:id="153" w:name="_Toc7492352"/>
      <w:r w:rsidRPr="00E224E9">
        <w:rPr>
          <w:rFonts w:ascii="標楷體" w:hAnsi="標楷體"/>
          <w:color w:val="000000" w:themeColor="text1"/>
        </w:rPr>
        <w:lastRenderedPageBreak/>
        <w:t>2.5.2</w:t>
      </w:r>
      <w:r w:rsidRPr="00E224E9">
        <w:rPr>
          <w:rFonts w:ascii="標楷體" w:hAnsi="標楷體" w:hint="eastAsia"/>
          <w:color w:val="000000" w:themeColor="text1"/>
        </w:rPr>
        <w:t>年金保險</w:t>
      </w:r>
      <w:bookmarkEnd w:id="153"/>
    </w:p>
    <w:p w14:paraId="232551E2"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包括(1)依保險法第一百三十五條之一之規定，保險人於被保險人生存期間或特定期間內，依照契約一次或分期給付一定金額之保險；以及(2)勞退年金保險。</w:t>
      </w:r>
    </w:p>
    <w:p w14:paraId="69C31F9E"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團體年金保險之風險資本額，按「表23：有效契約責任準備金明細表」之相關欄位金額，乘以其所對應之風險係數計算風險資本額。</w:t>
      </w:r>
    </w:p>
    <w:p w14:paraId="7DA0EC67" w14:textId="77777777" w:rsidR="00065C53" w:rsidRPr="00E224E9" w:rsidRDefault="00065C53">
      <w:pPr>
        <w:pStyle w:val="Layer30"/>
        <w:spacing w:line="440" w:lineRule="exact"/>
        <w:ind w:leftChars="450" w:left="1170"/>
        <w:jc w:val="both"/>
        <w:rPr>
          <w:rFonts w:ascii="標楷體" w:hAnsi="標楷體"/>
          <w:color w:val="000000" w:themeColor="text1"/>
        </w:rPr>
      </w:pPr>
    </w:p>
    <w:p w14:paraId="219A1CDD" w14:textId="77777777" w:rsidR="00065C53" w:rsidRPr="00E224E9" w:rsidRDefault="00065C53">
      <w:pPr>
        <w:pStyle w:val="Layer3"/>
        <w:spacing w:line="440" w:lineRule="exact"/>
        <w:ind w:left="585"/>
        <w:jc w:val="both"/>
        <w:rPr>
          <w:rFonts w:ascii="標楷體" w:hAnsi="標楷體"/>
          <w:color w:val="000000" w:themeColor="text1"/>
        </w:rPr>
      </w:pPr>
      <w:bookmarkStart w:id="154" w:name="_Toc7492353"/>
      <w:r w:rsidRPr="00E224E9">
        <w:rPr>
          <w:rFonts w:ascii="標楷體" w:hAnsi="標楷體"/>
          <w:color w:val="000000" w:themeColor="text1"/>
        </w:rPr>
        <w:t>2.5.3</w:t>
      </w:r>
      <w:r w:rsidRPr="00E224E9">
        <w:rPr>
          <w:rFonts w:ascii="標楷體" w:hAnsi="標楷體" w:hint="eastAsia"/>
          <w:color w:val="000000" w:themeColor="text1"/>
        </w:rPr>
        <w:t>傷害保險</w:t>
      </w:r>
      <w:bookmarkEnd w:id="154"/>
    </w:p>
    <w:p w14:paraId="3051FE10"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團體傷害保險之風險資本額，按「表24：未滿期保費準備金明細表」之相關欄位金額，乘以其所對應之風險係數計算風險資本額。</w:t>
      </w:r>
    </w:p>
    <w:p w14:paraId="548C72FE" w14:textId="77777777" w:rsidR="00065C53" w:rsidRPr="00E224E9" w:rsidRDefault="00065C53">
      <w:pPr>
        <w:spacing w:line="440" w:lineRule="exact"/>
        <w:ind w:left="1260"/>
        <w:jc w:val="both"/>
        <w:rPr>
          <w:rFonts w:ascii="標楷體" w:hAnsi="標楷體"/>
          <w:color w:val="000000" w:themeColor="text1"/>
        </w:rPr>
      </w:pPr>
    </w:p>
    <w:p w14:paraId="2B24698B" w14:textId="77777777" w:rsidR="00065C53" w:rsidRPr="00E224E9" w:rsidRDefault="00065C53">
      <w:pPr>
        <w:pStyle w:val="Layer3"/>
        <w:spacing w:line="440" w:lineRule="exact"/>
        <w:ind w:left="585"/>
        <w:jc w:val="both"/>
        <w:rPr>
          <w:rFonts w:ascii="標楷體" w:hAnsi="標楷體"/>
          <w:color w:val="000000" w:themeColor="text1"/>
        </w:rPr>
      </w:pPr>
      <w:bookmarkStart w:id="155" w:name="_Toc7492354"/>
      <w:r w:rsidRPr="00E224E9">
        <w:rPr>
          <w:rFonts w:ascii="標楷體" w:hAnsi="標楷體"/>
          <w:color w:val="000000" w:themeColor="text1"/>
        </w:rPr>
        <w:t>2.5.4</w:t>
      </w:r>
      <w:r w:rsidRPr="00E224E9">
        <w:rPr>
          <w:rFonts w:ascii="標楷體" w:hAnsi="標楷體" w:hint="eastAsia"/>
          <w:color w:val="000000" w:themeColor="text1"/>
        </w:rPr>
        <w:t>健康保險</w:t>
      </w:r>
      <w:bookmarkEnd w:id="155"/>
    </w:p>
    <w:p w14:paraId="2EF1C939"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團體健康保險之風險資本額，按「表24：未滿期保費準備金明細表」之相關欄位金額，乘以其所對應之風險係數計算風險資本額。</w:t>
      </w:r>
    </w:p>
    <w:p w14:paraId="0CC14D60" w14:textId="77777777" w:rsidR="00065C53" w:rsidRPr="00E224E9" w:rsidRDefault="00065C53">
      <w:pPr>
        <w:spacing w:line="440" w:lineRule="exact"/>
        <w:ind w:left="1260"/>
        <w:jc w:val="both"/>
        <w:rPr>
          <w:rFonts w:ascii="標楷體" w:hAnsi="標楷體"/>
          <w:color w:val="000000" w:themeColor="text1"/>
        </w:rPr>
      </w:pPr>
    </w:p>
    <w:p w14:paraId="6EC22228" w14:textId="77777777" w:rsidR="00065C53" w:rsidRPr="00E224E9" w:rsidRDefault="00065C53">
      <w:pPr>
        <w:pStyle w:val="Layer2"/>
        <w:spacing w:line="440" w:lineRule="exact"/>
        <w:jc w:val="both"/>
        <w:rPr>
          <w:rFonts w:ascii="標楷體" w:hAnsi="標楷體"/>
          <w:color w:val="000000" w:themeColor="text1"/>
        </w:rPr>
      </w:pPr>
      <w:bookmarkStart w:id="156" w:name="_Toc7492355"/>
      <w:r w:rsidRPr="00E224E9">
        <w:rPr>
          <w:rFonts w:ascii="標楷體" w:hAnsi="標楷體"/>
          <w:color w:val="000000" w:themeColor="text1"/>
        </w:rPr>
        <w:t>2.6</w:t>
      </w:r>
      <w:r w:rsidRPr="00E224E9">
        <w:rPr>
          <w:rFonts w:ascii="標楷體" w:hAnsi="標楷體"/>
          <w:color w:val="000000" w:themeColor="text1"/>
        </w:rPr>
        <w:tab/>
      </w:r>
      <w:r w:rsidRPr="00E224E9">
        <w:rPr>
          <w:rFonts w:ascii="標楷體" w:hAnsi="標楷體" w:hint="eastAsia"/>
          <w:color w:val="000000" w:themeColor="text1"/>
        </w:rPr>
        <w:t>失能保險</w:t>
      </w:r>
      <w:bookmarkEnd w:id="156"/>
    </w:p>
    <w:p w14:paraId="28A540E8"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所謂失能保險，係指</w:t>
      </w:r>
      <w:r w:rsidRPr="00E224E9">
        <w:rPr>
          <w:rFonts w:ascii="標楷體" w:hAnsi="標楷體"/>
          <w:color w:val="000000" w:themeColor="text1"/>
        </w:rPr>
        <w:t>保險業於被保險</w:t>
      </w:r>
      <w:r w:rsidRPr="00E224E9">
        <w:rPr>
          <w:rFonts w:ascii="標楷體" w:hAnsi="標楷體" w:hint="eastAsia"/>
          <w:color w:val="000000" w:themeColor="text1"/>
        </w:rPr>
        <w:t>人因契約所約定之保險事故所致，於保險期間永久或暫時失去工作能力，或無法維持經濟生活時，保險業應</w:t>
      </w:r>
      <w:r w:rsidRPr="00E224E9">
        <w:rPr>
          <w:rFonts w:ascii="標楷體" w:hAnsi="標楷體"/>
          <w:color w:val="000000" w:themeColor="text1"/>
        </w:rPr>
        <w:t>負給付保險金額之責</w:t>
      </w:r>
      <w:r w:rsidRPr="00E224E9">
        <w:rPr>
          <w:rFonts w:ascii="標楷體" w:hAnsi="標楷體" w:hint="eastAsia"/>
          <w:color w:val="000000" w:themeColor="text1"/>
        </w:rPr>
        <w:t>。</w:t>
      </w:r>
    </w:p>
    <w:p w14:paraId="66B7DF2B" w14:textId="77777777" w:rsidR="00065C53" w:rsidRPr="00E224E9" w:rsidRDefault="00065C53">
      <w:pPr>
        <w:pStyle w:val="Layer20"/>
        <w:spacing w:line="440" w:lineRule="exact"/>
        <w:ind w:left="585"/>
        <w:jc w:val="both"/>
        <w:rPr>
          <w:rFonts w:ascii="標楷體" w:hAnsi="標楷體"/>
          <w:color w:val="000000" w:themeColor="text1"/>
        </w:rPr>
      </w:pPr>
    </w:p>
    <w:p w14:paraId="36F95B20"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失能保險之風險資本額，按「表23：有效契約責任準備金明細表」之相關欄位金額，乘以其所對應之風險係數計算風險資本額。</w:t>
      </w:r>
    </w:p>
    <w:p w14:paraId="1729A0B0" w14:textId="77777777" w:rsidR="00065C53" w:rsidRPr="00E224E9" w:rsidRDefault="00065C53">
      <w:pPr>
        <w:spacing w:line="440" w:lineRule="exact"/>
        <w:ind w:left="1260"/>
        <w:jc w:val="both"/>
        <w:rPr>
          <w:rFonts w:ascii="標楷體" w:hAnsi="標楷體"/>
          <w:color w:val="000000" w:themeColor="text1"/>
        </w:rPr>
      </w:pPr>
    </w:p>
    <w:p w14:paraId="33062D0C" w14:textId="77777777" w:rsidR="00065C53" w:rsidRPr="00E224E9" w:rsidRDefault="00065C53">
      <w:pPr>
        <w:pStyle w:val="Layer2"/>
        <w:spacing w:line="440" w:lineRule="exact"/>
        <w:jc w:val="both"/>
        <w:rPr>
          <w:rFonts w:ascii="標楷體" w:hAnsi="標楷體"/>
          <w:color w:val="000000" w:themeColor="text1"/>
        </w:rPr>
      </w:pPr>
      <w:bookmarkStart w:id="157" w:name="_Toc7492356"/>
      <w:r w:rsidRPr="00E224E9">
        <w:rPr>
          <w:rFonts w:ascii="標楷體" w:hAnsi="標楷體"/>
          <w:color w:val="000000" w:themeColor="text1"/>
        </w:rPr>
        <w:t>2.7</w:t>
      </w:r>
      <w:r w:rsidRPr="00E224E9">
        <w:rPr>
          <w:rFonts w:ascii="標楷體" w:hAnsi="標楷體"/>
          <w:color w:val="000000" w:themeColor="text1"/>
        </w:rPr>
        <w:tab/>
      </w:r>
      <w:r w:rsidRPr="00E224E9">
        <w:rPr>
          <w:rFonts w:ascii="標楷體" w:hAnsi="標楷體" w:hint="eastAsia"/>
          <w:color w:val="000000" w:themeColor="text1"/>
        </w:rPr>
        <w:t>賠款準備金</w:t>
      </w:r>
      <w:bookmarkEnd w:id="157"/>
    </w:p>
    <w:p w14:paraId="0EFAE62D"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賠款準備金之風險資本額，按「表03：資產負債表」之相關欄位金額，乘以其所對應之風險係數計算風險資本額。</w:t>
      </w:r>
    </w:p>
    <w:p w14:paraId="4A5D0465" w14:textId="77777777" w:rsidR="00065C53" w:rsidRPr="00E224E9" w:rsidRDefault="00065C53">
      <w:pPr>
        <w:pStyle w:val="Layer1"/>
        <w:spacing w:line="440" w:lineRule="exact"/>
        <w:ind w:firstLine="520"/>
        <w:rPr>
          <w:rFonts w:ascii="標楷體" w:hAnsi="標楷體"/>
          <w:color w:val="000000" w:themeColor="text1"/>
        </w:rPr>
      </w:pPr>
    </w:p>
    <w:p w14:paraId="6D7E6B6F" w14:textId="77777777" w:rsidR="00065C53" w:rsidRPr="00E224E9" w:rsidRDefault="00065C53">
      <w:pPr>
        <w:pStyle w:val="Layer1"/>
        <w:spacing w:line="440" w:lineRule="exact"/>
        <w:rPr>
          <w:rFonts w:ascii="標楷體" w:hAnsi="標楷體"/>
          <w:color w:val="000000" w:themeColor="text1"/>
          <w:sz w:val="24"/>
        </w:rPr>
      </w:pPr>
      <w:r w:rsidRPr="00E224E9">
        <w:rPr>
          <w:rFonts w:ascii="標楷體" w:hAnsi="標楷體" w:hint="eastAsia"/>
          <w:color w:val="000000" w:themeColor="text1"/>
          <w:sz w:val="24"/>
        </w:rPr>
        <w:t>以上七項風險項目，其各項目所計算出的風險資本額之合計數，即為保險風險之風險資本額。</w:t>
      </w:r>
    </w:p>
    <w:p w14:paraId="25EC6BE0" w14:textId="77777777" w:rsidR="00065C53" w:rsidRPr="00E224E9" w:rsidRDefault="00065C53">
      <w:pPr>
        <w:pStyle w:val="1"/>
        <w:spacing w:afterLines="0" w:line="440" w:lineRule="exact"/>
        <w:jc w:val="both"/>
        <w:rPr>
          <w:color w:val="000000" w:themeColor="text1"/>
        </w:rPr>
      </w:pPr>
      <w:r w:rsidRPr="00E224E9">
        <w:rPr>
          <w:b w:val="0"/>
          <w:bCs w:val="0"/>
          <w:color w:val="000000" w:themeColor="text1"/>
          <w:sz w:val="24"/>
          <w:szCs w:val="24"/>
        </w:rPr>
        <w:br w:type="page"/>
      </w:r>
      <w:bookmarkStart w:id="158" w:name="_Toc219262257"/>
      <w:bookmarkStart w:id="159" w:name="_Toc200468557"/>
      <w:r w:rsidRPr="00E224E9">
        <w:rPr>
          <w:rFonts w:hint="eastAsia"/>
          <w:color w:val="000000" w:themeColor="text1"/>
        </w:rPr>
        <w:lastRenderedPageBreak/>
        <w:t>表30-5：C3：利率風險計算表</w:t>
      </w:r>
      <w:bookmarkEnd w:id="158"/>
      <w:bookmarkEnd w:id="159"/>
    </w:p>
    <w:p w14:paraId="79F32F3D" w14:textId="77777777" w:rsidR="00065C53" w:rsidRPr="00E224E9" w:rsidRDefault="00065C53">
      <w:pPr>
        <w:pStyle w:val="a9"/>
        <w:spacing w:line="440" w:lineRule="exact"/>
        <w:ind w:firstLine="480"/>
        <w:rPr>
          <w:color w:val="000000" w:themeColor="text1"/>
          <w:sz w:val="24"/>
        </w:rPr>
      </w:pPr>
      <w:r w:rsidRPr="00E224E9">
        <w:rPr>
          <w:rFonts w:hint="eastAsia"/>
          <w:color w:val="000000" w:themeColor="text1"/>
          <w:sz w:val="24"/>
        </w:rPr>
        <w:t>利率風險係指保險業因利率變動因素，造成資產與負債價值變動不一致之風險，依此風險計算應提存之風險資本，試圖保障保險業不致因為資產與負債配置風險的突然惡化，造成保險業無法清償之危險。</w:t>
      </w:r>
    </w:p>
    <w:p w14:paraId="01682037" w14:textId="77777777" w:rsidR="00065C53" w:rsidRPr="00E224E9" w:rsidRDefault="00065C53">
      <w:pPr>
        <w:pStyle w:val="Layer1"/>
        <w:spacing w:line="440" w:lineRule="exact"/>
        <w:rPr>
          <w:rFonts w:ascii="標楷體" w:hAnsi="標楷體"/>
          <w:color w:val="000000" w:themeColor="text1"/>
          <w:sz w:val="24"/>
        </w:rPr>
      </w:pPr>
    </w:p>
    <w:p w14:paraId="12A88492" w14:textId="77777777" w:rsidR="00065C53" w:rsidRPr="00E224E9" w:rsidRDefault="00065C53">
      <w:pPr>
        <w:pStyle w:val="Layer1"/>
        <w:spacing w:line="440" w:lineRule="exact"/>
        <w:rPr>
          <w:rFonts w:ascii="標楷體" w:hAnsi="標楷體"/>
          <w:color w:val="000000" w:themeColor="text1"/>
          <w:sz w:val="24"/>
        </w:rPr>
      </w:pPr>
      <w:r w:rsidRPr="00E224E9">
        <w:rPr>
          <w:rFonts w:ascii="標楷體" w:hAnsi="標楷體" w:hint="eastAsia"/>
          <w:color w:val="000000" w:themeColor="text1"/>
          <w:sz w:val="24"/>
        </w:rPr>
        <w:t>此項利率風險採逐單計算的方式，將其風險項目區分為(1)強制分紅保單等、(2)不分紅保單、(3)自由分紅保單以及(4)附保證項目之投資型商品四類，且均以「保單價值準備金」為其利率風險之計算基礎，茲說明各類風險項目之利率風險計算方式如下：</w:t>
      </w:r>
    </w:p>
    <w:p w14:paraId="65F29D6B" w14:textId="77777777" w:rsidR="00065C53" w:rsidRPr="00E224E9" w:rsidRDefault="00065C53" w:rsidP="004373AD">
      <w:pPr>
        <w:pStyle w:val="Layer1"/>
        <w:numPr>
          <w:ilvl w:val="0"/>
          <w:numId w:val="22"/>
        </w:numPr>
        <w:tabs>
          <w:tab w:val="clear" w:pos="2895"/>
          <w:tab w:val="num" w:pos="540"/>
        </w:tabs>
        <w:spacing w:line="440" w:lineRule="exact"/>
        <w:ind w:left="540" w:firstLineChars="0" w:hanging="540"/>
        <w:rPr>
          <w:rFonts w:ascii="標楷體" w:hAnsi="標楷體"/>
          <w:color w:val="000000" w:themeColor="text1"/>
          <w:sz w:val="24"/>
        </w:rPr>
      </w:pPr>
      <w:r w:rsidRPr="00E224E9">
        <w:rPr>
          <w:rFonts w:ascii="標楷體" w:hAnsi="標楷體" w:hint="eastAsia"/>
          <w:color w:val="000000" w:themeColor="text1"/>
          <w:sz w:val="24"/>
        </w:rPr>
        <w:t>強制分紅保單等</w:t>
      </w:r>
    </w:p>
    <w:p w14:paraId="278E090C" w14:textId="77777777" w:rsidR="00065C53" w:rsidRPr="00E224E9" w:rsidRDefault="00065C53">
      <w:pPr>
        <w:pStyle w:val="Layer1"/>
        <w:spacing w:line="440" w:lineRule="exact"/>
        <w:ind w:firstLineChars="225" w:firstLine="540"/>
        <w:rPr>
          <w:rFonts w:ascii="標楷體" w:hAnsi="標楷體"/>
          <w:color w:val="000000" w:themeColor="text1"/>
          <w:sz w:val="24"/>
        </w:rPr>
      </w:pPr>
      <w:r w:rsidRPr="00E224E9">
        <w:rPr>
          <w:rFonts w:ascii="標楷體" w:hAnsi="標楷體" w:hint="eastAsia"/>
          <w:color w:val="000000" w:themeColor="text1"/>
          <w:sz w:val="24"/>
        </w:rPr>
        <w:t>依其商品類別之不同又可區分為下列兩項：</w:t>
      </w:r>
    </w:p>
    <w:p w14:paraId="0EFDD433" w14:textId="77777777" w:rsidR="00065C53" w:rsidRPr="00E224E9" w:rsidRDefault="0032067D" w:rsidP="004373AD">
      <w:pPr>
        <w:pStyle w:val="Layer1"/>
        <w:numPr>
          <w:ilvl w:val="1"/>
          <w:numId w:val="22"/>
        </w:numPr>
        <w:spacing w:line="440" w:lineRule="exact"/>
        <w:ind w:firstLineChars="0"/>
        <w:rPr>
          <w:rFonts w:ascii="標楷體" w:hAnsi="標楷體"/>
          <w:color w:val="000000" w:themeColor="text1"/>
          <w:sz w:val="24"/>
        </w:rPr>
      </w:pPr>
      <w:r w:rsidRPr="00E224E9">
        <w:rPr>
          <w:rFonts w:ascii="標楷體" w:hAnsi="標楷體" w:hint="eastAsia"/>
          <w:color w:val="000000" w:themeColor="text1"/>
          <w:sz w:val="24"/>
        </w:rPr>
        <w:t>傳統型商品：保單分紅利率採年平均為認列基礎</w:t>
      </w:r>
      <w:r w:rsidR="00065C53" w:rsidRPr="00E224E9">
        <w:rPr>
          <w:rFonts w:ascii="標楷體" w:hAnsi="標楷體" w:hint="eastAsia"/>
          <w:color w:val="000000" w:themeColor="text1"/>
          <w:sz w:val="24"/>
        </w:rPr>
        <w:t>，再將其保單價值準備金乘以保單預定利率與保單分紅利率孰高者與公司投資報酬率比較，再將其保單價值準備金乘以前述經比較後計算所得的正利差(若為負利差則以零計算)，即可計算出利率風險之風險資本額。以公式表示如下：</w:t>
      </w:r>
    </w:p>
    <w:p w14:paraId="3AC25CE7" w14:textId="77777777" w:rsidR="00065C53" w:rsidRPr="00E224E9" w:rsidRDefault="00065C53">
      <w:pPr>
        <w:pStyle w:val="Layer1"/>
        <w:spacing w:line="440" w:lineRule="exact"/>
        <w:ind w:left="480" w:firstLineChars="0" w:firstLine="0"/>
        <w:jc w:val="center"/>
        <w:rPr>
          <w:rFonts w:ascii="標楷體" w:hAnsi="標楷體"/>
          <w:color w:val="000000" w:themeColor="text1"/>
          <w:sz w:val="24"/>
        </w:rPr>
      </w:pPr>
      <w:r w:rsidRPr="00E224E9">
        <w:rPr>
          <w:rFonts w:ascii="標楷體" w:hAnsi="標楷體" w:hint="eastAsia"/>
          <w:color w:val="000000" w:themeColor="text1"/>
          <w:sz w:val="24"/>
        </w:rPr>
        <w:t>R×Max{[Max(A，B)－C]，0}</w:t>
      </w:r>
    </w:p>
    <w:p w14:paraId="4D72E27C" w14:textId="77777777"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R：保單價值準備金</w:t>
      </w:r>
    </w:p>
    <w:p w14:paraId="4B677D59" w14:textId="77777777"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A：保單預定利率</w:t>
      </w:r>
    </w:p>
    <w:p w14:paraId="5C40920D" w14:textId="77777777"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B：保單分紅利率</w:t>
      </w:r>
    </w:p>
    <w:p w14:paraId="342FEAF1" w14:textId="4C60B74C"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C：公司投資報酬率</w:t>
      </w:r>
      <w:r w:rsidR="007F27A3" w:rsidRPr="00E224E9">
        <w:rPr>
          <w:rFonts w:ascii="標楷體" w:hAnsi="標楷體" w:hint="eastAsia"/>
          <w:color w:val="000000" w:themeColor="text1"/>
          <w:sz w:val="24"/>
        </w:rPr>
        <w:t>(最近5年平均)</w:t>
      </w:r>
    </w:p>
    <w:p w14:paraId="2D5500CF" w14:textId="77777777" w:rsidR="00065C53" w:rsidRPr="00E224E9" w:rsidRDefault="00065C53">
      <w:pPr>
        <w:pStyle w:val="Layer1"/>
        <w:spacing w:line="440" w:lineRule="exact"/>
        <w:ind w:left="480" w:firstLineChars="0" w:firstLine="0"/>
        <w:rPr>
          <w:rFonts w:ascii="標楷體" w:hAnsi="標楷體"/>
          <w:color w:val="000000" w:themeColor="text1"/>
          <w:sz w:val="24"/>
        </w:rPr>
      </w:pPr>
    </w:p>
    <w:p w14:paraId="310CD633" w14:textId="77777777" w:rsidR="00065C53" w:rsidRPr="00E224E9" w:rsidRDefault="00065C53" w:rsidP="004373AD">
      <w:pPr>
        <w:pStyle w:val="Layer1"/>
        <w:numPr>
          <w:ilvl w:val="1"/>
          <w:numId w:val="22"/>
        </w:numPr>
        <w:spacing w:line="440" w:lineRule="exact"/>
        <w:ind w:firstLineChars="0"/>
        <w:rPr>
          <w:rFonts w:ascii="標楷體" w:hAnsi="標楷體"/>
          <w:color w:val="000000" w:themeColor="text1"/>
          <w:sz w:val="24"/>
        </w:rPr>
      </w:pPr>
      <w:r w:rsidRPr="00E224E9">
        <w:rPr>
          <w:rFonts w:ascii="標楷體" w:hAnsi="標楷體" w:hint="eastAsia"/>
          <w:color w:val="000000" w:themeColor="text1"/>
          <w:sz w:val="24"/>
        </w:rPr>
        <w:t>利變型、萬能型及勞退年金：將保單預定利率與宣告利率孰高者與公司投資報酬率比較，再將其保單價值準備金乘以前述經比較後計算所得的正利差(若為負利差則以零計算)，即可計算出利率風險之風險資本額。以公式表示如下：</w:t>
      </w:r>
    </w:p>
    <w:p w14:paraId="54822390" w14:textId="77777777"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R×Max{[Max(A，B)－C]，0}</w:t>
      </w:r>
    </w:p>
    <w:p w14:paraId="1F9B3EA1" w14:textId="77777777"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R：保單價值準備金</w:t>
      </w:r>
    </w:p>
    <w:p w14:paraId="21BE6EDF" w14:textId="77777777"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A：保單預定利率</w:t>
      </w:r>
    </w:p>
    <w:p w14:paraId="21B02653" w14:textId="77777777" w:rsidR="00065C53" w:rsidRPr="00E224E9" w:rsidRDefault="00065C53" w:rsidP="00EE3BFB">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B：保單宣告利率</w:t>
      </w:r>
    </w:p>
    <w:p w14:paraId="7DBAF24D" w14:textId="2D456ACD" w:rsidR="00065C53" w:rsidRPr="00E224E9" w:rsidRDefault="00065C53" w:rsidP="0000679B">
      <w:pPr>
        <w:pStyle w:val="Layer1"/>
        <w:spacing w:line="440" w:lineRule="exact"/>
        <w:ind w:leftChars="1292" w:left="3779" w:hangingChars="175" w:hanging="420"/>
        <w:rPr>
          <w:rFonts w:ascii="標楷體" w:hAnsi="標楷體"/>
          <w:color w:val="000000" w:themeColor="text1"/>
          <w:sz w:val="24"/>
        </w:rPr>
      </w:pPr>
      <w:r w:rsidRPr="00E224E9">
        <w:rPr>
          <w:rFonts w:ascii="標楷體" w:hAnsi="標楷體" w:hint="eastAsia"/>
          <w:color w:val="000000" w:themeColor="text1"/>
          <w:sz w:val="24"/>
        </w:rPr>
        <w:t>C：有區隔資產者</w:t>
      </w:r>
      <w:r w:rsidRPr="00E224E9">
        <w:rPr>
          <w:rStyle w:val="afa"/>
          <w:rFonts w:ascii="標楷體" w:hAnsi="標楷體" w:hint="eastAsia"/>
          <w:color w:val="000000" w:themeColor="text1"/>
          <w:sz w:val="24"/>
        </w:rPr>
        <w:footnoteReference w:customMarkFollows="1" w:id="1"/>
        <w:t>註：</w:t>
      </w:r>
      <w:r w:rsidRPr="00E224E9">
        <w:rPr>
          <w:rFonts w:ascii="標楷體" w:hAnsi="標楷體" w:hint="eastAsia"/>
          <w:color w:val="000000" w:themeColor="text1"/>
          <w:sz w:val="24"/>
        </w:rPr>
        <w:t>：區隔資產者之投資報酬率</w:t>
      </w:r>
      <w:r w:rsidR="007F27A3" w:rsidRPr="00E224E9">
        <w:rPr>
          <w:rFonts w:ascii="標楷體" w:hAnsi="標楷體" w:hint="eastAsia"/>
          <w:color w:val="000000" w:themeColor="text1"/>
          <w:sz w:val="24"/>
        </w:rPr>
        <w:t>(最近5年平均</w:t>
      </w:r>
      <w:r w:rsidR="00882A06" w:rsidRPr="00E224E9">
        <w:rPr>
          <w:rFonts w:ascii="標楷體" w:hAnsi="標楷體" w:hint="eastAsia"/>
          <w:color w:val="000000" w:themeColor="text1"/>
          <w:sz w:val="24"/>
        </w:rPr>
        <w:t>，若設置未滿5年則採設置至今之平均</w:t>
      </w:r>
      <w:r w:rsidR="007F27A3" w:rsidRPr="00E224E9">
        <w:rPr>
          <w:rFonts w:ascii="標楷體" w:hAnsi="標楷體" w:hint="eastAsia"/>
          <w:color w:val="000000" w:themeColor="text1"/>
          <w:sz w:val="24"/>
        </w:rPr>
        <w:t>)</w:t>
      </w:r>
    </w:p>
    <w:p w14:paraId="07EE5E00" w14:textId="763DD3D6" w:rsidR="00065C53" w:rsidRPr="00E224E9" w:rsidRDefault="00065C53" w:rsidP="00EE3BFB">
      <w:pPr>
        <w:pStyle w:val="Layer1"/>
        <w:spacing w:line="440" w:lineRule="exact"/>
        <w:ind w:leftChars="1417" w:left="3684" w:firstLineChars="0" w:firstLine="2"/>
        <w:rPr>
          <w:rFonts w:ascii="標楷體" w:hAnsi="標楷體"/>
          <w:color w:val="000000" w:themeColor="text1"/>
          <w:sz w:val="24"/>
        </w:rPr>
      </w:pPr>
      <w:r w:rsidRPr="00E224E9">
        <w:rPr>
          <w:rFonts w:ascii="標楷體" w:hAnsi="標楷體" w:hint="eastAsia"/>
          <w:color w:val="000000" w:themeColor="text1"/>
          <w:sz w:val="24"/>
        </w:rPr>
        <w:t>無區隔資產者</w:t>
      </w:r>
      <w:r w:rsidRPr="00E224E9">
        <w:rPr>
          <w:rFonts w:ascii="標楷體" w:hAnsi="標楷體" w:hint="eastAsia"/>
          <w:color w:val="000000" w:themeColor="text1"/>
          <w:sz w:val="24"/>
          <w:vertAlign w:val="superscript"/>
        </w:rPr>
        <w:t>註</w:t>
      </w:r>
      <w:r w:rsidRPr="00E224E9">
        <w:rPr>
          <w:rFonts w:ascii="標楷體" w:hAnsi="標楷體" w:hint="eastAsia"/>
          <w:color w:val="000000" w:themeColor="text1"/>
          <w:sz w:val="24"/>
        </w:rPr>
        <w:t>：公司投資報酬率</w:t>
      </w:r>
      <w:r w:rsidR="007F27A3" w:rsidRPr="00E224E9">
        <w:rPr>
          <w:rFonts w:ascii="標楷體" w:hAnsi="標楷體" w:hint="eastAsia"/>
          <w:color w:val="000000" w:themeColor="text1"/>
          <w:sz w:val="24"/>
        </w:rPr>
        <w:t>(最近5年平均)</w:t>
      </w:r>
    </w:p>
    <w:p w14:paraId="5E98DA60" w14:textId="77777777" w:rsidR="00065C53" w:rsidRPr="00E224E9" w:rsidRDefault="00065C53">
      <w:pPr>
        <w:pStyle w:val="Layer1"/>
        <w:spacing w:line="440" w:lineRule="exact"/>
        <w:ind w:left="480" w:firstLineChars="1150" w:firstLine="2760"/>
        <w:jc w:val="left"/>
        <w:rPr>
          <w:rFonts w:ascii="標楷體" w:hAnsi="標楷體"/>
          <w:color w:val="000000" w:themeColor="text1"/>
          <w:sz w:val="24"/>
        </w:rPr>
      </w:pPr>
    </w:p>
    <w:p w14:paraId="28FE6D71" w14:textId="77777777" w:rsidR="00065C53" w:rsidRPr="00E224E9" w:rsidRDefault="00065C53" w:rsidP="004373AD">
      <w:pPr>
        <w:pStyle w:val="Layer1"/>
        <w:numPr>
          <w:ilvl w:val="0"/>
          <w:numId w:val="22"/>
        </w:numPr>
        <w:tabs>
          <w:tab w:val="clear" w:pos="2895"/>
          <w:tab w:val="num" w:pos="540"/>
        </w:tabs>
        <w:spacing w:line="440" w:lineRule="exact"/>
        <w:ind w:left="540" w:firstLineChars="0" w:hanging="540"/>
        <w:rPr>
          <w:color w:val="000000" w:themeColor="text1"/>
          <w:sz w:val="24"/>
        </w:rPr>
      </w:pPr>
      <w:r w:rsidRPr="00E224E9">
        <w:rPr>
          <w:rFonts w:hAnsi="標楷體"/>
          <w:color w:val="000000" w:themeColor="text1"/>
          <w:sz w:val="24"/>
        </w:rPr>
        <w:t>自由分紅保單</w:t>
      </w:r>
    </w:p>
    <w:p w14:paraId="43B9565A" w14:textId="77777777" w:rsidR="00065C53" w:rsidRPr="00E224E9" w:rsidRDefault="00065C53">
      <w:pPr>
        <w:pStyle w:val="Layer1"/>
        <w:tabs>
          <w:tab w:val="left" w:pos="0"/>
        </w:tabs>
        <w:spacing w:line="440" w:lineRule="exact"/>
        <w:ind w:firstLineChars="224" w:firstLine="538"/>
        <w:rPr>
          <w:color w:val="000000" w:themeColor="text1"/>
          <w:sz w:val="24"/>
        </w:rPr>
      </w:pPr>
      <w:r w:rsidRPr="00E224E9">
        <w:rPr>
          <w:rFonts w:hAnsi="標楷體"/>
          <w:color w:val="000000" w:themeColor="text1"/>
          <w:sz w:val="24"/>
        </w:rPr>
        <w:t>以保單價值準備金為基礎，乘以保單預定利率與公司投資報酬率兩者間之正利差</w:t>
      </w:r>
      <w:r w:rsidRPr="00E224E9">
        <w:rPr>
          <w:color w:val="000000" w:themeColor="text1"/>
          <w:sz w:val="24"/>
        </w:rPr>
        <w:t>(</w:t>
      </w:r>
      <w:r w:rsidRPr="00E224E9">
        <w:rPr>
          <w:rFonts w:hAnsi="標楷體"/>
          <w:color w:val="000000" w:themeColor="text1"/>
          <w:sz w:val="24"/>
        </w:rPr>
        <w:t>若為負利差則以零計算</w:t>
      </w:r>
      <w:r w:rsidRPr="00E224E9">
        <w:rPr>
          <w:color w:val="000000" w:themeColor="text1"/>
          <w:sz w:val="24"/>
        </w:rPr>
        <w:t>)</w:t>
      </w:r>
      <w:r w:rsidRPr="00E224E9">
        <w:rPr>
          <w:rFonts w:hAnsi="標楷體"/>
          <w:color w:val="000000" w:themeColor="text1"/>
          <w:sz w:val="24"/>
        </w:rPr>
        <w:t>，即可計算出利率風險之風險資本額。以公式表示如下：</w:t>
      </w:r>
    </w:p>
    <w:p w14:paraId="38328D6B" w14:textId="77777777" w:rsidR="00065C53" w:rsidRPr="00E224E9" w:rsidRDefault="00065C53">
      <w:pPr>
        <w:pStyle w:val="Layer1"/>
        <w:spacing w:line="440" w:lineRule="exact"/>
        <w:ind w:firstLineChars="1400" w:firstLine="3360"/>
        <w:rPr>
          <w:color w:val="000000" w:themeColor="text1"/>
          <w:sz w:val="24"/>
        </w:rPr>
      </w:pPr>
      <w:r w:rsidRPr="00E224E9">
        <w:rPr>
          <w:color w:val="000000" w:themeColor="text1"/>
          <w:sz w:val="24"/>
        </w:rPr>
        <w:t>R×Max{[A</w:t>
      </w:r>
      <w:r w:rsidRPr="00E224E9">
        <w:rPr>
          <w:rFonts w:hAnsi="標楷體"/>
          <w:color w:val="000000" w:themeColor="text1"/>
          <w:sz w:val="24"/>
        </w:rPr>
        <w:t>－</w:t>
      </w:r>
      <w:r w:rsidRPr="00E224E9">
        <w:rPr>
          <w:color w:val="000000" w:themeColor="text1"/>
          <w:sz w:val="24"/>
        </w:rPr>
        <w:t>C]</w:t>
      </w:r>
      <w:r w:rsidRPr="00E224E9">
        <w:rPr>
          <w:rFonts w:hAnsi="標楷體"/>
          <w:color w:val="000000" w:themeColor="text1"/>
          <w:sz w:val="24"/>
        </w:rPr>
        <w:t>，</w:t>
      </w:r>
      <w:r w:rsidRPr="00E224E9">
        <w:rPr>
          <w:color w:val="000000" w:themeColor="text1"/>
          <w:sz w:val="24"/>
        </w:rPr>
        <w:t>0}</w:t>
      </w:r>
    </w:p>
    <w:p w14:paraId="066809BB" w14:textId="77777777" w:rsidR="00065C53" w:rsidRPr="00E224E9" w:rsidRDefault="00065C53">
      <w:pPr>
        <w:pStyle w:val="Layer1"/>
        <w:spacing w:line="440" w:lineRule="exact"/>
        <w:ind w:firstLineChars="1400" w:firstLine="3360"/>
        <w:rPr>
          <w:color w:val="000000" w:themeColor="text1"/>
          <w:sz w:val="24"/>
        </w:rPr>
      </w:pPr>
      <w:r w:rsidRPr="00E224E9">
        <w:rPr>
          <w:color w:val="000000" w:themeColor="text1"/>
          <w:sz w:val="24"/>
        </w:rPr>
        <w:t>R</w:t>
      </w:r>
      <w:r w:rsidRPr="00E224E9">
        <w:rPr>
          <w:rFonts w:hAnsi="標楷體"/>
          <w:color w:val="000000" w:themeColor="text1"/>
          <w:sz w:val="24"/>
        </w:rPr>
        <w:t>：保單價值準備金</w:t>
      </w:r>
    </w:p>
    <w:p w14:paraId="604A05D3" w14:textId="77777777" w:rsidR="00065C53" w:rsidRPr="00E224E9" w:rsidRDefault="00065C53">
      <w:pPr>
        <w:pStyle w:val="Layer1"/>
        <w:spacing w:line="440" w:lineRule="exact"/>
        <w:ind w:firstLineChars="1400" w:firstLine="3360"/>
        <w:rPr>
          <w:color w:val="000000" w:themeColor="text1"/>
          <w:sz w:val="24"/>
        </w:rPr>
      </w:pPr>
      <w:r w:rsidRPr="00E224E9">
        <w:rPr>
          <w:color w:val="000000" w:themeColor="text1"/>
          <w:sz w:val="24"/>
        </w:rPr>
        <w:t>A</w:t>
      </w:r>
      <w:r w:rsidRPr="00E224E9">
        <w:rPr>
          <w:rFonts w:hAnsi="標楷體"/>
          <w:color w:val="000000" w:themeColor="text1"/>
          <w:sz w:val="24"/>
        </w:rPr>
        <w:t>：保單預定利率</w:t>
      </w:r>
    </w:p>
    <w:p w14:paraId="12CE6704" w14:textId="77777777" w:rsidR="00065C53" w:rsidRPr="00E224E9" w:rsidRDefault="00065C53">
      <w:pPr>
        <w:pStyle w:val="Layer1"/>
        <w:spacing w:line="440" w:lineRule="exact"/>
        <w:ind w:leftChars="1292" w:left="3779" w:hangingChars="175" w:hanging="420"/>
        <w:rPr>
          <w:rFonts w:hAnsi="標楷體"/>
          <w:color w:val="000000" w:themeColor="text1"/>
          <w:sz w:val="24"/>
        </w:rPr>
      </w:pPr>
      <w:r w:rsidRPr="00E224E9">
        <w:rPr>
          <w:color w:val="000000" w:themeColor="text1"/>
          <w:sz w:val="24"/>
        </w:rPr>
        <w:t>C</w:t>
      </w:r>
      <w:r w:rsidRPr="00E224E9">
        <w:rPr>
          <w:rFonts w:hAnsi="標楷體"/>
          <w:color w:val="000000" w:themeColor="text1"/>
          <w:sz w:val="24"/>
        </w:rPr>
        <w:t>：公司投資報酬率</w:t>
      </w:r>
      <w:r w:rsidRPr="00E224E9">
        <w:rPr>
          <w:rFonts w:hAnsi="標楷體"/>
          <w:color w:val="000000" w:themeColor="text1"/>
          <w:sz w:val="24"/>
        </w:rPr>
        <w:t>(</w:t>
      </w:r>
      <w:r w:rsidRPr="00E224E9">
        <w:rPr>
          <w:rFonts w:hAnsi="標楷體"/>
          <w:color w:val="000000" w:themeColor="text1"/>
          <w:sz w:val="24"/>
        </w:rPr>
        <w:t>分紅保單之所對應之資產部位之</w:t>
      </w:r>
      <w:r w:rsidR="00636E51" w:rsidRPr="00E224E9">
        <w:rPr>
          <w:rFonts w:hAnsi="標楷體" w:hint="eastAsia"/>
          <w:color w:val="000000" w:themeColor="text1"/>
          <w:sz w:val="24"/>
        </w:rPr>
        <w:t>最近</w:t>
      </w:r>
      <w:r w:rsidR="00636E51" w:rsidRPr="00E224E9">
        <w:rPr>
          <w:rFonts w:hAnsi="標楷體" w:hint="eastAsia"/>
          <w:color w:val="000000" w:themeColor="text1"/>
          <w:sz w:val="24"/>
        </w:rPr>
        <w:t>5</w:t>
      </w:r>
      <w:r w:rsidR="00636E51" w:rsidRPr="00E224E9">
        <w:rPr>
          <w:rFonts w:hAnsi="標楷體" w:hint="eastAsia"/>
          <w:color w:val="000000" w:themeColor="text1"/>
          <w:sz w:val="24"/>
        </w:rPr>
        <w:t>年平均</w:t>
      </w:r>
      <w:r w:rsidRPr="00E224E9">
        <w:rPr>
          <w:rFonts w:hAnsi="標楷體"/>
          <w:color w:val="000000" w:themeColor="text1"/>
          <w:sz w:val="24"/>
        </w:rPr>
        <w:t>報酬率</w:t>
      </w:r>
      <w:r w:rsidR="00636E51" w:rsidRPr="00E224E9">
        <w:rPr>
          <w:rFonts w:hAnsi="標楷體" w:hint="eastAsia"/>
          <w:color w:val="000000" w:themeColor="text1"/>
          <w:sz w:val="24"/>
        </w:rPr>
        <w:t>，若專設帳簿設置未滿</w:t>
      </w:r>
      <w:r w:rsidR="00636E51" w:rsidRPr="00E224E9">
        <w:rPr>
          <w:rFonts w:hAnsi="標楷體" w:hint="eastAsia"/>
          <w:color w:val="000000" w:themeColor="text1"/>
          <w:sz w:val="24"/>
        </w:rPr>
        <w:t>5</w:t>
      </w:r>
      <w:r w:rsidR="00636E51" w:rsidRPr="00E224E9">
        <w:rPr>
          <w:rFonts w:hAnsi="標楷體" w:hint="eastAsia"/>
          <w:color w:val="000000" w:themeColor="text1"/>
          <w:sz w:val="24"/>
        </w:rPr>
        <w:t>年，則採設置至今之平均投資報酬率</w:t>
      </w:r>
      <w:r w:rsidRPr="00E224E9">
        <w:rPr>
          <w:rFonts w:hAnsi="標楷體"/>
          <w:color w:val="000000" w:themeColor="text1"/>
          <w:sz w:val="24"/>
        </w:rPr>
        <w:t>)</w:t>
      </w:r>
    </w:p>
    <w:p w14:paraId="1352C57E" w14:textId="77777777" w:rsidR="00065C53" w:rsidRPr="00E224E9" w:rsidRDefault="00065C53" w:rsidP="004373AD">
      <w:pPr>
        <w:pStyle w:val="Layer1"/>
        <w:numPr>
          <w:ilvl w:val="0"/>
          <w:numId w:val="22"/>
        </w:numPr>
        <w:tabs>
          <w:tab w:val="clear" w:pos="2895"/>
          <w:tab w:val="num" w:pos="540"/>
        </w:tabs>
        <w:spacing w:line="440" w:lineRule="exact"/>
        <w:ind w:left="540" w:firstLineChars="0" w:hanging="540"/>
        <w:rPr>
          <w:color w:val="000000" w:themeColor="text1"/>
          <w:sz w:val="24"/>
        </w:rPr>
      </w:pPr>
      <w:r w:rsidRPr="00E224E9">
        <w:rPr>
          <w:rFonts w:hAnsi="標楷體"/>
          <w:color w:val="000000" w:themeColor="text1"/>
          <w:sz w:val="24"/>
        </w:rPr>
        <w:t>不分紅保單</w:t>
      </w:r>
    </w:p>
    <w:p w14:paraId="696F3FB9" w14:textId="77777777" w:rsidR="00065C53" w:rsidRPr="00E224E9" w:rsidRDefault="00122637" w:rsidP="00122637">
      <w:pPr>
        <w:pStyle w:val="Layer1"/>
        <w:spacing w:line="440" w:lineRule="exact"/>
        <w:ind w:firstLineChars="225" w:firstLine="585"/>
        <w:rPr>
          <w:rFonts w:ascii="標楷體" w:hAnsi="標楷體"/>
          <w:color w:val="000000" w:themeColor="text1"/>
          <w:sz w:val="24"/>
        </w:rPr>
      </w:pPr>
      <w:r w:rsidRPr="00E224E9">
        <w:rPr>
          <w:rFonts w:ascii="標楷體" w:hAnsi="標楷體" w:hint="eastAsia"/>
          <w:color w:val="000000" w:themeColor="text1"/>
        </w:rPr>
        <w:t>以</w:t>
      </w:r>
      <w:r w:rsidRPr="00E224E9">
        <w:rPr>
          <w:rFonts w:ascii="標楷體" w:hAnsi="標楷體" w:hint="eastAsia"/>
          <w:color w:val="000000" w:themeColor="text1"/>
          <w:sz w:val="24"/>
        </w:rPr>
        <w:t>保單價值準備金為基礎，乘以保單預定利率與公司投資報酬率兩者間之正利差(若為負利差則以零計算)，即可計算出利率風險之風險資本額。以公式表示如下：</w:t>
      </w:r>
    </w:p>
    <w:p w14:paraId="6BEC8AF3" w14:textId="77777777" w:rsidR="00122637" w:rsidRPr="00E224E9" w:rsidRDefault="00122637" w:rsidP="00122637">
      <w:pPr>
        <w:pStyle w:val="layer11"/>
        <w:spacing w:before="0" w:beforeAutospacing="0" w:after="0" w:afterAutospacing="0" w:line="440" w:lineRule="atLeast"/>
        <w:ind w:firstLine="3360"/>
        <w:rPr>
          <w:rFonts w:ascii="Book Antiqua" w:hAnsi="Book Antiqua"/>
          <w:color w:val="000000" w:themeColor="text1"/>
        </w:rPr>
      </w:pPr>
      <w:r w:rsidRPr="00E224E9">
        <w:rPr>
          <w:rFonts w:ascii="Book Antiqua" w:eastAsia="標楷體" w:hAnsi="Book Antiqua"/>
          <w:color w:val="000000" w:themeColor="text1"/>
        </w:rPr>
        <w:t>R×Max{[A</w:t>
      </w:r>
      <w:r w:rsidRPr="00E224E9">
        <w:rPr>
          <w:rFonts w:ascii="Book Antiqua" w:eastAsia="標楷體" w:hAnsi="Book Antiqua"/>
          <w:color w:val="000000" w:themeColor="text1"/>
        </w:rPr>
        <w:t>－</w:t>
      </w:r>
      <w:r w:rsidRPr="00E224E9">
        <w:rPr>
          <w:rFonts w:ascii="Book Antiqua" w:eastAsia="標楷體" w:hAnsi="Book Antiqua"/>
          <w:color w:val="000000" w:themeColor="text1"/>
        </w:rPr>
        <w:t>C]</w:t>
      </w:r>
      <w:r w:rsidRPr="00E224E9">
        <w:rPr>
          <w:rFonts w:ascii="Book Antiqua" w:eastAsia="標楷體" w:hAnsi="Book Antiqua"/>
          <w:color w:val="000000" w:themeColor="text1"/>
        </w:rPr>
        <w:t>，</w:t>
      </w:r>
      <w:r w:rsidRPr="00E224E9">
        <w:rPr>
          <w:rFonts w:ascii="Book Antiqua" w:eastAsia="標楷體" w:hAnsi="Book Antiqua"/>
          <w:color w:val="000000" w:themeColor="text1"/>
        </w:rPr>
        <w:t>0}</w:t>
      </w:r>
    </w:p>
    <w:p w14:paraId="6C9B77F2" w14:textId="77777777" w:rsidR="00122637" w:rsidRPr="00E224E9" w:rsidRDefault="00122637" w:rsidP="00122637">
      <w:pPr>
        <w:pStyle w:val="layer11"/>
        <w:spacing w:before="0" w:beforeAutospacing="0" w:after="0" w:afterAutospacing="0" w:line="440" w:lineRule="atLeast"/>
        <w:ind w:firstLine="3360"/>
        <w:rPr>
          <w:rFonts w:ascii="Book Antiqua" w:hAnsi="Book Antiqua"/>
          <w:color w:val="000000" w:themeColor="text1"/>
        </w:rPr>
      </w:pPr>
      <w:r w:rsidRPr="00E224E9">
        <w:rPr>
          <w:rFonts w:ascii="Book Antiqua" w:eastAsia="標楷體" w:hAnsi="Book Antiqua"/>
          <w:color w:val="000000" w:themeColor="text1"/>
        </w:rPr>
        <w:t>R</w:t>
      </w:r>
      <w:r w:rsidRPr="00E224E9">
        <w:rPr>
          <w:rFonts w:ascii="Book Antiqua" w:eastAsia="標楷體" w:hAnsi="Book Antiqua"/>
          <w:color w:val="000000" w:themeColor="text1"/>
        </w:rPr>
        <w:t>：保單價值準備金</w:t>
      </w:r>
    </w:p>
    <w:p w14:paraId="23557FDE" w14:textId="77777777" w:rsidR="00122637" w:rsidRPr="00E224E9" w:rsidRDefault="00122637" w:rsidP="00122637">
      <w:pPr>
        <w:pStyle w:val="layer11"/>
        <w:spacing w:before="0" w:beforeAutospacing="0" w:after="0" w:afterAutospacing="0" w:line="440" w:lineRule="atLeast"/>
        <w:ind w:firstLine="3360"/>
        <w:rPr>
          <w:rFonts w:ascii="Book Antiqua" w:hAnsi="Book Antiqua"/>
          <w:color w:val="000000" w:themeColor="text1"/>
        </w:rPr>
      </w:pPr>
      <w:r w:rsidRPr="00E224E9">
        <w:rPr>
          <w:rFonts w:ascii="Book Antiqua" w:eastAsia="標楷體" w:hAnsi="Book Antiqua"/>
          <w:color w:val="000000" w:themeColor="text1"/>
        </w:rPr>
        <w:t>A</w:t>
      </w:r>
      <w:r w:rsidRPr="00E224E9">
        <w:rPr>
          <w:rFonts w:ascii="Book Antiqua" w:eastAsia="標楷體" w:hAnsi="Book Antiqua"/>
          <w:color w:val="000000" w:themeColor="text1"/>
        </w:rPr>
        <w:t>：保單預定利率</w:t>
      </w:r>
    </w:p>
    <w:p w14:paraId="6EF38434" w14:textId="4D3004C1" w:rsidR="00122637" w:rsidRPr="00E224E9" w:rsidRDefault="00122637" w:rsidP="00003F01">
      <w:pPr>
        <w:pStyle w:val="Layer1"/>
        <w:spacing w:line="440" w:lineRule="exact"/>
        <w:ind w:leftChars="1292" w:left="3779" w:hangingChars="175" w:hanging="420"/>
        <w:rPr>
          <w:color w:val="000000" w:themeColor="text1"/>
          <w:sz w:val="24"/>
        </w:rPr>
      </w:pPr>
      <w:r w:rsidRPr="00E224E9">
        <w:rPr>
          <w:color w:val="000000" w:themeColor="text1"/>
          <w:sz w:val="24"/>
        </w:rPr>
        <w:t>C</w:t>
      </w:r>
      <w:r w:rsidRPr="00E224E9">
        <w:rPr>
          <w:color w:val="000000" w:themeColor="text1"/>
          <w:sz w:val="24"/>
        </w:rPr>
        <w:t>：公司投資報酬率</w:t>
      </w:r>
      <w:r w:rsidR="007F27A3" w:rsidRPr="00E224E9">
        <w:rPr>
          <w:rFonts w:ascii="標楷體" w:hAnsi="標楷體" w:hint="eastAsia"/>
          <w:color w:val="000000" w:themeColor="text1"/>
          <w:sz w:val="24"/>
        </w:rPr>
        <w:t>(最近5年平均)</w:t>
      </w:r>
    </w:p>
    <w:p w14:paraId="0F23B31C" w14:textId="77777777" w:rsidR="00065C53" w:rsidRPr="00E224E9" w:rsidRDefault="00065C53">
      <w:pPr>
        <w:pStyle w:val="Layer1"/>
        <w:spacing w:line="440" w:lineRule="exact"/>
        <w:ind w:firstLineChars="1350" w:firstLine="3240"/>
        <w:rPr>
          <w:color w:val="000000" w:themeColor="text1"/>
          <w:sz w:val="24"/>
        </w:rPr>
      </w:pPr>
    </w:p>
    <w:p w14:paraId="679AE228" w14:textId="77777777" w:rsidR="00065C53" w:rsidRPr="00E224E9" w:rsidRDefault="00065C53" w:rsidP="004373AD">
      <w:pPr>
        <w:pStyle w:val="Layer1"/>
        <w:numPr>
          <w:ilvl w:val="0"/>
          <w:numId w:val="22"/>
        </w:numPr>
        <w:tabs>
          <w:tab w:val="clear" w:pos="2895"/>
          <w:tab w:val="num" w:pos="540"/>
        </w:tabs>
        <w:spacing w:line="440" w:lineRule="exact"/>
        <w:ind w:left="540" w:firstLineChars="0" w:hanging="540"/>
        <w:rPr>
          <w:color w:val="000000" w:themeColor="text1"/>
          <w:sz w:val="24"/>
        </w:rPr>
      </w:pPr>
      <w:r w:rsidRPr="00E224E9">
        <w:rPr>
          <w:rFonts w:hAnsi="標楷體"/>
          <w:color w:val="000000" w:themeColor="text1"/>
          <w:sz w:val="24"/>
        </w:rPr>
        <w:t>附保證項目之投資型商品</w:t>
      </w:r>
    </w:p>
    <w:p w14:paraId="3BE30015" w14:textId="5595CE72" w:rsidR="00065C53" w:rsidRPr="00E224E9" w:rsidRDefault="00065C53">
      <w:pPr>
        <w:pStyle w:val="Layer1"/>
        <w:spacing w:line="440" w:lineRule="exact"/>
        <w:ind w:firstLineChars="225" w:firstLine="540"/>
        <w:rPr>
          <w:rFonts w:hAnsi="標楷體"/>
          <w:color w:val="000000" w:themeColor="text1"/>
          <w:sz w:val="24"/>
        </w:rPr>
      </w:pPr>
      <w:r w:rsidRPr="00E224E9">
        <w:rPr>
          <w:rFonts w:hAnsi="標楷體"/>
          <w:color w:val="000000" w:themeColor="text1"/>
          <w:sz w:val="24"/>
        </w:rPr>
        <w:t>凡附有保證項目之投資型商品均需依商品別填列，其計算方法與假設，除了稅前</w:t>
      </w:r>
      <w:r w:rsidRPr="00E224E9">
        <w:rPr>
          <w:rFonts w:hAnsi="標楷體"/>
          <w:color w:val="000000" w:themeColor="text1"/>
          <w:sz w:val="24"/>
        </w:rPr>
        <w:t>(</w:t>
      </w:r>
      <w:r w:rsidRPr="00E224E9">
        <w:rPr>
          <w:rFonts w:hAnsi="標楷體"/>
          <w:color w:val="000000" w:themeColor="text1"/>
          <w:sz w:val="24"/>
        </w:rPr>
        <w:t>稅前基礎計算提存準備金</w:t>
      </w:r>
      <w:r w:rsidRPr="00E224E9">
        <w:rPr>
          <w:rFonts w:hAnsi="標楷體"/>
          <w:color w:val="000000" w:themeColor="text1"/>
          <w:sz w:val="24"/>
        </w:rPr>
        <w:t>)</w:t>
      </w:r>
      <w:r w:rsidRPr="00E224E9">
        <w:rPr>
          <w:rFonts w:hAnsi="標楷體"/>
          <w:color w:val="000000" w:themeColor="text1"/>
          <w:sz w:val="24"/>
        </w:rPr>
        <w:t>、稅後</w:t>
      </w:r>
      <w:r w:rsidRPr="00E224E9">
        <w:rPr>
          <w:rFonts w:hAnsi="標楷體"/>
          <w:color w:val="000000" w:themeColor="text1"/>
          <w:sz w:val="24"/>
        </w:rPr>
        <w:t>(</w:t>
      </w:r>
      <w:r w:rsidRPr="00E224E9">
        <w:rPr>
          <w:rFonts w:hAnsi="標楷體"/>
          <w:color w:val="000000" w:themeColor="text1"/>
          <w:sz w:val="24"/>
        </w:rPr>
        <w:t>風險資本額計算為稅後基礎</w:t>
      </w:r>
      <w:r w:rsidRPr="00E224E9">
        <w:rPr>
          <w:rFonts w:hAnsi="標楷體"/>
          <w:color w:val="000000" w:themeColor="text1"/>
          <w:sz w:val="24"/>
        </w:rPr>
        <w:t>)</w:t>
      </w:r>
      <w:r w:rsidRPr="00E224E9">
        <w:rPr>
          <w:rFonts w:hAnsi="標楷體"/>
          <w:color w:val="000000" w:themeColor="text1"/>
          <w:sz w:val="24"/>
        </w:rPr>
        <w:t>因素考量外，應與簽證精算報告相同。</w:t>
      </w:r>
    </w:p>
    <w:p w14:paraId="6F1DDFED" w14:textId="5E2E1201" w:rsidR="00773100" w:rsidRPr="00E224E9" w:rsidRDefault="008B6208" w:rsidP="004373AD">
      <w:pPr>
        <w:pStyle w:val="Layer1"/>
        <w:numPr>
          <w:ilvl w:val="1"/>
          <w:numId w:val="22"/>
        </w:numPr>
        <w:spacing w:line="440" w:lineRule="exact"/>
        <w:ind w:firstLineChars="0"/>
        <w:rPr>
          <w:color w:val="000000" w:themeColor="text1"/>
          <w:sz w:val="24"/>
        </w:rPr>
      </w:pPr>
      <w:r w:rsidRPr="00E224E9">
        <w:rPr>
          <w:rFonts w:hint="eastAsia"/>
          <w:color w:val="000000" w:themeColor="text1"/>
          <w:sz w:val="24"/>
        </w:rPr>
        <w:t>最低保證給付</w:t>
      </w:r>
    </w:p>
    <w:p w14:paraId="43EFB446" w14:textId="5C40801D" w:rsidR="00F05CAC" w:rsidRPr="00E224E9" w:rsidRDefault="00F05CAC" w:rsidP="00F05CAC">
      <w:pPr>
        <w:pStyle w:val="Layer1"/>
        <w:spacing w:line="440" w:lineRule="exact"/>
        <w:ind w:leftChars="381" w:left="991" w:firstLineChars="0" w:firstLine="427"/>
        <w:rPr>
          <w:color w:val="000000" w:themeColor="text1"/>
          <w:sz w:val="24"/>
        </w:rPr>
      </w:pPr>
      <w:r w:rsidRPr="00E224E9">
        <w:rPr>
          <w:rFonts w:hAnsi="標楷體"/>
          <w:color w:val="000000" w:themeColor="text1"/>
          <w:sz w:val="24"/>
        </w:rPr>
        <w:t>依商品送審提列計算之水準與依</w:t>
      </w:r>
      <w:r w:rsidR="00E92A4F" w:rsidRPr="00E224E9">
        <w:rPr>
          <w:rFonts w:hAnsi="標楷體" w:hint="eastAsia"/>
          <w:color w:val="000000" w:themeColor="text1"/>
          <w:sz w:val="24"/>
        </w:rPr>
        <w:t>稅後</w:t>
      </w:r>
      <w:r w:rsidRPr="00E224E9">
        <w:rPr>
          <w:color w:val="000000" w:themeColor="text1"/>
          <w:sz w:val="24"/>
        </w:rPr>
        <w:t>RBC</w:t>
      </w:r>
      <w:r w:rsidRPr="00E224E9">
        <w:rPr>
          <w:rFonts w:hAnsi="標楷體"/>
          <w:color w:val="000000" w:themeColor="text1"/>
          <w:sz w:val="24"/>
        </w:rPr>
        <w:t>提列之水準</w:t>
      </w:r>
      <w:r w:rsidRPr="00E224E9">
        <w:rPr>
          <w:color w:val="000000" w:themeColor="text1"/>
          <w:sz w:val="24"/>
        </w:rPr>
        <w:t>CTE(9</w:t>
      </w:r>
      <w:r w:rsidR="00F12F0D" w:rsidRPr="00E224E9">
        <w:rPr>
          <w:rFonts w:hint="eastAsia"/>
          <w:color w:val="000000" w:themeColor="text1"/>
          <w:sz w:val="24"/>
        </w:rPr>
        <w:t>8</w:t>
      </w:r>
      <w:r w:rsidRPr="00E224E9">
        <w:rPr>
          <w:color w:val="000000" w:themeColor="text1"/>
          <w:sz w:val="24"/>
        </w:rPr>
        <w:t>)</w:t>
      </w:r>
      <w:r w:rsidR="00F12F0D" w:rsidRPr="00E224E9">
        <w:rPr>
          <w:rFonts w:hint="eastAsia"/>
          <w:color w:val="000000" w:themeColor="text1"/>
          <w:sz w:val="24"/>
        </w:rPr>
        <w:t>加</w:t>
      </w:r>
      <w:r w:rsidR="00FE06D7" w:rsidRPr="00E224E9">
        <w:rPr>
          <w:rFonts w:hint="eastAsia"/>
          <w:color w:val="000000" w:themeColor="text1"/>
          <w:sz w:val="24"/>
        </w:rPr>
        <w:t>稅前</w:t>
      </w:r>
      <w:r w:rsidR="00F12F0D" w:rsidRPr="00E224E9">
        <w:rPr>
          <w:rFonts w:hint="eastAsia"/>
          <w:color w:val="000000" w:themeColor="text1"/>
          <w:sz w:val="24"/>
        </w:rPr>
        <w:t>額外標準預測金額</w:t>
      </w:r>
      <w:r w:rsidRPr="00E224E9">
        <w:rPr>
          <w:rFonts w:hAnsi="標楷體"/>
          <w:color w:val="000000" w:themeColor="text1"/>
          <w:sz w:val="24"/>
        </w:rPr>
        <w:t>比較，取其較大者，再扣除簽證精算報告之提存責任準備金，扣除後之金額</w:t>
      </w:r>
      <w:r w:rsidR="00F12F0D" w:rsidRPr="00E224E9">
        <w:rPr>
          <w:rFonts w:hAnsi="標楷體" w:hint="eastAsia"/>
          <w:color w:val="000000" w:themeColor="text1"/>
          <w:sz w:val="24"/>
        </w:rPr>
        <w:t>再乘上</w:t>
      </w:r>
      <w:r w:rsidR="00F12F0D" w:rsidRPr="00E224E9">
        <w:rPr>
          <w:rFonts w:hAnsi="標楷體" w:hint="eastAsia"/>
          <w:color w:val="000000" w:themeColor="text1"/>
          <w:sz w:val="24"/>
        </w:rPr>
        <w:t>0</w:t>
      </w:r>
      <w:r w:rsidR="00F12F0D" w:rsidRPr="00E224E9">
        <w:rPr>
          <w:rFonts w:hAnsi="標楷體"/>
          <w:color w:val="000000" w:themeColor="text1"/>
          <w:sz w:val="24"/>
        </w:rPr>
        <w:t>.25</w:t>
      </w:r>
      <w:r w:rsidR="00F12F0D" w:rsidRPr="00E224E9">
        <w:rPr>
          <w:rFonts w:hAnsi="標楷體" w:hint="eastAsia"/>
          <w:color w:val="000000" w:themeColor="text1"/>
          <w:sz w:val="24"/>
        </w:rPr>
        <w:t>，</w:t>
      </w:r>
      <w:r w:rsidRPr="00E224E9">
        <w:rPr>
          <w:rFonts w:hAnsi="標楷體"/>
          <w:color w:val="000000" w:themeColor="text1"/>
          <w:sz w:val="24"/>
        </w:rPr>
        <w:t>若為負值則以零計算，即可計算出保證風險之風險資本額。以公式表示如下：</w:t>
      </w:r>
    </w:p>
    <w:p w14:paraId="5DE3B5F3" w14:textId="5D6F82E0" w:rsidR="00F05CAC" w:rsidRPr="00E224E9" w:rsidRDefault="00F05CAC" w:rsidP="00F05CAC">
      <w:pPr>
        <w:pStyle w:val="Layer1"/>
        <w:spacing w:line="440" w:lineRule="exact"/>
        <w:ind w:left="2895" w:firstLineChars="211" w:firstLine="506"/>
        <w:rPr>
          <w:rFonts w:hAnsi="標楷體"/>
          <w:color w:val="000000" w:themeColor="text1"/>
          <w:sz w:val="24"/>
        </w:rPr>
      </w:pPr>
      <w:r w:rsidRPr="00E224E9">
        <w:rPr>
          <w:rFonts w:hAnsi="標楷體"/>
          <w:color w:val="000000" w:themeColor="text1"/>
          <w:sz w:val="24"/>
        </w:rPr>
        <w:t>Max{</w:t>
      </w:r>
      <w:r w:rsidR="00F12F0D" w:rsidRPr="00E224E9">
        <w:rPr>
          <w:rFonts w:hAnsi="標楷體" w:hint="eastAsia"/>
          <w:color w:val="000000" w:themeColor="text1"/>
          <w:sz w:val="24"/>
        </w:rPr>
        <w:t>0</w:t>
      </w:r>
      <w:r w:rsidR="00F12F0D" w:rsidRPr="00E224E9">
        <w:rPr>
          <w:rFonts w:hAnsi="標楷體"/>
          <w:color w:val="000000" w:themeColor="text1"/>
          <w:sz w:val="24"/>
        </w:rPr>
        <w:t>.25</w:t>
      </w:r>
      <w:r w:rsidR="00F12F0D" w:rsidRPr="00E224E9">
        <w:rPr>
          <w:rFonts w:ascii="Book Antiqua" w:hAnsi="Book Antiqua"/>
          <w:color w:val="000000" w:themeColor="text1"/>
        </w:rPr>
        <w:t>×</w:t>
      </w:r>
      <w:r w:rsidR="00F12F0D" w:rsidRPr="00E224E9">
        <w:rPr>
          <w:rFonts w:ascii="Book Antiqua" w:hAnsi="Book Antiqua" w:hint="eastAsia"/>
          <w:color w:val="000000" w:themeColor="text1"/>
        </w:rPr>
        <w:t>[</w:t>
      </w:r>
      <w:r w:rsidRPr="00E224E9">
        <w:rPr>
          <w:rFonts w:hAnsi="標楷體"/>
          <w:color w:val="000000" w:themeColor="text1"/>
          <w:sz w:val="24"/>
        </w:rPr>
        <w:t>Max(A</w:t>
      </w:r>
      <w:r w:rsidRPr="00E224E9">
        <w:rPr>
          <w:rFonts w:hAnsi="標楷體"/>
          <w:color w:val="000000" w:themeColor="text1"/>
          <w:sz w:val="24"/>
        </w:rPr>
        <w:t>，</w:t>
      </w:r>
      <w:r w:rsidRPr="00E224E9">
        <w:rPr>
          <w:rFonts w:hAnsi="標楷體"/>
          <w:color w:val="000000" w:themeColor="text1"/>
          <w:sz w:val="24"/>
        </w:rPr>
        <w:t>B)</w:t>
      </w:r>
      <w:r w:rsidRPr="00E224E9">
        <w:rPr>
          <w:rFonts w:hAnsi="標楷體"/>
          <w:color w:val="000000" w:themeColor="text1"/>
          <w:sz w:val="24"/>
        </w:rPr>
        <w:t>－</w:t>
      </w:r>
      <w:r w:rsidRPr="00E224E9">
        <w:rPr>
          <w:rFonts w:hAnsi="標楷體"/>
          <w:color w:val="000000" w:themeColor="text1"/>
          <w:sz w:val="24"/>
        </w:rPr>
        <w:t>C</w:t>
      </w:r>
      <w:r w:rsidR="00F12F0D" w:rsidRPr="00E224E9">
        <w:rPr>
          <w:rFonts w:hAnsi="標楷體" w:hint="eastAsia"/>
          <w:color w:val="000000" w:themeColor="text1"/>
          <w:sz w:val="24"/>
        </w:rPr>
        <w:t>]</w:t>
      </w:r>
      <w:r w:rsidRPr="00E224E9">
        <w:rPr>
          <w:rFonts w:hAnsi="標楷體"/>
          <w:color w:val="000000" w:themeColor="text1"/>
          <w:sz w:val="24"/>
        </w:rPr>
        <w:t>，</w:t>
      </w:r>
      <w:r w:rsidRPr="00E224E9">
        <w:rPr>
          <w:rFonts w:hAnsi="標楷體"/>
          <w:color w:val="000000" w:themeColor="text1"/>
          <w:sz w:val="24"/>
        </w:rPr>
        <w:t>0}</w:t>
      </w:r>
    </w:p>
    <w:p w14:paraId="03C800ED" w14:textId="77777777" w:rsidR="00F05CAC" w:rsidRPr="00E224E9" w:rsidRDefault="00F05CAC" w:rsidP="00F05CAC">
      <w:pPr>
        <w:pStyle w:val="Layer1"/>
        <w:spacing w:line="440" w:lineRule="exact"/>
        <w:ind w:leftChars="1309" w:left="3684" w:hangingChars="117" w:hanging="281"/>
        <w:rPr>
          <w:color w:val="000000" w:themeColor="text1"/>
          <w:sz w:val="24"/>
        </w:rPr>
      </w:pPr>
      <w:r w:rsidRPr="00E224E9">
        <w:rPr>
          <w:color w:val="000000" w:themeColor="text1"/>
          <w:sz w:val="24"/>
        </w:rPr>
        <w:t>A</w:t>
      </w:r>
      <w:r w:rsidRPr="00E224E9">
        <w:rPr>
          <w:rFonts w:hAnsi="標楷體"/>
          <w:color w:val="000000" w:themeColor="text1"/>
          <w:sz w:val="24"/>
        </w:rPr>
        <w:t>：依商品報局風險資本額提列標準計算之金額。但若送審時無風險資本額提列標準時，則為零。</w:t>
      </w:r>
    </w:p>
    <w:p w14:paraId="2AD828D0" w14:textId="69EA6340" w:rsidR="00F05CAC" w:rsidRPr="00E224E9" w:rsidRDefault="00F05CAC" w:rsidP="00F05CAC">
      <w:pPr>
        <w:pStyle w:val="Layer1"/>
        <w:spacing w:line="440" w:lineRule="exact"/>
        <w:ind w:firstLineChars="1417" w:firstLine="3401"/>
        <w:rPr>
          <w:color w:val="000000" w:themeColor="text1"/>
          <w:sz w:val="24"/>
        </w:rPr>
      </w:pPr>
      <w:r w:rsidRPr="00E224E9">
        <w:rPr>
          <w:color w:val="000000" w:themeColor="text1"/>
          <w:sz w:val="24"/>
        </w:rPr>
        <w:t>B</w:t>
      </w:r>
      <w:r w:rsidRPr="00E224E9">
        <w:rPr>
          <w:rFonts w:hAnsi="標楷體"/>
          <w:color w:val="000000" w:themeColor="text1"/>
          <w:sz w:val="24"/>
        </w:rPr>
        <w:t>：依</w:t>
      </w:r>
      <w:r w:rsidRPr="00E224E9">
        <w:rPr>
          <w:color w:val="000000" w:themeColor="text1"/>
          <w:sz w:val="24"/>
        </w:rPr>
        <w:t>CTE(9</w:t>
      </w:r>
      <w:r w:rsidR="00F12F0D" w:rsidRPr="00E224E9">
        <w:rPr>
          <w:rFonts w:hint="eastAsia"/>
          <w:color w:val="000000" w:themeColor="text1"/>
          <w:sz w:val="24"/>
        </w:rPr>
        <w:t>8</w:t>
      </w:r>
      <w:r w:rsidRPr="00E224E9">
        <w:rPr>
          <w:color w:val="000000" w:themeColor="text1"/>
          <w:sz w:val="24"/>
        </w:rPr>
        <w:t>)</w:t>
      </w:r>
      <w:r w:rsidRPr="00E224E9">
        <w:rPr>
          <w:rFonts w:hAnsi="標楷體"/>
          <w:color w:val="000000" w:themeColor="text1"/>
          <w:sz w:val="24"/>
        </w:rPr>
        <w:t>信賴水準計算之金額</w:t>
      </w:r>
      <w:r w:rsidR="00F12F0D" w:rsidRPr="00E224E9">
        <w:rPr>
          <w:rFonts w:hAnsi="標楷體" w:hint="eastAsia"/>
          <w:color w:val="000000" w:themeColor="text1"/>
          <w:sz w:val="24"/>
        </w:rPr>
        <w:t>+</w:t>
      </w:r>
      <w:r w:rsidR="00F12F0D" w:rsidRPr="00E224E9">
        <w:rPr>
          <w:rFonts w:hAnsi="標楷體" w:hint="eastAsia"/>
          <w:color w:val="000000" w:themeColor="text1"/>
          <w:sz w:val="24"/>
        </w:rPr>
        <w:t>額外標準預測金額</w:t>
      </w:r>
    </w:p>
    <w:p w14:paraId="41A28D8D" w14:textId="77777777" w:rsidR="00F05CAC" w:rsidRPr="00E224E9" w:rsidRDefault="00F05CAC" w:rsidP="00F05CAC">
      <w:pPr>
        <w:pStyle w:val="Layer1"/>
        <w:spacing w:line="440" w:lineRule="exact"/>
        <w:ind w:firstLineChars="1417" w:firstLine="3401"/>
        <w:rPr>
          <w:color w:val="000000" w:themeColor="text1"/>
          <w:sz w:val="24"/>
        </w:rPr>
      </w:pPr>
      <w:r w:rsidRPr="00E224E9">
        <w:rPr>
          <w:color w:val="000000" w:themeColor="text1"/>
          <w:sz w:val="24"/>
        </w:rPr>
        <w:lastRenderedPageBreak/>
        <w:t>C</w:t>
      </w:r>
      <w:r w:rsidRPr="00E224E9">
        <w:rPr>
          <w:rFonts w:hAnsi="標楷體"/>
          <w:color w:val="000000" w:themeColor="text1"/>
          <w:sz w:val="24"/>
        </w:rPr>
        <w:t>：簽證精算報告之責任準備金金額</w:t>
      </w:r>
    </w:p>
    <w:p w14:paraId="00AE58F3" w14:textId="0A59D107" w:rsidR="00F05CAC" w:rsidRPr="00E224E9" w:rsidRDefault="00F05CAC" w:rsidP="004373AD">
      <w:pPr>
        <w:pStyle w:val="Layer1"/>
        <w:numPr>
          <w:ilvl w:val="1"/>
          <w:numId w:val="22"/>
        </w:numPr>
        <w:spacing w:line="440" w:lineRule="exact"/>
        <w:ind w:firstLineChars="0"/>
        <w:rPr>
          <w:color w:val="000000" w:themeColor="text1"/>
          <w:sz w:val="24"/>
        </w:rPr>
      </w:pPr>
      <w:r w:rsidRPr="00E224E9">
        <w:rPr>
          <w:rFonts w:hint="eastAsia"/>
          <w:color w:val="000000" w:themeColor="text1"/>
          <w:sz w:val="24"/>
        </w:rPr>
        <w:t>不停效保證、立即投資選擇及其他附保證之投資型商品</w:t>
      </w:r>
    </w:p>
    <w:p w14:paraId="0E870085" w14:textId="77777777" w:rsidR="00065C53" w:rsidRPr="00E224E9" w:rsidRDefault="00065C53" w:rsidP="00ED3751">
      <w:pPr>
        <w:pStyle w:val="Layer1"/>
        <w:spacing w:line="440" w:lineRule="exact"/>
        <w:ind w:leftChars="381" w:left="991" w:firstLineChars="176" w:firstLine="422"/>
        <w:rPr>
          <w:color w:val="000000" w:themeColor="text1"/>
          <w:sz w:val="24"/>
        </w:rPr>
      </w:pPr>
      <w:r w:rsidRPr="00E224E9">
        <w:rPr>
          <w:rFonts w:hAnsi="標楷體"/>
          <w:color w:val="000000" w:themeColor="text1"/>
          <w:sz w:val="24"/>
        </w:rPr>
        <w:t>依商品送審提列計算之水準與依</w:t>
      </w:r>
      <w:r w:rsidRPr="00E224E9">
        <w:rPr>
          <w:color w:val="000000" w:themeColor="text1"/>
          <w:sz w:val="24"/>
        </w:rPr>
        <w:t>RBC</w:t>
      </w:r>
      <w:r w:rsidRPr="00E224E9">
        <w:rPr>
          <w:rFonts w:hAnsi="標楷體"/>
          <w:color w:val="000000" w:themeColor="text1"/>
          <w:sz w:val="24"/>
        </w:rPr>
        <w:t>提列之水準</w:t>
      </w:r>
      <w:r w:rsidRPr="00E224E9">
        <w:rPr>
          <w:color w:val="000000" w:themeColor="text1"/>
          <w:sz w:val="24"/>
        </w:rPr>
        <w:t>CTE(90)</w:t>
      </w:r>
      <w:r w:rsidRPr="00E224E9">
        <w:rPr>
          <w:rFonts w:hAnsi="標楷體"/>
          <w:color w:val="000000" w:themeColor="text1"/>
          <w:sz w:val="24"/>
        </w:rPr>
        <w:t>比較，取其較大者，再扣除簽證精算報告之提存責任準備金，扣除後之金額若為負值則以零計算，即可計算出保證風險之風險資本額。以公式表示如下：</w:t>
      </w:r>
    </w:p>
    <w:p w14:paraId="6C2BAE74" w14:textId="77777777" w:rsidR="00065C53" w:rsidRPr="00E224E9" w:rsidRDefault="00065C53">
      <w:pPr>
        <w:pStyle w:val="Layer1"/>
        <w:spacing w:line="440" w:lineRule="exact"/>
        <w:ind w:leftChars="1292" w:left="3719" w:hangingChars="150" w:hanging="360"/>
        <w:rPr>
          <w:rFonts w:hAnsi="標楷體"/>
          <w:color w:val="000000" w:themeColor="text1"/>
          <w:sz w:val="24"/>
        </w:rPr>
      </w:pPr>
      <w:r w:rsidRPr="00E224E9">
        <w:rPr>
          <w:rFonts w:hAnsi="標楷體"/>
          <w:color w:val="000000" w:themeColor="text1"/>
          <w:sz w:val="24"/>
        </w:rPr>
        <w:t>Max{Max(A</w:t>
      </w:r>
      <w:r w:rsidRPr="00E224E9">
        <w:rPr>
          <w:rFonts w:hAnsi="標楷體"/>
          <w:color w:val="000000" w:themeColor="text1"/>
          <w:sz w:val="24"/>
        </w:rPr>
        <w:t>，</w:t>
      </w:r>
      <w:r w:rsidRPr="00E224E9">
        <w:rPr>
          <w:rFonts w:hAnsi="標楷體"/>
          <w:color w:val="000000" w:themeColor="text1"/>
          <w:sz w:val="24"/>
        </w:rPr>
        <w:t>B)</w:t>
      </w:r>
      <w:r w:rsidRPr="00E224E9">
        <w:rPr>
          <w:rFonts w:hAnsi="標楷體"/>
          <w:color w:val="000000" w:themeColor="text1"/>
          <w:sz w:val="24"/>
        </w:rPr>
        <w:t>－</w:t>
      </w:r>
      <w:r w:rsidRPr="00E224E9">
        <w:rPr>
          <w:rFonts w:hAnsi="標楷體"/>
          <w:color w:val="000000" w:themeColor="text1"/>
          <w:sz w:val="24"/>
        </w:rPr>
        <w:t>C</w:t>
      </w:r>
      <w:r w:rsidRPr="00E224E9">
        <w:rPr>
          <w:rFonts w:hAnsi="標楷體"/>
          <w:color w:val="000000" w:themeColor="text1"/>
          <w:sz w:val="24"/>
        </w:rPr>
        <w:t>，</w:t>
      </w:r>
      <w:r w:rsidRPr="00E224E9">
        <w:rPr>
          <w:rFonts w:hAnsi="標楷體"/>
          <w:color w:val="000000" w:themeColor="text1"/>
          <w:sz w:val="24"/>
        </w:rPr>
        <w:t>0}</w:t>
      </w:r>
    </w:p>
    <w:p w14:paraId="62D0848F" w14:textId="77777777" w:rsidR="00065C53" w:rsidRPr="00E224E9" w:rsidRDefault="00065C53">
      <w:pPr>
        <w:pStyle w:val="Layer1"/>
        <w:spacing w:line="440" w:lineRule="exact"/>
        <w:ind w:leftChars="1292" w:left="3719" w:hangingChars="150" w:hanging="360"/>
        <w:rPr>
          <w:color w:val="000000" w:themeColor="text1"/>
          <w:sz w:val="24"/>
        </w:rPr>
      </w:pPr>
      <w:r w:rsidRPr="00E224E9">
        <w:rPr>
          <w:color w:val="000000" w:themeColor="text1"/>
          <w:sz w:val="24"/>
        </w:rPr>
        <w:t>A</w:t>
      </w:r>
      <w:r w:rsidRPr="00E224E9">
        <w:rPr>
          <w:rFonts w:hAnsi="標楷體"/>
          <w:color w:val="000000" w:themeColor="text1"/>
          <w:sz w:val="24"/>
        </w:rPr>
        <w:t>：依商品報局風險資本額提列標準計算之金額。但若送審時無風險資本額提列標準時，則為零。</w:t>
      </w:r>
    </w:p>
    <w:p w14:paraId="747A5BDB" w14:textId="77777777" w:rsidR="00065C53" w:rsidRPr="00E224E9" w:rsidRDefault="00065C53">
      <w:pPr>
        <w:pStyle w:val="Layer1"/>
        <w:spacing w:line="440" w:lineRule="exact"/>
        <w:ind w:leftChars="1292" w:left="3719" w:hangingChars="150" w:hanging="360"/>
        <w:rPr>
          <w:color w:val="000000" w:themeColor="text1"/>
          <w:sz w:val="24"/>
        </w:rPr>
      </w:pPr>
      <w:r w:rsidRPr="00E224E9">
        <w:rPr>
          <w:color w:val="000000" w:themeColor="text1"/>
          <w:sz w:val="24"/>
        </w:rPr>
        <w:t>B</w:t>
      </w:r>
      <w:r w:rsidRPr="00E224E9">
        <w:rPr>
          <w:rFonts w:hAnsi="標楷體"/>
          <w:color w:val="000000" w:themeColor="text1"/>
          <w:sz w:val="24"/>
        </w:rPr>
        <w:t>：依</w:t>
      </w:r>
      <w:r w:rsidRPr="00E224E9">
        <w:rPr>
          <w:color w:val="000000" w:themeColor="text1"/>
          <w:sz w:val="24"/>
        </w:rPr>
        <w:t>CTE(90)</w:t>
      </w:r>
      <w:r w:rsidRPr="00E224E9">
        <w:rPr>
          <w:rFonts w:hAnsi="標楷體"/>
          <w:color w:val="000000" w:themeColor="text1"/>
          <w:sz w:val="24"/>
        </w:rPr>
        <w:t>信賴水準計算之金額</w:t>
      </w:r>
    </w:p>
    <w:p w14:paraId="1522CEB5" w14:textId="77777777" w:rsidR="00065C53" w:rsidRPr="00E224E9" w:rsidRDefault="00065C53">
      <w:pPr>
        <w:pStyle w:val="Layer1"/>
        <w:spacing w:line="440" w:lineRule="exact"/>
        <w:ind w:leftChars="1292" w:left="3719" w:hangingChars="150" w:hanging="360"/>
        <w:rPr>
          <w:color w:val="000000" w:themeColor="text1"/>
          <w:sz w:val="24"/>
        </w:rPr>
      </w:pPr>
      <w:r w:rsidRPr="00E224E9">
        <w:rPr>
          <w:color w:val="000000" w:themeColor="text1"/>
          <w:sz w:val="24"/>
        </w:rPr>
        <w:t>C</w:t>
      </w:r>
      <w:r w:rsidRPr="00E224E9">
        <w:rPr>
          <w:rFonts w:hAnsi="標楷體"/>
          <w:color w:val="000000" w:themeColor="text1"/>
          <w:sz w:val="24"/>
        </w:rPr>
        <w:t>：簽證精算報告之責任準備金金額</w:t>
      </w:r>
    </w:p>
    <w:p w14:paraId="7360A9D4" w14:textId="77777777" w:rsidR="00065C53" w:rsidRPr="00E224E9" w:rsidRDefault="00065C53">
      <w:pPr>
        <w:pStyle w:val="Layer1"/>
        <w:spacing w:line="440" w:lineRule="exact"/>
        <w:ind w:left="1560" w:firstLineChars="0" w:firstLine="0"/>
        <w:rPr>
          <w:color w:val="000000" w:themeColor="text1"/>
          <w:sz w:val="24"/>
        </w:rPr>
      </w:pPr>
    </w:p>
    <w:p w14:paraId="5E600D12" w14:textId="61376B68" w:rsidR="00065C53" w:rsidRPr="00E224E9" w:rsidRDefault="001B2F38" w:rsidP="004373AD">
      <w:pPr>
        <w:pStyle w:val="Layer1"/>
        <w:numPr>
          <w:ilvl w:val="0"/>
          <w:numId w:val="22"/>
        </w:numPr>
        <w:tabs>
          <w:tab w:val="clear" w:pos="2895"/>
          <w:tab w:val="left" w:pos="540"/>
        </w:tabs>
        <w:spacing w:line="440" w:lineRule="exact"/>
        <w:ind w:left="540" w:firstLineChars="0" w:hanging="540"/>
        <w:rPr>
          <w:rFonts w:hAnsi="標楷體"/>
          <w:color w:val="000000" w:themeColor="text1"/>
          <w:sz w:val="24"/>
        </w:rPr>
      </w:pPr>
      <w:r w:rsidRPr="00E224E9">
        <w:rPr>
          <w:rFonts w:hAnsi="標楷體" w:hint="eastAsia"/>
          <w:color w:val="000000" w:themeColor="text1"/>
          <w:sz w:val="24"/>
        </w:rPr>
        <w:t>1</w:t>
      </w:r>
      <w:r w:rsidR="00CE5AE1" w:rsidRPr="00E224E9">
        <w:rPr>
          <w:rFonts w:hAnsi="標楷體" w:hint="eastAsia"/>
          <w:color w:val="000000" w:themeColor="text1"/>
          <w:sz w:val="24"/>
        </w:rPr>
        <w:t>1</w:t>
      </w:r>
      <w:r w:rsidR="00CE5AE1" w:rsidRPr="00E224E9">
        <w:rPr>
          <w:rFonts w:hAnsi="標楷體"/>
          <w:color w:val="000000" w:themeColor="text1"/>
          <w:sz w:val="24"/>
        </w:rPr>
        <w:t>0</w:t>
      </w:r>
      <w:r w:rsidR="00065C53" w:rsidRPr="00E224E9">
        <w:rPr>
          <w:rFonts w:hAnsi="標楷體" w:hint="eastAsia"/>
          <w:color w:val="000000" w:themeColor="text1"/>
          <w:sz w:val="24"/>
        </w:rPr>
        <w:t>年度起</w:t>
      </w:r>
      <w:r w:rsidR="006B692B" w:rsidRPr="00E224E9">
        <w:rPr>
          <w:rFonts w:hAnsi="標楷體" w:hint="eastAsia"/>
          <w:color w:val="000000" w:themeColor="text1"/>
          <w:sz w:val="24"/>
        </w:rPr>
        <w:t>除</w:t>
      </w:r>
      <w:r w:rsidR="00065C53" w:rsidRPr="00E224E9">
        <w:rPr>
          <w:rFonts w:hAnsi="標楷體" w:hint="eastAsia"/>
          <w:color w:val="000000" w:themeColor="text1"/>
          <w:sz w:val="24"/>
        </w:rPr>
        <w:t>投資型商品以外之所有商品</w:t>
      </w:r>
      <w:r w:rsidR="00065C53" w:rsidRPr="00E224E9">
        <w:rPr>
          <w:rFonts w:hAnsi="標楷體"/>
          <w:color w:val="000000" w:themeColor="text1"/>
          <w:sz w:val="24"/>
        </w:rPr>
        <w:t>C3</w:t>
      </w:r>
      <w:r w:rsidR="00065C53" w:rsidRPr="00E224E9">
        <w:rPr>
          <w:rFonts w:hAnsi="標楷體"/>
          <w:color w:val="000000" w:themeColor="text1"/>
          <w:sz w:val="24"/>
        </w:rPr>
        <w:t>利率風險</w:t>
      </w:r>
      <w:r w:rsidR="00065C53" w:rsidRPr="00E224E9">
        <w:rPr>
          <w:rFonts w:hAnsi="標楷體" w:hint="eastAsia"/>
          <w:color w:val="000000" w:themeColor="text1"/>
          <w:sz w:val="24"/>
        </w:rPr>
        <w:t>調整方式</w:t>
      </w:r>
      <w:r w:rsidR="00065C53" w:rsidRPr="00E224E9">
        <w:rPr>
          <w:rFonts w:hAnsi="標楷體"/>
          <w:color w:val="000000" w:themeColor="text1"/>
          <w:sz w:val="24"/>
        </w:rPr>
        <w:t>：</w:t>
      </w:r>
    </w:p>
    <w:p w14:paraId="54ADB65F" w14:textId="77777777" w:rsidR="00971545" w:rsidRPr="00E224E9" w:rsidRDefault="00646A5A" w:rsidP="00CE5AE1">
      <w:pPr>
        <w:pStyle w:val="Layer1"/>
        <w:spacing w:line="440" w:lineRule="exact"/>
        <w:ind w:firstLineChars="225" w:firstLine="540"/>
        <w:rPr>
          <w:rFonts w:hAnsi="標楷體"/>
          <w:color w:val="000000" w:themeColor="text1"/>
          <w:sz w:val="24"/>
        </w:rPr>
      </w:pPr>
      <w:r w:rsidRPr="00E224E9">
        <w:rPr>
          <w:rFonts w:hAnsi="標楷體" w:hint="eastAsia"/>
          <w:color w:val="000000" w:themeColor="text1"/>
          <w:sz w:val="24"/>
        </w:rPr>
        <w:t>除投資型商品以外之所有商品</w:t>
      </w:r>
      <w:r w:rsidR="00065C53" w:rsidRPr="00E224E9">
        <w:rPr>
          <w:rFonts w:hAnsi="標楷體"/>
          <w:color w:val="000000" w:themeColor="text1"/>
          <w:sz w:val="24"/>
        </w:rPr>
        <w:t>C3</w:t>
      </w:r>
      <w:r w:rsidR="00065C53" w:rsidRPr="00E224E9">
        <w:rPr>
          <w:rFonts w:hAnsi="標楷體" w:hint="eastAsia"/>
          <w:color w:val="000000" w:themeColor="text1"/>
          <w:sz w:val="24"/>
        </w:rPr>
        <w:t>調整後之</w:t>
      </w:r>
      <w:r w:rsidR="00065C53" w:rsidRPr="00E224E9">
        <w:rPr>
          <w:rFonts w:hAnsi="標楷體"/>
          <w:color w:val="000000" w:themeColor="text1"/>
          <w:sz w:val="24"/>
        </w:rPr>
        <w:t>風險資本額總計</w:t>
      </w:r>
      <w:r w:rsidR="00065C53" w:rsidRPr="00E224E9">
        <w:rPr>
          <w:rFonts w:hAnsi="標楷體"/>
          <w:color w:val="000000" w:themeColor="text1"/>
          <w:sz w:val="24"/>
        </w:rPr>
        <w:t>=</w:t>
      </w:r>
      <w:r w:rsidR="00CE5AE1" w:rsidRPr="00E224E9">
        <w:rPr>
          <w:rFonts w:hint="eastAsia"/>
          <w:color w:val="000000" w:themeColor="text1"/>
          <w:sz w:val="24"/>
        </w:rPr>
        <w:t xml:space="preserve"> </w:t>
      </w:r>
      <w:r w:rsidR="00CE5AE1" w:rsidRPr="00E224E9">
        <w:rPr>
          <w:rFonts w:hAnsi="標楷體" w:hint="eastAsia"/>
          <w:color w:val="000000" w:themeColor="text1"/>
          <w:sz w:val="24"/>
        </w:rPr>
        <w:t>min</w:t>
      </w:r>
      <w:r w:rsidR="006D2E99" w:rsidRPr="00E224E9">
        <w:rPr>
          <w:color w:val="000000" w:themeColor="text1"/>
          <w:sz w:val="24"/>
        </w:rPr>
        <w:t>{[</w:t>
      </w:r>
      <w:r w:rsidR="00CE5AE1" w:rsidRPr="00E224E9">
        <w:rPr>
          <w:rFonts w:hAnsi="標楷體" w:hint="eastAsia"/>
          <w:color w:val="000000" w:themeColor="text1"/>
          <w:sz w:val="24"/>
        </w:rPr>
        <w:t>依一年期利差</w:t>
      </w:r>
      <w:r w:rsidR="00971545" w:rsidRPr="00E224E9">
        <w:rPr>
          <w:rFonts w:hAnsi="標楷體" w:hint="eastAsia"/>
          <w:color w:val="000000" w:themeColor="text1"/>
          <w:sz w:val="24"/>
        </w:rPr>
        <w:t>損</w:t>
      </w:r>
      <w:r w:rsidR="00CE5AE1" w:rsidRPr="00E224E9">
        <w:rPr>
          <w:rFonts w:hAnsi="標楷體" w:hint="eastAsia"/>
          <w:color w:val="000000" w:themeColor="text1"/>
          <w:sz w:val="24"/>
        </w:rPr>
        <w:t>方式計算利率風險資本</w:t>
      </w:r>
      <w:r w:rsidR="00CE5AE1" w:rsidRPr="00E224E9">
        <w:rPr>
          <w:rFonts w:hAnsi="標楷體" w:hint="eastAsia"/>
          <w:color w:val="000000" w:themeColor="text1"/>
          <w:sz w:val="24"/>
        </w:rPr>
        <w:t>+(x+y)</w:t>
      </w:r>
      <w:r w:rsidR="00CE5AE1" w:rsidRPr="00E224E9">
        <w:rPr>
          <w:rFonts w:hAnsi="標楷體" w:hint="eastAsia"/>
          <w:color w:val="000000" w:themeColor="text1"/>
          <w:sz w:val="24"/>
        </w:rPr>
        <w:t>倍×</w:t>
      </w:r>
      <w:r w:rsidR="006D2E99" w:rsidRPr="00E224E9">
        <w:rPr>
          <w:rFonts w:hAnsi="標楷體" w:hint="eastAsia"/>
          <w:color w:val="000000" w:themeColor="text1"/>
          <w:sz w:val="24"/>
        </w:rPr>
        <w:t>max(</w:t>
      </w:r>
      <w:r w:rsidR="006D2E99" w:rsidRPr="00E224E9">
        <w:rPr>
          <w:rFonts w:hAnsi="標楷體" w:hint="eastAsia"/>
          <w:color w:val="000000" w:themeColor="text1"/>
          <w:sz w:val="24"/>
        </w:rPr>
        <w:t>最近五年底調整後利率風險資本</w:t>
      </w:r>
      <w:r w:rsidR="006D2E99" w:rsidRPr="00E224E9">
        <w:rPr>
          <w:rFonts w:hAnsi="標楷體" w:hint="eastAsia"/>
          <w:color w:val="000000" w:themeColor="text1"/>
          <w:sz w:val="24"/>
        </w:rPr>
        <w:t>)]</w:t>
      </w:r>
      <w:r w:rsidR="00CE5AE1" w:rsidRPr="00E224E9">
        <w:rPr>
          <w:rFonts w:hAnsi="標楷體" w:hint="eastAsia"/>
          <w:color w:val="000000" w:themeColor="text1"/>
          <w:sz w:val="24"/>
        </w:rPr>
        <w:t>，</w:t>
      </w:r>
      <w:r w:rsidR="00CE5AE1" w:rsidRPr="00E224E9">
        <w:rPr>
          <w:rFonts w:hAnsi="標楷體" w:hint="eastAsia"/>
          <w:color w:val="000000" w:themeColor="text1"/>
          <w:sz w:val="24"/>
        </w:rPr>
        <w:t>ICS</w:t>
      </w:r>
      <w:r w:rsidR="00CE5AE1" w:rsidRPr="00E224E9">
        <w:rPr>
          <w:rFonts w:hAnsi="標楷體" w:hint="eastAsia"/>
          <w:color w:val="000000" w:themeColor="text1"/>
          <w:sz w:val="24"/>
        </w:rPr>
        <w:t>利率風險資本</w:t>
      </w:r>
      <w:r w:rsidR="006D2E99" w:rsidRPr="00E224E9">
        <w:rPr>
          <w:color w:val="000000" w:themeColor="text1"/>
          <w:sz w:val="24"/>
        </w:rPr>
        <w:t>}</w:t>
      </w:r>
      <w:r w:rsidR="00971545" w:rsidRPr="00E224E9">
        <w:rPr>
          <w:rFonts w:hAnsi="標楷體" w:hint="eastAsia"/>
          <w:color w:val="000000" w:themeColor="text1"/>
          <w:sz w:val="24"/>
        </w:rPr>
        <w:t>。</w:t>
      </w:r>
    </w:p>
    <w:p w14:paraId="37F642C5" w14:textId="61334C81" w:rsidR="00B55BDE" w:rsidRPr="00E224E9" w:rsidRDefault="002174AC" w:rsidP="00CE5AE1">
      <w:pPr>
        <w:pStyle w:val="Layer1"/>
        <w:spacing w:line="440" w:lineRule="exact"/>
        <w:ind w:firstLineChars="225" w:firstLine="540"/>
        <w:rPr>
          <w:rFonts w:hAnsi="標楷體"/>
          <w:color w:val="000000" w:themeColor="text1"/>
          <w:sz w:val="24"/>
        </w:rPr>
      </w:pPr>
      <w:r w:rsidRPr="00E224E9">
        <w:rPr>
          <w:rFonts w:hAnsi="標楷體" w:hint="eastAsia"/>
          <w:color w:val="000000" w:themeColor="text1"/>
          <w:sz w:val="24"/>
        </w:rPr>
        <w:t>最近五年底調整後利率風險資本，得將失效或終止之保單予以排除計算；另最近五年中曾有移轉傳統型保單業務者，亦得比照失效或終止之保單予以排除計算。</w:t>
      </w:r>
    </w:p>
    <w:p w14:paraId="030203D0" w14:textId="43E7FBE7" w:rsidR="00971545" w:rsidRPr="00E224E9" w:rsidRDefault="00971545" w:rsidP="00CE5AE1">
      <w:pPr>
        <w:pStyle w:val="Layer1"/>
        <w:spacing w:line="440" w:lineRule="exact"/>
        <w:ind w:firstLineChars="225" w:firstLine="540"/>
        <w:rPr>
          <w:rFonts w:hAnsi="標楷體"/>
          <w:color w:val="000000" w:themeColor="text1"/>
          <w:sz w:val="24"/>
        </w:rPr>
      </w:pPr>
      <w:r w:rsidRPr="00E224E9">
        <w:rPr>
          <w:rFonts w:hAnsi="標楷體" w:hint="eastAsia"/>
          <w:color w:val="000000" w:themeColor="text1"/>
          <w:sz w:val="24"/>
        </w:rPr>
        <w:t>ICS</w:t>
      </w:r>
      <w:r w:rsidRPr="00E224E9">
        <w:rPr>
          <w:rFonts w:hAnsi="標楷體" w:hint="eastAsia"/>
          <w:color w:val="000000" w:themeColor="text1"/>
          <w:sz w:val="24"/>
        </w:rPr>
        <w:t>利率風險資本，以評價時點最近一次</w:t>
      </w:r>
      <w:r w:rsidRPr="00E224E9">
        <w:rPr>
          <w:rFonts w:hAnsi="標楷體" w:hint="eastAsia"/>
          <w:color w:val="000000" w:themeColor="text1"/>
          <w:sz w:val="24"/>
        </w:rPr>
        <w:t>ICS</w:t>
      </w:r>
      <w:r w:rsidRPr="00E224E9">
        <w:rPr>
          <w:rFonts w:hAnsi="標楷體" w:hint="eastAsia"/>
          <w:color w:val="000000" w:themeColor="text1"/>
          <w:sz w:val="24"/>
        </w:rPr>
        <w:t>在地試算或平行測試結果辦理</w:t>
      </w:r>
      <w:r w:rsidR="00C93B26" w:rsidRPr="00E224E9">
        <w:rPr>
          <w:rFonts w:hAnsi="標楷體" w:hint="eastAsia"/>
          <w:color w:val="000000" w:themeColor="text1"/>
          <w:sz w:val="24"/>
        </w:rPr>
        <w:t>。</w:t>
      </w:r>
      <w:r w:rsidR="0049313A" w:rsidRPr="00E224E9">
        <w:rPr>
          <w:rFonts w:hAnsi="標楷體" w:hint="eastAsia"/>
          <w:color w:val="000000" w:themeColor="text1"/>
          <w:sz w:val="24"/>
        </w:rPr>
        <w:t>其中，</w:t>
      </w:r>
      <w:r w:rsidR="0049313A" w:rsidRPr="00E224E9">
        <w:rPr>
          <w:rFonts w:hAnsi="標楷體" w:hint="eastAsia"/>
          <w:color w:val="000000" w:themeColor="text1"/>
          <w:sz w:val="24"/>
        </w:rPr>
        <w:t>113</w:t>
      </w:r>
      <w:r w:rsidR="0049313A" w:rsidRPr="00E224E9">
        <w:rPr>
          <w:rFonts w:hAnsi="標楷體" w:hint="eastAsia"/>
          <w:color w:val="000000" w:themeColor="text1"/>
          <w:sz w:val="24"/>
        </w:rPr>
        <w:t>年</w:t>
      </w:r>
      <w:r w:rsidR="0049313A" w:rsidRPr="00E224E9">
        <w:rPr>
          <w:rFonts w:hAnsi="標楷體" w:hint="eastAsia"/>
          <w:color w:val="000000" w:themeColor="text1"/>
          <w:sz w:val="24"/>
        </w:rPr>
        <w:t>12</w:t>
      </w:r>
      <w:r w:rsidR="0049313A" w:rsidRPr="00E224E9">
        <w:rPr>
          <w:rFonts w:hAnsi="標楷體" w:hint="eastAsia"/>
          <w:color w:val="000000" w:themeColor="text1"/>
          <w:sz w:val="24"/>
        </w:rPr>
        <w:t>月</w:t>
      </w:r>
      <w:r w:rsidR="0049313A" w:rsidRPr="00E224E9">
        <w:rPr>
          <w:rFonts w:hAnsi="標楷體" w:hint="eastAsia"/>
          <w:color w:val="000000" w:themeColor="text1"/>
          <w:sz w:val="24"/>
        </w:rPr>
        <w:t>RBC</w:t>
      </w:r>
      <w:r w:rsidR="0049313A" w:rsidRPr="00E224E9">
        <w:rPr>
          <w:rFonts w:hAnsi="標楷體" w:hint="eastAsia"/>
          <w:color w:val="000000" w:themeColor="text1"/>
          <w:sz w:val="24"/>
        </w:rPr>
        <w:t>填報所用之「最近一次</w:t>
      </w:r>
      <w:r w:rsidR="0049313A" w:rsidRPr="00E224E9">
        <w:rPr>
          <w:rFonts w:hAnsi="標楷體" w:hint="eastAsia"/>
          <w:color w:val="000000" w:themeColor="text1"/>
          <w:sz w:val="24"/>
        </w:rPr>
        <w:t>ICS</w:t>
      </w:r>
      <w:r w:rsidR="0049313A" w:rsidRPr="00E224E9">
        <w:rPr>
          <w:rFonts w:hAnsi="標楷體" w:hint="eastAsia"/>
          <w:color w:val="000000" w:themeColor="text1"/>
          <w:sz w:val="24"/>
        </w:rPr>
        <w:t>在地試算或平行測試結果」之評價日為</w:t>
      </w:r>
      <w:r w:rsidR="0049313A" w:rsidRPr="00E224E9">
        <w:rPr>
          <w:rFonts w:hAnsi="標楷體" w:hint="eastAsia"/>
          <w:color w:val="000000" w:themeColor="text1"/>
          <w:sz w:val="24"/>
        </w:rPr>
        <w:t>112</w:t>
      </w:r>
      <w:r w:rsidR="0049313A" w:rsidRPr="00E224E9">
        <w:rPr>
          <w:rFonts w:hAnsi="標楷體" w:hint="eastAsia"/>
          <w:color w:val="000000" w:themeColor="text1"/>
          <w:sz w:val="24"/>
        </w:rPr>
        <w:t>年</w:t>
      </w:r>
      <w:r w:rsidR="0049313A" w:rsidRPr="00E224E9">
        <w:rPr>
          <w:rFonts w:hAnsi="標楷體" w:hint="eastAsia"/>
          <w:color w:val="000000" w:themeColor="text1"/>
          <w:sz w:val="24"/>
        </w:rPr>
        <w:t>12</w:t>
      </w:r>
      <w:r w:rsidR="0049313A" w:rsidRPr="00E224E9">
        <w:rPr>
          <w:rFonts w:hAnsi="標楷體" w:hint="eastAsia"/>
          <w:color w:val="000000" w:themeColor="text1"/>
          <w:sz w:val="24"/>
        </w:rPr>
        <w:t>月</w:t>
      </w:r>
      <w:r w:rsidR="00D26A7A">
        <w:rPr>
          <w:rFonts w:hAnsi="標楷體" w:hint="eastAsia"/>
          <w:color w:val="000000" w:themeColor="text1"/>
          <w:sz w:val="24"/>
        </w:rPr>
        <w:t>；</w:t>
      </w:r>
      <w:r w:rsidR="00D26A7A" w:rsidRPr="004D5D28">
        <w:rPr>
          <w:rFonts w:hAnsi="標楷體"/>
          <w:color w:val="EE0000"/>
          <w:sz w:val="24"/>
        </w:rPr>
        <w:t>114</w:t>
      </w:r>
      <w:r w:rsidR="00D26A7A" w:rsidRPr="004D5D28">
        <w:rPr>
          <w:rFonts w:hAnsi="標楷體" w:hint="eastAsia"/>
          <w:color w:val="EE0000"/>
          <w:sz w:val="24"/>
        </w:rPr>
        <w:t>年</w:t>
      </w:r>
      <w:r w:rsidR="00D26A7A" w:rsidRPr="004D5D28">
        <w:rPr>
          <w:rFonts w:hAnsi="標楷體"/>
          <w:color w:val="EE0000"/>
          <w:sz w:val="24"/>
        </w:rPr>
        <w:t>6</w:t>
      </w:r>
      <w:r w:rsidR="00D26A7A" w:rsidRPr="004D5D28">
        <w:rPr>
          <w:rFonts w:hAnsi="標楷體" w:hint="eastAsia"/>
          <w:color w:val="EE0000"/>
          <w:sz w:val="24"/>
        </w:rPr>
        <w:t>月</w:t>
      </w:r>
      <w:r w:rsidR="00D26A7A" w:rsidRPr="004D5D28">
        <w:rPr>
          <w:rFonts w:hAnsi="標楷體"/>
          <w:color w:val="EE0000"/>
          <w:sz w:val="24"/>
        </w:rPr>
        <w:t>RBC</w:t>
      </w:r>
      <w:r w:rsidR="00D26A7A" w:rsidRPr="004D5D28">
        <w:rPr>
          <w:rFonts w:hAnsi="標楷體" w:hint="eastAsia"/>
          <w:color w:val="EE0000"/>
          <w:sz w:val="24"/>
        </w:rPr>
        <w:t>填報所用之「最近一次</w:t>
      </w:r>
      <w:r w:rsidR="00D26A7A" w:rsidRPr="004D5D28">
        <w:rPr>
          <w:rFonts w:hAnsi="標楷體"/>
          <w:color w:val="EE0000"/>
          <w:sz w:val="24"/>
        </w:rPr>
        <w:t>ICS</w:t>
      </w:r>
      <w:r w:rsidR="00D26A7A" w:rsidRPr="004D5D28">
        <w:rPr>
          <w:rFonts w:hAnsi="標楷體" w:hint="eastAsia"/>
          <w:color w:val="EE0000"/>
          <w:sz w:val="24"/>
        </w:rPr>
        <w:t>在地試算或平行測試結果」為</w:t>
      </w:r>
      <w:r w:rsidR="00D26A7A" w:rsidRPr="004D5D28">
        <w:rPr>
          <w:rFonts w:hAnsi="標楷體"/>
          <w:color w:val="EE0000"/>
          <w:sz w:val="24"/>
        </w:rPr>
        <w:t>ICS QIS2025</w:t>
      </w:r>
      <w:r w:rsidR="00D26A7A">
        <w:rPr>
          <w:rFonts w:hAnsi="標楷體" w:hint="eastAsia"/>
          <w:color w:val="EE0000"/>
          <w:sz w:val="24"/>
        </w:rPr>
        <w:t>(</w:t>
      </w:r>
      <w:r w:rsidR="00D26A7A">
        <w:rPr>
          <w:rFonts w:hAnsi="標楷體" w:hint="eastAsia"/>
          <w:color w:val="EE0000"/>
          <w:sz w:val="24"/>
        </w:rPr>
        <w:t>評價日</w:t>
      </w:r>
      <w:r w:rsidR="00D26A7A">
        <w:rPr>
          <w:rFonts w:hAnsi="標楷體" w:hint="eastAsia"/>
          <w:color w:val="EE0000"/>
          <w:sz w:val="24"/>
        </w:rPr>
        <w:t>113</w:t>
      </w:r>
      <w:r w:rsidR="00D26A7A">
        <w:rPr>
          <w:rFonts w:hAnsi="標楷體" w:hint="eastAsia"/>
          <w:color w:val="EE0000"/>
          <w:sz w:val="24"/>
        </w:rPr>
        <w:t>年</w:t>
      </w:r>
      <w:r w:rsidR="00D26A7A">
        <w:rPr>
          <w:rFonts w:hAnsi="標楷體" w:hint="eastAsia"/>
          <w:color w:val="EE0000"/>
          <w:sz w:val="24"/>
        </w:rPr>
        <w:t>12</w:t>
      </w:r>
      <w:r w:rsidR="00D26A7A">
        <w:rPr>
          <w:rFonts w:hAnsi="標楷體" w:hint="eastAsia"/>
          <w:color w:val="EE0000"/>
          <w:sz w:val="24"/>
        </w:rPr>
        <w:t>月</w:t>
      </w:r>
      <w:r w:rsidR="00D26A7A">
        <w:rPr>
          <w:rFonts w:hAnsi="標楷體" w:hint="eastAsia"/>
          <w:color w:val="EE0000"/>
          <w:sz w:val="24"/>
        </w:rPr>
        <w:t>)</w:t>
      </w:r>
      <w:r w:rsidR="00D26A7A" w:rsidRPr="004D5D28">
        <w:rPr>
          <w:rFonts w:hAnsi="標楷體" w:hint="eastAsia"/>
          <w:color w:val="EE0000"/>
          <w:sz w:val="24"/>
        </w:rPr>
        <w:t>的情境</w:t>
      </w:r>
      <w:r w:rsidR="00D26A7A" w:rsidRPr="004D5D28">
        <w:rPr>
          <w:rFonts w:hAnsi="標楷體"/>
          <w:color w:val="EE0000"/>
          <w:sz w:val="24"/>
        </w:rPr>
        <w:t>1</w:t>
      </w:r>
      <w:r w:rsidR="00D26A7A" w:rsidRPr="004D5D28">
        <w:rPr>
          <w:rFonts w:hAnsi="標楷體" w:hint="eastAsia"/>
          <w:color w:val="EE0000"/>
          <w:sz w:val="24"/>
        </w:rPr>
        <w:t>結果。</w:t>
      </w:r>
    </w:p>
    <w:p w14:paraId="754FE31D" w14:textId="273A4F54" w:rsidR="00065C53" w:rsidRPr="00E224E9" w:rsidRDefault="006D2E99" w:rsidP="00CE5AE1">
      <w:pPr>
        <w:pStyle w:val="Layer1"/>
        <w:spacing w:line="440" w:lineRule="exact"/>
        <w:ind w:firstLineChars="225" w:firstLine="540"/>
        <w:rPr>
          <w:rFonts w:hAnsi="標楷體"/>
          <w:color w:val="000000" w:themeColor="text1"/>
          <w:sz w:val="24"/>
        </w:rPr>
      </w:pPr>
      <w:r w:rsidRPr="00E224E9">
        <w:rPr>
          <w:rFonts w:hAnsi="標楷體" w:hint="eastAsia"/>
          <w:color w:val="000000" w:themeColor="text1"/>
          <w:sz w:val="24"/>
        </w:rPr>
        <w:t>適用之</w:t>
      </w:r>
      <w:r w:rsidRPr="00E224E9">
        <w:rPr>
          <w:rFonts w:hAnsi="標楷體" w:hint="eastAsia"/>
          <w:color w:val="000000" w:themeColor="text1"/>
          <w:sz w:val="24"/>
        </w:rPr>
        <w:t>x</w:t>
      </w:r>
      <w:r w:rsidRPr="00E224E9">
        <w:rPr>
          <w:rFonts w:hAnsi="標楷體" w:hint="eastAsia"/>
          <w:color w:val="000000" w:themeColor="text1"/>
          <w:sz w:val="24"/>
        </w:rPr>
        <w:t>倍表及</w:t>
      </w:r>
      <w:r w:rsidRPr="00E224E9">
        <w:rPr>
          <w:rFonts w:hAnsi="標楷體" w:hint="eastAsia"/>
          <w:color w:val="000000" w:themeColor="text1"/>
          <w:sz w:val="24"/>
        </w:rPr>
        <w:t>y</w:t>
      </w:r>
      <w:r w:rsidRPr="00E224E9">
        <w:rPr>
          <w:rFonts w:hAnsi="標楷體" w:hint="eastAsia"/>
          <w:color w:val="000000" w:themeColor="text1"/>
          <w:sz w:val="24"/>
        </w:rPr>
        <w:t>倍表如下：</w:t>
      </w:r>
    </w:p>
    <w:p w14:paraId="2E692ACA" w14:textId="0D23E9D1" w:rsidR="00CE5AE1" w:rsidRPr="00E224E9" w:rsidRDefault="00CE5AE1" w:rsidP="004373AD">
      <w:pPr>
        <w:pStyle w:val="aff0"/>
        <w:numPr>
          <w:ilvl w:val="1"/>
          <w:numId w:val="13"/>
        </w:numPr>
        <w:spacing w:line="480" w:lineRule="exact"/>
        <w:ind w:leftChars="0"/>
        <w:jc w:val="both"/>
        <w:rPr>
          <w:rFonts w:ascii="標楷體" w:eastAsia="標楷體" w:hAnsi="標楷體"/>
          <w:color w:val="000000" w:themeColor="text1"/>
          <w:szCs w:val="24"/>
        </w:rPr>
      </w:pPr>
      <w:r w:rsidRPr="00E224E9">
        <w:rPr>
          <w:rFonts w:ascii="標楷體" w:eastAsia="標楷體" w:hAnsi="標楷體" w:hint="eastAsia"/>
          <w:color w:val="000000" w:themeColor="text1"/>
          <w:szCs w:val="24"/>
        </w:rPr>
        <w:t>x倍表</w:t>
      </w:r>
      <w:r w:rsidR="006D2E99" w:rsidRPr="00E224E9">
        <w:rPr>
          <w:rFonts w:ascii="標楷體" w:eastAsia="標楷體" w:hAnsi="標楷體" w:hint="eastAsia"/>
          <w:color w:val="000000" w:themeColor="text1"/>
          <w:szCs w:val="24"/>
        </w:rPr>
        <w:t>為所有公司一致適用之最低倍數：</w:t>
      </w:r>
    </w:p>
    <w:tbl>
      <w:tblPr>
        <w:tblStyle w:val="aff5"/>
        <w:tblW w:w="7146" w:type="dxa"/>
        <w:tblInd w:w="704" w:type="dxa"/>
        <w:tblLayout w:type="fixed"/>
        <w:tblLook w:val="04A0" w:firstRow="1" w:lastRow="0" w:firstColumn="1" w:lastColumn="0" w:noHBand="0" w:noVBand="1"/>
      </w:tblPr>
      <w:tblGrid>
        <w:gridCol w:w="1191"/>
        <w:gridCol w:w="1191"/>
        <w:gridCol w:w="1191"/>
        <w:gridCol w:w="1191"/>
        <w:gridCol w:w="1191"/>
        <w:gridCol w:w="1191"/>
      </w:tblGrid>
      <w:tr w:rsidR="00E224E9" w:rsidRPr="00E224E9" w14:paraId="33E17322" w14:textId="77777777" w:rsidTr="00C77800">
        <w:trPr>
          <w:trHeight w:val="340"/>
        </w:trPr>
        <w:tc>
          <w:tcPr>
            <w:tcW w:w="1191" w:type="dxa"/>
            <w:shd w:val="pct10" w:color="auto" w:fill="auto"/>
          </w:tcPr>
          <w:p w14:paraId="139B4FEB" w14:textId="12F6F844" w:rsidR="00CE5AE1" w:rsidRPr="00E224E9" w:rsidRDefault="00CE5AE1" w:rsidP="00CE5AE1">
            <w:pPr>
              <w:spacing w:line="400" w:lineRule="exact"/>
              <w:jc w:val="center"/>
              <w:rPr>
                <w:color w:val="000000" w:themeColor="text1"/>
                <w:sz w:val="24"/>
              </w:rPr>
            </w:pPr>
            <w:r w:rsidRPr="00E224E9">
              <w:rPr>
                <w:color w:val="000000" w:themeColor="text1"/>
                <w:sz w:val="24"/>
              </w:rPr>
              <w:t>年</w:t>
            </w:r>
          </w:p>
        </w:tc>
        <w:tc>
          <w:tcPr>
            <w:tcW w:w="1191" w:type="dxa"/>
            <w:shd w:val="pct10" w:color="auto" w:fill="auto"/>
            <w:vAlign w:val="center"/>
          </w:tcPr>
          <w:p w14:paraId="48559741" w14:textId="1AF22EBA" w:rsidR="00CE5AE1" w:rsidRPr="00E224E9" w:rsidRDefault="00CE5AE1" w:rsidP="00CE5AE1">
            <w:pPr>
              <w:spacing w:line="400" w:lineRule="exact"/>
              <w:jc w:val="center"/>
              <w:rPr>
                <w:color w:val="000000" w:themeColor="text1"/>
                <w:sz w:val="24"/>
              </w:rPr>
            </w:pPr>
            <w:r w:rsidRPr="00E224E9">
              <w:rPr>
                <w:color w:val="000000" w:themeColor="text1"/>
                <w:sz w:val="24"/>
              </w:rPr>
              <w:t>110</w:t>
            </w:r>
            <w:r w:rsidR="006D2E99" w:rsidRPr="00E224E9">
              <w:rPr>
                <w:color w:val="000000" w:themeColor="text1"/>
                <w:sz w:val="24"/>
              </w:rPr>
              <w:t xml:space="preserve"> </w:t>
            </w:r>
          </w:p>
        </w:tc>
        <w:tc>
          <w:tcPr>
            <w:tcW w:w="1191" w:type="dxa"/>
            <w:shd w:val="pct10" w:color="auto" w:fill="auto"/>
            <w:vAlign w:val="center"/>
          </w:tcPr>
          <w:p w14:paraId="16986AE3" w14:textId="4885B752" w:rsidR="00CE5AE1" w:rsidRPr="00E224E9" w:rsidRDefault="00CE5AE1" w:rsidP="00CE5AE1">
            <w:pPr>
              <w:spacing w:line="400" w:lineRule="exact"/>
              <w:jc w:val="center"/>
              <w:rPr>
                <w:color w:val="000000" w:themeColor="text1"/>
                <w:sz w:val="24"/>
              </w:rPr>
            </w:pPr>
            <w:r w:rsidRPr="00E224E9">
              <w:rPr>
                <w:color w:val="000000" w:themeColor="text1"/>
                <w:sz w:val="24"/>
              </w:rPr>
              <w:t>111</w:t>
            </w:r>
            <w:r w:rsidR="006D2E99" w:rsidRPr="00E224E9">
              <w:rPr>
                <w:color w:val="000000" w:themeColor="text1"/>
                <w:sz w:val="24"/>
              </w:rPr>
              <w:t xml:space="preserve"> </w:t>
            </w:r>
          </w:p>
        </w:tc>
        <w:tc>
          <w:tcPr>
            <w:tcW w:w="1191" w:type="dxa"/>
            <w:shd w:val="pct10" w:color="auto" w:fill="auto"/>
            <w:vAlign w:val="center"/>
          </w:tcPr>
          <w:p w14:paraId="70494ADF" w14:textId="5EB8ED5E" w:rsidR="00CE5AE1" w:rsidRPr="00E224E9" w:rsidRDefault="00CE5AE1" w:rsidP="00CE5AE1">
            <w:pPr>
              <w:spacing w:line="400" w:lineRule="exact"/>
              <w:jc w:val="center"/>
              <w:rPr>
                <w:color w:val="000000" w:themeColor="text1"/>
                <w:sz w:val="24"/>
              </w:rPr>
            </w:pPr>
            <w:r w:rsidRPr="00E224E9">
              <w:rPr>
                <w:color w:val="000000" w:themeColor="text1"/>
                <w:sz w:val="24"/>
              </w:rPr>
              <w:t>112</w:t>
            </w:r>
            <w:r w:rsidR="006D2E99" w:rsidRPr="00E224E9">
              <w:rPr>
                <w:color w:val="000000" w:themeColor="text1"/>
                <w:sz w:val="24"/>
              </w:rPr>
              <w:t xml:space="preserve"> </w:t>
            </w:r>
          </w:p>
        </w:tc>
        <w:tc>
          <w:tcPr>
            <w:tcW w:w="1191" w:type="dxa"/>
            <w:shd w:val="pct10" w:color="auto" w:fill="auto"/>
            <w:vAlign w:val="center"/>
          </w:tcPr>
          <w:p w14:paraId="46CA46FF" w14:textId="301BBB7E" w:rsidR="00CE5AE1" w:rsidRPr="00E224E9" w:rsidRDefault="00CE5AE1" w:rsidP="00CE5AE1">
            <w:pPr>
              <w:spacing w:line="400" w:lineRule="exact"/>
              <w:jc w:val="center"/>
              <w:rPr>
                <w:color w:val="000000" w:themeColor="text1"/>
                <w:sz w:val="24"/>
              </w:rPr>
            </w:pPr>
            <w:r w:rsidRPr="00E224E9">
              <w:rPr>
                <w:color w:val="000000" w:themeColor="text1"/>
                <w:sz w:val="24"/>
              </w:rPr>
              <w:t>113</w:t>
            </w:r>
            <w:r w:rsidR="006D2E99" w:rsidRPr="00E224E9">
              <w:rPr>
                <w:color w:val="000000" w:themeColor="text1"/>
                <w:sz w:val="24"/>
              </w:rPr>
              <w:t xml:space="preserve"> </w:t>
            </w:r>
          </w:p>
        </w:tc>
        <w:tc>
          <w:tcPr>
            <w:tcW w:w="1191" w:type="dxa"/>
            <w:shd w:val="pct10" w:color="auto" w:fill="auto"/>
            <w:vAlign w:val="center"/>
          </w:tcPr>
          <w:p w14:paraId="59127363" w14:textId="6D762F66" w:rsidR="00CE5AE1" w:rsidRPr="00E224E9" w:rsidRDefault="00CE5AE1" w:rsidP="00CE5AE1">
            <w:pPr>
              <w:spacing w:line="400" w:lineRule="exact"/>
              <w:jc w:val="center"/>
              <w:rPr>
                <w:color w:val="000000" w:themeColor="text1"/>
                <w:sz w:val="24"/>
              </w:rPr>
            </w:pPr>
            <w:r w:rsidRPr="00E224E9">
              <w:rPr>
                <w:color w:val="000000" w:themeColor="text1"/>
                <w:sz w:val="24"/>
              </w:rPr>
              <w:t>114</w:t>
            </w:r>
            <w:r w:rsidR="006D2E99" w:rsidRPr="00E224E9">
              <w:rPr>
                <w:color w:val="000000" w:themeColor="text1"/>
                <w:sz w:val="24"/>
              </w:rPr>
              <w:t xml:space="preserve"> </w:t>
            </w:r>
          </w:p>
        </w:tc>
      </w:tr>
      <w:tr w:rsidR="00E224E9" w:rsidRPr="00E224E9" w14:paraId="12A818BA" w14:textId="77777777" w:rsidTr="00C77800">
        <w:trPr>
          <w:trHeight w:val="340"/>
        </w:trPr>
        <w:tc>
          <w:tcPr>
            <w:tcW w:w="1191" w:type="dxa"/>
          </w:tcPr>
          <w:p w14:paraId="6B0AB4D8" w14:textId="0D51DA7F" w:rsidR="00CE5AE1" w:rsidRPr="00E224E9" w:rsidRDefault="00CE5AE1" w:rsidP="00CE5AE1">
            <w:pPr>
              <w:spacing w:line="400" w:lineRule="exact"/>
              <w:jc w:val="center"/>
              <w:rPr>
                <w:color w:val="000000" w:themeColor="text1"/>
                <w:sz w:val="24"/>
              </w:rPr>
            </w:pPr>
            <w:r w:rsidRPr="00E224E9">
              <w:rPr>
                <w:rFonts w:hint="eastAsia"/>
                <w:color w:val="000000" w:themeColor="text1"/>
                <w:sz w:val="24"/>
              </w:rPr>
              <w:t>x</w:t>
            </w:r>
            <w:r w:rsidRPr="00E224E9">
              <w:rPr>
                <w:color w:val="000000" w:themeColor="text1"/>
                <w:sz w:val="24"/>
              </w:rPr>
              <w:t>倍</w:t>
            </w:r>
          </w:p>
        </w:tc>
        <w:tc>
          <w:tcPr>
            <w:tcW w:w="1191" w:type="dxa"/>
            <w:vAlign w:val="center"/>
          </w:tcPr>
          <w:p w14:paraId="14C8A5FA" w14:textId="77777777" w:rsidR="00CE5AE1" w:rsidRPr="00E224E9" w:rsidRDefault="00CE5AE1" w:rsidP="00CE5AE1">
            <w:pPr>
              <w:spacing w:line="400" w:lineRule="exact"/>
              <w:jc w:val="center"/>
              <w:rPr>
                <w:color w:val="000000" w:themeColor="text1"/>
                <w:sz w:val="24"/>
              </w:rPr>
            </w:pPr>
            <w:r w:rsidRPr="00E224E9">
              <w:rPr>
                <w:bCs/>
                <w:color w:val="000000" w:themeColor="text1"/>
                <w:sz w:val="24"/>
              </w:rPr>
              <w:t>0.6</w:t>
            </w:r>
          </w:p>
        </w:tc>
        <w:tc>
          <w:tcPr>
            <w:tcW w:w="1191" w:type="dxa"/>
            <w:vAlign w:val="center"/>
          </w:tcPr>
          <w:p w14:paraId="709423AF" w14:textId="77777777" w:rsidR="00CE5AE1" w:rsidRPr="00E224E9" w:rsidRDefault="00CE5AE1" w:rsidP="00CE5AE1">
            <w:pPr>
              <w:spacing w:line="400" w:lineRule="exact"/>
              <w:jc w:val="center"/>
              <w:rPr>
                <w:color w:val="000000" w:themeColor="text1"/>
                <w:sz w:val="24"/>
              </w:rPr>
            </w:pPr>
            <w:r w:rsidRPr="00E224E9">
              <w:rPr>
                <w:bCs/>
                <w:color w:val="000000" w:themeColor="text1"/>
                <w:sz w:val="24"/>
              </w:rPr>
              <w:t>0.8</w:t>
            </w:r>
          </w:p>
        </w:tc>
        <w:tc>
          <w:tcPr>
            <w:tcW w:w="1191" w:type="dxa"/>
            <w:vAlign w:val="center"/>
          </w:tcPr>
          <w:p w14:paraId="7E29F5CB" w14:textId="365A922C" w:rsidR="00CE5AE1" w:rsidRPr="00E224E9" w:rsidRDefault="004B45AF" w:rsidP="00CE5AE1">
            <w:pPr>
              <w:spacing w:line="400" w:lineRule="exact"/>
              <w:jc w:val="center"/>
              <w:rPr>
                <w:color w:val="000000" w:themeColor="text1"/>
                <w:sz w:val="24"/>
              </w:rPr>
            </w:pPr>
            <w:r w:rsidRPr="00E224E9">
              <w:rPr>
                <w:bCs/>
                <w:color w:val="000000" w:themeColor="text1"/>
                <w:sz w:val="24"/>
              </w:rPr>
              <w:t>0.8</w:t>
            </w:r>
          </w:p>
        </w:tc>
        <w:tc>
          <w:tcPr>
            <w:tcW w:w="1191" w:type="dxa"/>
            <w:vAlign w:val="center"/>
          </w:tcPr>
          <w:p w14:paraId="2AC76B74" w14:textId="4BA666B1" w:rsidR="00CE5AE1" w:rsidRPr="00E224E9" w:rsidRDefault="004B45AF" w:rsidP="00CE5AE1">
            <w:pPr>
              <w:spacing w:line="400" w:lineRule="exact"/>
              <w:jc w:val="center"/>
              <w:rPr>
                <w:color w:val="000000" w:themeColor="text1"/>
                <w:sz w:val="24"/>
              </w:rPr>
            </w:pPr>
            <w:r w:rsidRPr="00E224E9">
              <w:rPr>
                <w:bCs/>
                <w:color w:val="000000" w:themeColor="text1"/>
                <w:sz w:val="24"/>
              </w:rPr>
              <w:t>0.9</w:t>
            </w:r>
          </w:p>
        </w:tc>
        <w:tc>
          <w:tcPr>
            <w:tcW w:w="1191" w:type="dxa"/>
            <w:vAlign w:val="center"/>
          </w:tcPr>
          <w:p w14:paraId="3F71FA9C" w14:textId="5B9E8EC8" w:rsidR="00CE5AE1" w:rsidRPr="00E224E9" w:rsidRDefault="00C93B26" w:rsidP="00CE5AE1">
            <w:pPr>
              <w:spacing w:line="400" w:lineRule="exact"/>
              <w:jc w:val="center"/>
              <w:rPr>
                <w:color w:val="000000" w:themeColor="text1"/>
                <w:sz w:val="24"/>
              </w:rPr>
            </w:pPr>
            <w:r w:rsidRPr="00E224E9">
              <w:rPr>
                <w:rFonts w:hint="eastAsia"/>
                <w:bCs/>
                <w:color w:val="000000" w:themeColor="text1"/>
                <w:sz w:val="24"/>
              </w:rPr>
              <w:t>0.9</w:t>
            </w:r>
          </w:p>
        </w:tc>
      </w:tr>
    </w:tbl>
    <w:p w14:paraId="2AAF0915" w14:textId="32B58886" w:rsidR="00CE5AE1" w:rsidRPr="00E224E9" w:rsidRDefault="006D2E99" w:rsidP="004373AD">
      <w:pPr>
        <w:pStyle w:val="aff0"/>
        <w:numPr>
          <w:ilvl w:val="1"/>
          <w:numId w:val="13"/>
        </w:numPr>
        <w:spacing w:beforeLines="50" w:before="120" w:line="400" w:lineRule="exact"/>
        <w:ind w:leftChars="0" w:left="839" w:hanging="357"/>
        <w:jc w:val="both"/>
        <w:rPr>
          <w:rFonts w:ascii="Times New Roman" w:eastAsia="標楷體" w:hAnsi="標楷體"/>
          <w:color w:val="000000" w:themeColor="text1"/>
          <w:szCs w:val="24"/>
        </w:rPr>
      </w:pPr>
      <w:r w:rsidRPr="00E224E9">
        <w:rPr>
          <w:rFonts w:ascii="Times New Roman" w:eastAsia="標楷體" w:hAnsi="標楷體" w:hint="eastAsia"/>
          <w:color w:val="000000" w:themeColor="text1"/>
          <w:szCs w:val="24"/>
        </w:rPr>
        <w:t>公司於</w:t>
      </w:r>
      <w:r w:rsidRPr="00E224E9">
        <w:rPr>
          <w:rFonts w:ascii="Times New Roman" w:eastAsia="標楷體" w:hAnsi="標楷體" w:hint="eastAsia"/>
          <w:color w:val="000000" w:themeColor="text1"/>
          <w:szCs w:val="24"/>
        </w:rPr>
        <w:t>111</w:t>
      </w:r>
      <w:r w:rsidRPr="00E224E9">
        <w:rPr>
          <w:rFonts w:ascii="Times New Roman" w:eastAsia="標楷體" w:hAnsi="標楷體" w:hint="eastAsia"/>
          <w:color w:val="000000" w:themeColor="text1"/>
          <w:szCs w:val="24"/>
        </w:rPr>
        <w:t>年至</w:t>
      </w:r>
      <w:r w:rsidRPr="00E224E9">
        <w:rPr>
          <w:rFonts w:ascii="Times New Roman" w:eastAsia="標楷體" w:hAnsi="標楷體" w:hint="eastAsia"/>
          <w:color w:val="000000" w:themeColor="text1"/>
          <w:szCs w:val="24"/>
        </w:rPr>
        <w:t>114</w:t>
      </w:r>
      <w:r w:rsidRPr="00E224E9">
        <w:rPr>
          <w:rFonts w:ascii="Times New Roman" w:eastAsia="標楷體" w:hAnsi="標楷體" w:hint="eastAsia"/>
          <w:color w:val="000000" w:themeColor="text1"/>
          <w:szCs w:val="24"/>
        </w:rPr>
        <w:t>年上半年度及年度報表評價時點，</w:t>
      </w:r>
      <w:r w:rsidRPr="00E224E9">
        <w:rPr>
          <w:rFonts w:ascii="Times New Roman" w:eastAsia="標楷體" w:hAnsi="標楷體" w:hint="eastAsia"/>
          <w:color w:val="000000" w:themeColor="text1"/>
          <w:szCs w:val="24"/>
        </w:rPr>
        <w:t>ICS</w:t>
      </w:r>
      <w:r w:rsidRPr="00E224E9">
        <w:rPr>
          <w:rFonts w:ascii="Times New Roman" w:eastAsia="標楷體" w:hAnsi="標楷體" w:hint="eastAsia"/>
          <w:color w:val="000000" w:themeColor="text1"/>
          <w:szCs w:val="24"/>
        </w:rPr>
        <w:t>利率風險資本除以</w:t>
      </w:r>
      <w:r w:rsidRPr="00E224E9">
        <w:rPr>
          <w:rFonts w:ascii="Times New Roman" w:eastAsia="標楷體" w:hAnsi="標楷體" w:hint="eastAsia"/>
          <w:color w:val="000000" w:themeColor="text1"/>
          <w:szCs w:val="24"/>
        </w:rPr>
        <w:t>RBC</w:t>
      </w:r>
      <w:r w:rsidRPr="00E224E9">
        <w:rPr>
          <w:rFonts w:ascii="Times New Roman" w:eastAsia="標楷體" w:hAnsi="標楷體" w:hint="eastAsia"/>
          <w:color w:val="000000" w:themeColor="text1"/>
          <w:szCs w:val="24"/>
        </w:rPr>
        <w:t>利率風險資本之比值，大於各年指定倍數者，除</w:t>
      </w:r>
      <w:r w:rsidRPr="00E224E9">
        <w:rPr>
          <w:rFonts w:ascii="Times New Roman" w:eastAsia="標楷體" w:hAnsi="標楷體" w:hint="eastAsia"/>
          <w:color w:val="000000" w:themeColor="text1"/>
          <w:szCs w:val="24"/>
        </w:rPr>
        <w:t>x</w:t>
      </w:r>
      <w:r w:rsidRPr="00E224E9">
        <w:rPr>
          <w:rFonts w:ascii="Times New Roman" w:eastAsia="標楷體" w:hAnsi="標楷體" w:hint="eastAsia"/>
          <w:color w:val="000000" w:themeColor="text1"/>
          <w:szCs w:val="24"/>
        </w:rPr>
        <w:t>倍外，再加計</w:t>
      </w:r>
      <w:r w:rsidRPr="00E224E9">
        <w:rPr>
          <w:rFonts w:ascii="Times New Roman" w:eastAsia="標楷體" w:hAnsi="標楷體" w:hint="eastAsia"/>
          <w:color w:val="000000" w:themeColor="text1"/>
          <w:szCs w:val="24"/>
        </w:rPr>
        <w:t>y</w:t>
      </w:r>
      <w:r w:rsidRPr="00E224E9">
        <w:rPr>
          <w:rFonts w:ascii="Times New Roman" w:eastAsia="標楷體" w:hAnsi="標楷體" w:hint="eastAsia"/>
          <w:color w:val="000000" w:themeColor="text1"/>
          <w:szCs w:val="24"/>
        </w:rPr>
        <w:t>倍</w:t>
      </w:r>
      <w:r w:rsidR="00003F01" w:rsidRPr="00E224E9">
        <w:rPr>
          <w:rFonts w:ascii="Times New Roman" w:eastAsia="標楷體" w:hAnsi="標楷體" w:hint="eastAsia"/>
          <w:color w:val="000000" w:themeColor="text1"/>
          <w:szCs w:val="24"/>
        </w:rPr>
        <w:t>：</w:t>
      </w:r>
    </w:p>
    <w:tbl>
      <w:tblPr>
        <w:tblStyle w:val="aff5"/>
        <w:tblW w:w="5955" w:type="dxa"/>
        <w:tblInd w:w="704" w:type="dxa"/>
        <w:tblLayout w:type="fixed"/>
        <w:tblLook w:val="04A0" w:firstRow="1" w:lastRow="0" w:firstColumn="1" w:lastColumn="0" w:noHBand="0" w:noVBand="1"/>
      </w:tblPr>
      <w:tblGrid>
        <w:gridCol w:w="1191"/>
        <w:gridCol w:w="1191"/>
        <w:gridCol w:w="1191"/>
        <w:gridCol w:w="1191"/>
        <w:gridCol w:w="1191"/>
      </w:tblGrid>
      <w:tr w:rsidR="00E224E9" w:rsidRPr="00E224E9" w14:paraId="405B9B3C" w14:textId="77777777" w:rsidTr="00C77800">
        <w:trPr>
          <w:trHeight w:val="340"/>
        </w:trPr>
        <w:tc>
          <w:tcPr>
            <w:tcW w:w="1191" w:type="dxa"/>
            <w:shd w:val="pct10" w:color="auto" w:fill="auto"/>
          </w:tcPr>
          <w:p w14:paraId="17FC3689" w14:textId="69CFDBCA" w:rsidR="00105630" w:rsidRPr="00E224E9" w:rsidRDefault="00105630" w:rsidP="00801D8E">
            <w:pPr>
              <w:spacing w:line="400" w:lineRule="exact"/>
              <w:jc w:val="center"/>
              <w:rPr>
                <w:color w:val="000000" w:themeColor="text1"/>
                <w:sz w:val="24"/>
              </w:rPr>
            </w:pPr>
            <w:r w:rsidRPr="00E224E9">
              <w:rPr>
                <w:color w:val="000000" w:themeColor="text1"/>
                <w:sz w:val="24"/>
              </w:rPr>
              <w:t>年</w:t>
            </w:r>
          </w:p>
        </w:tc>
        <w:tc>
          <w:tcPr>
            <w:tcW w:w="1191" w:type="dxa"/>
            <w:shd w:val="pct10" w:color="auto" w:fill="auto"/>
            <w:vAlign w:val="center"/>
          </w:tcPr>
          <w:p w14:paraId="37D1F76E" w14:textId="393BCD37" w:rsidR="00105630" w:rsidRPr="00E224E9" w:rsidRDefault="00105630" w:rsidP="00801D8E">
            <w:pPr>
              <w:spacing w:line="400" w:lineRule="exact"/>
              <w:jc w:val="center"/>
              <w:rPr>
                <w:color w:val="000000" w:themeColor="text1"/>
                <w:sz w:val="24"/>
              </w:rPr>
            </w:pPr>
            <w:r w:rsidRPr="00E224E9">
              <w:rPr>
                <w:color w:val="000000" w:themeColor="text1"/>
                <w:sz w:val="24"/>
              </w:rPr>
              <w:t xml:space="preserve">111 </w:t>
            </w:r>
          </w:p>
        </w:tc>
        <w:tc>
          <w:tcPr>
            <w:tcW w:w="1191" w:type="dxa"/>
            <w:shd w:val="pct10" w:color="auto" w:fill="auto"/>
            <w:vAlign w:val="center"/>
          </w:tcPr>
          <w:p w14:paraId="0D0E0C3C" w14:textId="18FD62F6" w:rsidR="00105630" w:rsidRPr="00E224E9" w:rsidRDefault="00105630" w:rsidP="00801D8E">
            <w:pPr>
              <w:spacing w:line="400" w:lineRule="exact"/>
              <w:jc w:val="center"/>
              <w:rPr>
                <w:color w:val="000000" w:themeColor="text1"/>
                <w:sz w:val="24"/>
              </w:rPr>
            </w:pPr>
            <w:r w:rsidRPr="00E224E9">
              <w:rPr>
                <w:color w:val="000000" w:themeColor="text1"/>
                <w:sz w:val="24"/>
              </w:rPr>
              <w:t xml:space="preserve">112 </w:t>
            </w:r>
          </w:p>
        </w:tc>
        <w:tc>
          <w:tcPr>
            <w:tcW w:w="1191" w:type="dxa"/>
            <w:shd w:val="pct10" w:color="auto" w:fill="auto"/>
            <w:vAlign w:val="center"/>
          </w:tcPr>
          <w:p w14:paraId="6EF80208" w14:textId="4BCA2C6B" w:rsidR="00105630" w:rsidRPr="00E224E9" w:rsidRDefault="00105630" w:rsidP="00801D8E">
            <w:pPr>
              <w:spacing w:line="400" w:lineRule="exact"/>
              <w:jc w:val="center"/>
              <w:rPr>
                <w:color w:val="000000" w:themeColor="text1"/>
                <w:sz w:val="24"/>
              </w:rPr>
            </w:pPr>
            <w:r w:rsidRPr="00E224E9">
              <w:rPr>
                <w:color w:val="000000" w:themeColor="text1"/>
                <w:sz w:val="24"/>
              </w:rPr>
              <w:t>113</w:t>
            </w:r>
          </w:p>
        </w:tc>
        <w:tc>
          <w:tcPr>
            <w:tcW w:w="1191" w:type="dxa"/>
            <w:shd w:val="pct10" w:color="auto" w:fill="auto"/>
            <w:vAlign w:val="center"/>
          </w:tcPr>
          <w:p w14:paraId="3B72DB80" w14:textId="2616CF6D" w:rsidR="00105630" w:rsidRPr="00E224E9" w:rsidRDefault="00105630" w:rsidP="00801D8E">
            <w:pPr>
              <w:spacing w:line="400" w:lineRule="exact"/>
              <w:jc w:val="center"/>
              <w:rPr>
                <w:color w:val="000000" w:themeColor="text1"/>
                <w:sz w:val="24"/>
              </w:rPr>
            </w:pPr>
            <w:r w:rsidRPr="00E224E9">
              <w:rPr>
                <w:color w:val="000000" w:themeColor="text1"/>
                <w:sz w:val="24"/>
              </w:rPr>
              <w:t>114</w:t>
            </w:r>
          </w:p>
        </w:tc>
      </w:tr>
      <w:tr w:rsidR="00E224E9" w:rsidRPr="00E224E9" w14:paraId="3ED6908B" w14:textId="77777777" w:rsidTr="00C77800">
        <w:trPr>
          <w:trHeight w:val="340"/>
        </w:trPr>
        <w:tc>
          <w:tcPr>
            <w:tcW w:w="1191" w:type="dxa"/>
          </w:tcPr>
          <w:p w14:paraId="155F2F8E" w14:textId="4A413F1A" w:rsidR="00105630" w:rsidRPr="00E224E9" w:rsidRDefault="00105630" w:rsidP="00801D8E">
            <w:pPr>
              <w:spacing w:line="400" w:lineRule="exact"/>
              <w:jc w:val="center"/>
              <w:rPr>
                <w:color w:val="000000" w:themeColor="text1"/>
                <w:sz w:val="24"/>
              </w:rPr>
            </w:pPr>
            <w:r w:rsidRPr="00E224E9">
              <w:rPr>
                <w:rFonts w:hint="eastAsia"/>
                <w:color w:val="000000" w:themeColor="text1"/>
                <w:sz w:val="24"/>
              </w:rPr>
              <w:t>指定</w:t>
            </w:r>
            <w:r w:rsidRPr="00E224E9">
              <w:rPr>
                <w:color w:val="000000" w:themeColor="text1"/>
                <w:sz w:val="24"/>
              </w:rPr>
              <w:t>倍</w:t>
            </w:r>
            <w:r w:rsidRPr="00E224E9">
              <w:rPr>
                <w:rFonts w:hint="eastAsia"/>
                <w:color w:val="000000" w:themeColor="text1"/>
                <w:sz w:val="24"/>
              </w:rPr>
              <w:t>數</w:t>
            </w:r>
          </w:p>
        </w:tc>
        <w:tc>
          <w:tcPr>
            <w:tcW w:w="1191" w:type="dxa"/>
            <w:vAlign w:val="center"/>
          </w:tcPr>
          <w:p w14:paraId="226872D8" w14:textId="5C77344C" w:rsidR="00105630" w:rsidRPr="00E224E9" w:rsidRDefault="00105630" w:rsidP="00801D8E">
            <w:pPr>
              <w:spacing w:line="400" w:lineRule="exact"/>
              <w:jc w:val="center"/>
              <w:rPr>
                <w:color w:val="000000" w:themeColor="text1"/>
                <w:sz w:val="24"/>
              </w:rPr>
            </w:pPr>
            <w:r w:rsidRPr="00E224E9">
              <w:rPr>
                <w:bCs/>
                <w:color w:val="000000" w:themeColor="text1"/>
                <w:sz w:val="24"/>
              </w:rPr>
              <w:t>5</w:t>
            </w:r>
          </w:p>
        </w:tc>
        <w:tc>
          <w:tcPr>
            <w:tcW w:w="1191" w:type="dxa"/>
            <w:vAlign w:val="center"/>
          </w:tcPr>
          <w:p w14:paraId="1C0A9CEA" w14:textId="7468D9C3" w:rsidR="00105630" w:rsidRPr="00E224E9" w:rsidRDefault="00105630" w:rsidP="00801D8E">
            <w:pPr>
              <w:spacing w:line="400" w:lineRule="exact"/>
              <w:jc w:val="center"/>
              <w:rPr>
                <w:color w:val="000000" w:themeColor="text1"/>
                <w:sz w:val="24"/>
              </w:rPr>
            </w:pPr>
            <w:r w:rsidRPr="00E224E9">
              <w:rPr>
                <w:bCs/>
                <w:color w:val="000000" w:themeColor="text1"/>
                <w:sz w:val="24"/>
              </w:rPr>
              <w:t>4</w:t>
            </w:r>
          </w:p>
        </w:tc>
        <w:tc>
          <w:tcPr>
            <w:tcW w:w="1191" w:type="dxa"/>
            <w:vAlign w:val="center"/>
          </w:tcPr>
          <w:p w14:paraId="5E328BAE" w14:textId="74232526" w:rsidR="00105630" w:rsidRPr="00E224E9" w:rsidRDefault="00105630" w:rsidP="00801D8E">
            <w:pPr>
              <w:spacing w:line="400" w:lineRule="exact"/>
              <w:jc w:val="center"/>
              <w:rPr>
                <w:color w:val="000000" w:themeColor="text1"/>
                <w:sz w:val="24"/>
              </w:rPr>
            </w:pPr>
            <w:r w:rsidRPr="00E224E9">
              <w:rPr>
                <w:bCs/>
                <w:color w:val="000000" w:themeColor="text1"/>
                <w:sz w:val="24"/>
              </w:rPr>
              <w:t>3</w:t>
            </w:r>
          </w:p>
        </w:tc>
        <w:tc>
          <w:tcPr>
            <w:tcW w:w="1191" w:type="dxa"/>
            <w:vAlign w:val="center"/>
          </w:tcPr>
          <w:p w14:paraId="542587C6" w14:textId="7512CB20" w:rsidR="00105630" w:rsidRPr="00E224E9" w:rsidRDefault="00105630" w:rsidP="00801D8E">
            <w:pPr>
              <w:spacing w:line="400" w:lineRule="exact"/>
              <w:jc w:val="center"/>
              <w:rPr>
                <w:color w:val="000000" w:themeColor="text1"/>
                <w:sz w:val="24"/>
              </w:rPr>
            </w:pPr>
            <w:r w:rsidRPr="00E224E9">
              <w:rPr>
                <w:bCs/>
                <w:color w:val="000000" w:themeColor="text1"/>
                <w:sz w:val="24"/>
              </w:rPr>
              <w:t>2</w:t>
            </w:r>
          </w:p>
        </w:tc>
      </w:tr>
      <w:tr w:rsidR="00105630" w:rsidRPr="00E224E9" w14:paraId="6F23B4FD" w14:textId="77777777" w:rsidTr="00C77800">
        <w:trPr>
          <w:trHeight w:val="340"/>
        </w:trPr>
        <w:tc>
          <w:tcPr>
            <w:tcW w:w="1191" w:type="dxa"/>
          </w:tcPr>
          <w:p w14:paraId="63582468" w14:textId="3389BE62" w:rsidR="00105630" w:rsidRPr="00E224E9" w:rsidRDefault="00105630" w:rsidP="00CE5AE1">
            <w:pPr>
              <w:spacing w:line="400" w:lineRule="exact"/>
              <w:jc w:val="center"/>
              <w:rPr>
                <w:color w:val="000000" w:themeColor="text1"/>
                <w:sz w:val="24"/>
              </w:rPr>
            </w:pPr>
            <w:r w:rsidRPr="00E224E9">
              <w:rPr>
                <w:color w:val="000000" w:themeColor="text1"/>
                <w:sz w:val="24"/>
              </w:rPr>
              <w:t>y</w:t>
            </w:r>
            <w:r w:rsidRPr="00E224E9">
              <w:rPr>
                <w:color w:val="000000" w:themeColor="text1"/>
                <w:sz w:val="24"/>
              </w:rPr>
              <w:t>倍</w:t>
            </w:r>
          </w:p>
        </w:tc>
        <w:tc>
          <w:tcPr>
            <w:tcW w:w="1191" w:type="dxa"/>
            <w:vAlign w:val="center"/>
          </w:tcPr>
          <w:p w14:paraId="20CE81FB" w14:textId="4437FF1F" w:rsidR="00105630" w:rsidRPr="00E224E9" w:rsidRDefault="00105630" w:rsidP="00CE5AE1">
            <w:pPr>
              <w:spacing w:line="400" w:lineRule="exact"/>
              <w:jc w:val="center"/>
              <w:rPr>
                <w:bCs/>
                <w:color w:val="000000" w:themeColor="text1"/>
                <w:sz w:val="24"/>
              </w:rPr>
            </w:pPr>
            <w:r w:rsidRPr="00E224E9">
              <w:rPr>
                <w:bCs/>
                <w:color w:val="000000" w:themeColor="text1"/>
                <w:sz w:val="24"/>
              </w:rPr>
              <w:t>0.</w:t>
            </w:r>
            <w:r w:rsidR="00F133A6" w:rsidRPr="00E224E9">
              <w:rPr>
                <w:bCs/>
                <w:color w:val="000000" w:themeColor="text1"/>
                <w:sz w:val="24"/>
              </w:rPr>
              <w:t>5</w:t>
            </w:r>
          </w:p>
        </w:tc>
        <w:tc>
          <w:tcPr>
            <w:tcW w:w="1191" w:type="dxa"/>
            <w:vAlign w:val="center"/>
          </w:tcPr>
          <w:p w14:paraId="2D5D3E4B" w14:textId="33DBB5F6" w:rsidR="00105630" w:rsidRPr="00E224E9" w:rsidRDefault="00105630" w:rsidP="00CE5AE1">
            <w:pPr>
              <w:spacing w:line="400" w:lineRule="exact"/>
              <w:jc w:val="center"/>
              <w:rPr>
                <w:bCs/>
                <w:color w:val="000000" w:themeColor="text1"/>
                <w:sz w:val="24"/>
              </w:rPr>
            </w:pPr>
            <w:r w:rsidRPr="00E224E9">
              <w:rPr>
                <w:bCs/>
                <w:color w:val="000000" w:themeColor="text1"/>
                <w:sz w:val="24"/>
              </w:rPr>
              <w:t>0.</w:t>
            </w:r>
            <w:r w:rsidR="00F133A6" w:rsidRPr="00E224E9">
              <w:rPr>
                <w:bCs/>
                <w:color w:val="000000" w:themeColor="text1"/>
                <w:sz w:val="24"/>
              </w:rPr>
              <w:t>6</w:t>
            </w:r>
          </w:p>
        </w:tc>
        <w:tc>
          <w:tcPr>
            <w:tcW w:w="1191" w:type="dxa"/>
            <w:vAlign w:val="center"/>
          </w:tcPr>
          <w:p w14:paraId="6D2BA15B" w14:textId="0FD3D965" w:rsidR="00105630" w:rsidRPr="00E224E9" w:rsidRDefault="00105630" w:rsidP="00CE5AE1">
            <w:pPr>
              <w:spacing w:line="400" w:lineRule="exact"/>
              <w:jc w:val="center"/>
              <w:rPr>
                <w:bCs/>
                <w:color w:val="000000" w:themeColor="text1"/>
                <w:sz w:val="24"/>
              </w:rPr>
            </w:pPr>
            <w:r w:rsidRPr="00E224E9">
              <w:rPr>
                <w:bCs/>
                <w:color w:val="000000" w:themeColor="text1"/>
                <w:sz w:val="24"/>
              </w:rPr>
              <w:t>0</w:t>
            </w:r>
            <w:r w:rsidR="00F133A6" w:rsidRPr="00E224E9">
              <w:rPr>
                <w:bCs/>
                <w:color w:val="000000" w:themeColor="text1"/>
                <w:sz w:val="24"/>
              </w:rPr>
              <w:t>.8</w:t>
            </w:r>
          </w:p>
        </w:tc>
        <w:tc>
          <w:tcPr>
            <w:tcW w:w="1191" w:type="dxa"/>
            <w:vAlign w:val="center"/>
          </w:tcPr>
          <w:p w14:paraId="3DD9FF4B" w14:textId="512900B0" w:rsidR="00105630" w:rsidRPr="00E224E9" w:rsidRDefault="00105630" w:rsidP="00CE5AE1">
            <w:pPr>
              <w:spacing w:line="400" w:lineRule="exact"/>
              <w:jc w:val="center"/>
              <w:rPr>
                <w:bCs/>
                <w:color w:val="000000" w:themeColor="text1"/>
                <w:sz w:val="24"/>
              </w:rPr>
            </w:pPr>
            <w:r w:rsidRPr="00E224E9">
              <w:rPr>
                <w:bCs/>
                <w:color w:val="000000" w:themeColor="text1"/>
                <w:sz w:val="24"/>
              </w:rPr>
              <w:t>1.</w:t>
            </w:r>
            <w:r w:rsidR="00F133A6" w:rsidRPr="00E224E9">
              <w:rPr>
                <w:bCs/>
                <w:color w:val="000000" w:themeColor="text1"/>
                <w:sz w:val="24"/>
              </w:rPr>
              <w:t>0</w:t>
            </w:r>
          </w:p>
        </w:tc>
      </w:tr>
    </w:tbl>
    <w:p w14:paraId="543C7534" w14:textId="77777777" w:rsidR="00CE5AE1" w:rsidRPr="00E224E9" w:rsidRDefault="00CE5AE1" w:rsidP="004D5D28">
      <w:pPr>
        <w:pStyle w:val="Layer1"/>
        <w:spacing w:line="440" w:lineRule="exact"/>
        <w:ind w:firstLineChars="0" w:firstLine="0"/>
        <w:rPr>
          <w:color w:val="000000" w:themeColor="text1"/>
          <w:sz w:val="24"/>
        </w:rPr>
      </w:pPr>
    </w:p>
    <w:p w14:paraId="7977A021" w14:textId="77777777" w:rsidR="004D5D28" w:rsidRDefault="004D5D28">
      <w:pPr>
        <w:pStyle w:val="1"/>
        <w:spacing w:afterLines="0" w:line="440" w:lineRule="exact"/>
        <w:jc w:val="both"/>
        <w:rPr>
          <w:b w:val="0"/>
          <w:bCs w:val="0"/>
          <w:color w:val="000000" w:themeColor="text1"/>
          <w:sz w:val="26"/>
          <w:szCs w:val="24"/>
        </w:rPr>
      </w:pPr>
    </w:p>
    <w:p w14:paraId="14C8C39A" w14:textId="4544BF9C" w:rsidR="00065C53" w:rsidRPr="00E224E9" w:rsidRDefault="00065C53">
      <w:pPr>
        <w:pStyle w:val="1"/>
        <w:spacing w:afterLines="0" w:line="440" w:lineRule="exact"/>
        <w:jc w:val="both"/>
        <w:rPr>
          <w:color w:val="000000" w:themeColor="text1"/>
        </w:rPr>
      </w:pPr>
      <w:r w:rsidRPr="00E224E9">
        <w:rPr>
          <w:b w:val="0"/>
          <w:bCs w:val="0"/>
          <w:color w:val="000000" w:themeColor="text1"/>
          <w:sz w:val="26"/>
          <w:szCs w:val="24"/>
        </w:rPr>
        <w:br w:type="page"/>
      </w:r>
      <w:bookmarkStart w:id="160" w:name="_Toc219262258"/>
      <w:bookmarkStart w:id="161" w:name="_Toc200468558"/>
      <w:r w:rsidRPr="00E224E9">
        <w:rPr>
          <w:color w:val="000000" w:themeColor="text1"/>
        </w:rPr>
        <w:lastRenderedPageBreak/>
        <w:t>表30-6：C4：其他風險計算表</w:t>
      </w:r>
      <w:bookmarkEnd w:id="160"/>
      <w:bookmarkEnd w:id="161"/>
    </w:p>
    <w:p w14:paraId="7504AC5B" w14:textId="77777777" w:rsidR="00065C53" w:rsidRPr="00E224E9" w:rsidRDefault="00065C53">
      <w:pPr>
        <w:spacing w:line="44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rPr>
        <w:tab/>
      </w:r>
      <w:r w:rsidRPr="00E224E9">
        <w:rPr>
          <w:rFonts w:ascii="Book Antiqua" w:eastAsia="華康仿宋體W6" w:hAnsi="Book Antiqua"/>
          <w:color w:val="000000" w:themeColor="text1"/>
          <w:sz w:val="24"/>
        </w:rPr>
        <w:t>本計算報表填報的目的在於表達人身保險業經營業務時，除上述四項風險外可能面對的其他風險，主要包含項目是</w:t>
      </w:r>
      <w:r w:rsidR="004E3985"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風險</w:t>
      </w:r>
      <w:r w:rsidRPr="00E224E9">
        <w:rPr>
          <w:rFonts w:ascii="Book Antiqua" w:eastAsia="華康仿宋體W6" w:hAnsi="Book Antiqua"/>
          <w:color w:val="000000" w:themeColor="text1"/>
          <w:sz w:val="24"/>
        </w:rPr>
        <w:t>(Operational Risk)</w:t>
      </w:r>
      <w:r w:rsidRPr="00E224E9">
        <w:rPr>
          <w:rFonts w:ascii="Book Antiqua" w:eastAsia="華康仿宋體W6" w:hAnsi="Book Antiqua"/>
          <w:color w:val="000000" w:themeColor="text1"/>
          <w:sz w:val="24"/>
        </w:rPr>
        <w:t>及市場招攬行為而生之作業風險，</w:t>
      </w:r>
      <w:r w:rsidR="003247EB"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風險其係指保險業因</w:t>
      </w:r>
      <w:r w:rsidR="003247EB"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上各項因素所導致的直接或間接的可能損失，</w:t>
      </w:r>
      <w:r w:rsidR="003247EB"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風險的來源包括五大方面：員工</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人為疏失、舞弊等</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，技術</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電腦系統出問題等</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，顧客關係</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與顧客的糾紛或訴訟等</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，意外</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火災、巨災等</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，以及外在環境</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外來的詐欺等</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。市場招攬行為而生之作業風險係指業務員經授權從事保險招攬行為時所產生之申訴案件，導致所屬公司因而受有損失之風險。</w:t>
      </w:r>
    </w:p>
    <w:p w14:paraId="4F550EDA" w14:textId="77777777" w:rsidR="00065C53" w:rsidRPr="00E224E9" w:rsidRDefault="00065C53">
      <w:pPr>
        <w:spacing w:line="440" w:lineRule="exact"/>
        <w:jc w:val="both"/>
        <w:rPr>
          <w:rFonts w:ascii="Book Antiqua" w:eastAsia="華康仿宋體W6" w:hAnsi="Book Antiqua"/>
          <w:color w:val="000000" w:themeColor="text1"/>
          <w:sz w:val="24"/>
        </w:rPr>
      </w:pPr>
    </w:p>
    <w:p w14:paraId="0D279B56" w14:textId="77777777" w:rsidR="00065C53" w:rsidRPr="00E224E9" w:rsidRDefault="00065C53">
      <w:pPr>
        <w:spacing w:line="44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ab/>
      </w:r>
      <w:r w:rsidRPr="00E224E9">
        <w:rPr>
          <w:rFonts w:ascii="Book Antiqua" w:eastAsia="華康仿宋體W6" w:hAnsi="Book Antiqua"/>
          <w:color w:val="000000" w:themeColor="text1"/>
          <w:sz w:val="24"/>
        </w:rPr>
        <w:t>是故依此風險計算應提存之自有資本，試圖保障保險業不致因為</w:t>
      </w:r>
      <w:r w:rsidR="003247EB"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風險的突然惡化，造成保險業無法清償之危險。由於暫無實證資料來估計各保險業</w:t>
      </w:r>
      <w:r w:rsidR="003247EB"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風險的來源與大小，目前暫以公司大小來代表暴露於</w:t>
      </w:r>
      <w:r w:rsidR="003247EB"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風險的部位。</w:t>
      </w:r>
    </w:p>
    <w:p w14:paraId="437EF96D" w14:textId="77777777" w:rsidR="00065C53" w:rsidRPr="00E224E9" w:rsidRDefault="00065C53">
      <w:pPr>
        <w:spacing w:line="440" w:lineRule="exact"/>
        <w:jc w:val="both"/>
        <w:rPr>
          <w:rFonts w:ascii="Book Antiqua" w:eastAsia="華康仿宋體W6" w:hAnsi="Book Antiqua"/>
          <w:color w:val="000000" w:themeColor="text1"/>
          <w:sz w:val="24"/>
        </w:rPr>
      </w:pPr>
    </w:p>
    <w:p w14:paraId="79339380" w14:textId="77777777" w:rsidR="00065C53" w:rsidRPr="00E224E9" w:rsidRDefault="00065C53">
      <w:pPr>
        <w:spacing w:line="44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ab/>
      </w:r>
      <w:r w:rsidRPr="00E224E9">
        <w:rPr>
          <w:rFonts w:ascii="Book Antiqua" w:eastAsia="華康仿宋體W6" w:hAnsi="Book Antiqua"/>
          <w:color w:val="000000" w:themeColor="text1"/>
          <w:sz w:val="24"/>
        </w:rPr>
        <w:t>本說明的目的為配合相關法令規定及資本適足性制度填報需求，簡介該表之填列規則，以利保險公司之填報作業。</w:t>
      </w:r>
    </w:p>
    <w:p w14:paraId="4AAE8B96" w14:textId="77777777" w:rsidR="00065C53" w:rsidRPr="00E224E9" w:rsidRDefault="00065C53">
      <w:pPr>
        <w:spacing w:line="440" w:lineRule="exact"/>
        <w:jc w:val="both"/>
        <w:rPr>
          <w:rFonts w:ascii="Book Antiqua" w:eastAsia="華康仿宋體W6" w:hAnsi="Book Antiqua"/>
          <w:color w:val="000000" w:themeColor="text1"/>
          <w:sz w:val="24"/>
        </w:rPr>
      </w:pPr>
    </w:p>
    <w:p w14:paraId="252DDD86" w14:textId="77777777" w:rsidR="00065C53" w:rsidRPr="00E224E9" w:rsidRDefault="00065C53">
      <w:pPr>
        <w:spacing w:line="44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主要列位說明如下：</w:t>
      </w:r>
    </w:p>
    <w:p w14:paraId="6B9823F6" w14:textId="77777777" w:rsidR="00065C53" w:rsidRPr="00E224E9" w:rsidRDefault="00065C53">
      <w:pPr>
        <w:pStyle w:val="Layer2"/>
        <w:spacing w:line="440" w:lineRule="exact"/>
        <w:jc w:val="both"/>
        <w:rPr>
          <w:rFonts w:ascii="Book Antiqua" w:eastAsia="華康仿宋體W6" w:hAnsi="Book Antiqua"/>
          <w:color w:val="000000" w:themeColor="text1"/>
        </w:rPr>
      </w:pPr>
      <w:bookmarkStart w:id="162" w:name="_Toc7492359"/>
      <w:r w:rsidRPr="00E224E9">
        <w:rPr>
          <w:rFonts w:ascii="Book Antiqua" w:eastAsia="華康仿宋體W6" w:hAnsi="Book Antiqua"/>
          <w:color w:val="000000" w:themeColor="text1"/>
        </w:rPr>
        <w:t>4.1</w:t>
      </w:r>
      <w:r w:rsidRPr="00E224E9">
        <w:rPr>
          <w:rFonts w:ascii="Book Antiqua" w:eastAsia="華康仿宋體W6" w:hAnsi="Book Antiqua"/>
          <w:color w:val="000000" w:themeColor="text1"/>
        </w:rPr>
        <w:t>保費收入</w:t>
      </w:r>
      <w:bookmarkEnd w:id="162"/>
    </w:p>
    <w:p w14:paraId="46A87CBE" w14:textId="77777777" w:rsidR="00065C53" w:rsidRPr="00E224E9" w:rsidRDefault="00065C53">
      <w:pPr>
        <w:pStyle w:val="Layer20"/>
        <w:spacing w:line="440" w:lineRule="exact"/>
        <w:ind w:leftChars="150" w:left="390"/>
        <w:jc w:val="both"/>
        <w:rPr>
          <w:rFonts w:ascii="Book Antiqua" w:eastAsia="華康仿宋體W6" w:hAnsi="Book Antiqua"/>
          <w:color w:val="000000" w:themeColor="text1"/>
        </w:rPr>
      </w:pPr>
      <w:r w:rsidRPr="00E224E9">
        <w:rPr>
          <w:rFonts w:ascii="Book Antiqua" w:eastAsia="華康仿宋體W6" w:hAnsi="Book Antiqua"/>
          <w:color w:val="000000" w:themeColor="text1"/>
        </w:rPr>
        <w:t>保費收入項目下再細分「壽險保費收入」、「年金保險保費收入」及「其他保險保費收入」三個細項。</w:t>
      </w:r>
    </w:p>
    <w:p w14:paraId="48C65FE9" w14:textId="77777777" w:rsidR="00065C53" w:rsidRPr="00E224E9" w:rsidRDefault="00065C53">
      <w:pPr>
        <w:pStyle w:val="Layer3"/>
        <w:spacing w:line="440" w:lineRule="exact"/>
        <w:ind w:leftChars="150" w:left="570" w:hangingChars="75" w:hanging="180"/>
        <w:jc w:val="both"/>
        <w:rPr>
          <w:rFonts w:ascii="Book Antiqua" w:eastAsia="華康仿宋體W6" w:hAnsi="Book Antiqua"/>
          <w:color w:val="000000" w:themeColor="text1"/>
        </w:rPr>
      </w:pPr>
      <w:bookmarkStart w:id="163" w:name="_Toc7492360"/>
      <w:r w:rsidRPr="00E224E9">
        <w:rPr>
          <w:rFonts w:ascii="Book Antiqua" w:eastAsia="華康仿宋體W6" w:hAnsi="Book Antiqua"/>
          <w:color w:val="000000" w:themeColor="text1"/>
        </w:rPr>
        <w:t>4.1.1.</w:t>
      </w:r>
      <w:r w:rsidRPr="00E224E9">
        <w:rPr>
          <w:rFonts w:ascii="Book Antiqua" w:eastAsia="華康仿宋體W6" w:hAnsi="Book Antiqua"/>
          <w:color w:val="000000" w:themeColor="text1"/>
        </w:rPr>
        <w:t>壽險保費收入</w:t>
      </w:r>
      <w:bookmarkEnd w:id="163"/>
    </w:p>
    <w:p w14:paraId="7D5A5425" w14:textId="77777777" w:rsidR="00065C53" w:rsidRPr="00E224E9" w:rsidRDefault="00065C53">
      <w:pPr>
        <w:pStyle w:val="Layer30"/>
        <w:spacing w:line="440" w:lineRule="exact"/>
        <w:ind w:left="975"/>
        <w:jc w:val="both"/>
        <w:rPr>
          <w:rFonts w:ascii="Book Antiqua" w:eastAsia="華康仿宋體W6" w:hAnsi="Book Antiqua"/>
          <w:color w:val="000000" w:themeColor="text1"/>
        </w:rPr>
      </w:pPr>
      <w:r w:rsidRPr="00E224E9">
        <w:rPr>
          <w:rFonts w:ascii="Book Antiqua" w:eastAsia="華康仿宋體W6" w:hAnsi="Book Antiqua"/>
          <w:color w:val="000000" w:themeColor="text1"/>
        </w:rPr>
        <w:t>壽險保費收入包括個人壽險與團體壽險兩個部份，按人身保險業資本適足性相關填報表格之「表</w:t>
      </w:r>
      <w:r w:rsidRPr="00E224E9">
        <w:rPr>
          <w:rFonts w:ascii="Book Antiqua" w:eastAsia="華康仿宋體W6" w:hAnsi="Book Antiqua"/>
          <w:color w:val="000000" w:themeColor="text1"/>
        </w:rPr>
        <w:t>21-1</w:t>
      </w:r>
      <w:r w:rsidRPr="00E224E9">
        <w:rPr>
          <w:rFonts w:ascii="Book Antiqua" w:eastAsia="華康仿宋體W6" w:hAnsi="Book Antiqua"/>
          <w:color w:val="000000" w:themeColor="text1"/>
        </w:rPr>
        <w:t>：直接保險業務明細表」與「表</w:t>
      </w:r>
      <w:r w:rsidRPr="00E224E9">
        <w:rPr>
          <w:rFonts w:ascii="Book Antiqua" w:eastAsia="華康仿宋體W6" w:hAnsi="Book Antiqua"/>
          <w:color w:val="000000" w:themeColor="text1"/>
        </w:rPr>
        <w:t>21-3</w:t>
      </w:r>
      <w:r w:rsidRPr="00E224E9">
        <w:rPr>
          <w:rFonts w:ascii="Book Antiqua" w:eastAsia="華康仿宋體W6" w:hAnsi="Book Antiqua"/>
          <w:color w:val="000000" w:themeColor="text1"/>
        </w:rPr>
        <w:t>：分入再保險業務明細表」中個人壽險暨團體壽險所記錄之帳載價值合計數及規定之風險係數計算風險資本額。</w:t>
      </w:r>
    </w:p>
    <w:p w14:paraId="0D5AFBDE" w14:textId="77777777" w:rsidR="00065C53" w:rsidRPr="00E224E9" w:rsidRDefault="00065C53">
      <w:pPr>
        <w:pStyle w:val="Layer3"/>
        <w:spacing w:line="440" w:lineRule="exact"/>
        <w:ind w:leftChars="150" w:left="570" w:hangingChars="75" w:hanging="180"/>
        <w:jc w:val="both"/>
        <w:rPr>
          <w:rFonts w:ascii="Book Antiqua" w:eastAsia="華康仿宋體W6" w:hAnsi="Book Antiqua"/>
          <w:color w:val="000000" w:themeColor="text1"/>
        </w:rPr>
      </w:pPr>
      <w:bookmarkStart w:id="164" w:name="_Toc7492361"/>
      <w:r w:rsidRPr="00E224E9">
        <w:rPr>
          <w:rFonts w:ascii="Book Antiqua" w:eastAsia="華康仿宋體W6" w:hAnsi="Book Antiqua"/>
          <w:color w:val="000000" w:themeColor="text1"/>
        </w:rPr>
        <w:t>4.1.2.</w:t>
      </w:r>
      <w:r w:rsidRPr="00E224E9">
        <w:rPr>
          <w:rFonts w:ascii="Book Antiqua" w:eastAsia="華康仿宋體W6" w:hAnsi="Book Antiqua"/>
          <w:color w:val="000000" w:themeColor="text1"/>
        </w:rPr>
        <w:t>年金保險保費收入</w:t>
      </w:r>
      <w:bookmarkEnd w:id="164"/>
    </w:p>
    <w:p w14:paraId="767D20D4" w14:textId="77777777" w:rsidR="00065C53" w:rsidRPr="00E224E9" w:rsidRDefault="00065C53">
      <w:pPr>
        <w:spacing w:line="440" w:lineRule="exact"/>
        <w:ind w:left="90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年金保費收入包括個人年金保險與團體年金保險兩個部份，按人身保險業資本適足性相關填報表格之「表</w:t>
      </w:r>
      <w:r w:rsidRPr="00E224E9">
        <w:rPr>
          <w:rFonts w:ascii="Book Antiqua" w:eastAsia="華康仿宋體W6" w:hAnsi="Book Antiqua"/>
          <w:color w:val="000000" w:themeColor="text1"/>
          <w:sz w:val="24"/>
        </w:rPr>
        <w:t xml:space="preserve">21-1: </w:t>
      </w:r>
      <w:r w:rsidRPr="00E224E9">
        <w:rPr>
          <w:rFonts w:ascii="Book Antiqua" w:eastAsia="華康仿宋體W6" w:hAnsi="Book Antiqua"/>
          <w:color w:val="000000" w:themeColor="text1"/>
          <w:sz w:val="24"/>
        </w:rPr>
        <w:t>直接保險業務明細表」與「表</w:t>
      </w:r>
      <w:r w:rsidRPr="00E224E9">
        <w:rPr>
          <w:rFonts w:ascii="Book Antiqua" w:eastAsia="華康仿宋體W6" w:hAnsi="Book Antiqua"/>
          <w:color w:val="000000" w:themeColor="text1"/>
          <w:sz w:val="24"/>
        </w:rPr>
        <w:t xml:space="preserve">21-3: </w:t>
      </w:r>
      <w:r w:rsidRPr="00E224E9">
        <w:rPr>
          <w:rFonts w:ascii="Book Antiqua" w:eastAsia="華康仿宋體W6" w:hAnsi="Book Antiqua"/>
          <w:color w:val="000000" w:themeColor="text1"/>
          <w:sz w:val="24"/>
        </w:rPr>
        <w:t>分入再保險業務明細表」中個人年金險暨團體年金險所記錄之帳載價值合計數及規定之風險係數計算風險資本額。</w:t>
      </w:r>
    </w:p>
    <w:p w14:paraId="39615329" w14:textId="77777777" w:rsidR="00065C53" w:rsidRPr="00E224E9" w:rsidRDefault="00065C53">
      <w:pPr>
        <w:pStyle w:val="Layer3"/>
        <w:spacing w:line="440" w:lineRule="exact"/>
        <w:ind w:leftChars="150" w:left="570" w:hangingChars="75" w:hanging="180"/>
        <w:jc w:val="both"/>
        <w:rPr>
          <w:rFonts w:ascii="Book Antiqua" w:eastAsia="華康仿宋體W6" w:hAnsi="Book Antiqua"/>
          <w:color w:val="000000" w:themeColor="text1"/>
        </w:rPr>
      </w:pPr>
      <w:bookmarkStart w:id="165" w:name="_Toc7492362"/>
      <w:r w:rsidRPr="00E224E9">
        <w:rPr>
          <w:rFonts w:ascii="Book Antiqua" w:eastAsia="華康仿宋體W6" w:hAnsi="Book Antiqua"/>
          <w:color w:val="000000" w:themeColor="text1"/>
        </w:rPr>
        <w:t>4.1.3.</w:t>
      </w:r>
      <w:r w:rsidRPr="00E224E9">
        <w:rPr>
          <w:rFonts w:ascii="Book Antiqua" w:eastAsia="華康仿宋體W6" w:hAnsi="Book Antiqua"/>
          <w:color w:val="000000" w:themeColor="text1"/>
        </w:rPr>
        <w:t>其他保險保費收入</w:t>
      </w:r>
      <w:bookmarkEnd w:id="165"/>
    </w:p>
    <w:p w14:paraId="65C02655" w14:textId="77777777" w:rsidR="00065C53" w:rsidRPr="00E224E9" w:rsidRDefault="00065C53">
      <w:pPr>
        <w:pStyle w:val="a7"/>
        <w:spacing w:after="0" w:line="440" w:lineRule="exact"/>
        <w:ind w:leftChars="346" w:left="901" w:hanging="1"/>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lastRenderedPageBreak/>
        <w:t>包括個人傷害保險、個人健康保險、投資型商品、團體傷害保險與團體健康保險五個部份，按人身保險業資本適足性相關填報表格之「表</w:t>
      </w:r>
      <w:r w:rsidRPr="00E224E9">
        <w:rPr>
          <w:rFonts w:ascii="Book Antiqua" w:eastAsia="華康仿宋體W6" w:hAnsi="Book Antiqua"/>
          <w:color w:val="000000" w:themeColor="text1"/>
          <w:sz w:val="24"/>
        </w:rPr>
        <w:t>21-1</w:t>
      </w:r>
      <w:r w:rsidRPr="00E224E9">
        <w:rPr>
          <w:rFonts w:ascii="Book Antiqua" w:eastAsia="華康仿宋體W6" w:hAnsi="Book Antiqua"/>
          <w:color w:val="000000" w:themeColor="text1"/>
          <w:sz w:val="24"/>
        </w:rPr>
        <w:t>：直接保險業務明細表」與「表</w:t>
      </w:r>
      <w:r w:rsidRPr="00E224E9">
        <w:rPr>
          <w:rFonts w:ascii="Book Antiqua" w:eastAsia="華康仿宋體W6" w:hAnsi="Book Antiqua"/>
          <w:color w:val="000000" w:themeColor="text1"/>
          <w:sz w:val="24"/>
        </w:rPr>
        <w:t>21-3</w:t>
      </w:r>
      <w:r w:rsidRPr="00E224E9">
        <w:rPr>
          <w:rFonts w:ascii="Book Antiqua" w:eastAsia="華康仿宋體W6" w:hAnsi="Book Antiqua"/>
          <w:color w:val="000000" w:themeColor="text1"/>
          <w:sz w:val="24"/>
        </w:rPr>
        <w:t>：分入再保險業務明細表」中個人傷害保險、個人健康保險、投資型商品、團體傷害保險及團體健康保險所記錄之帳載價值合計數及規定之風險係數計算風險資本額。</w:t>
      </w:r>
    </w:p>
    <w:p w14:paraId="178B6DF0" w14:textId="77777777" w:rsidR="00065C53" w:rsidRPr="00E224E9" w:rsidRDefault="00065C53">
      <w:pPr>
        <w:pStyle w:val="Layer2"/>
        <w:spacing w:line="440" w:lineRule="exact"/>
        <w:jc w:val="both"/>
        <w:rPr>
          <w:rFonts w:ascii="Book Antiqua" w:eastAsia="華康仿宋體W6" w:hAnsi="Book Antiqua"/>
          <w:color w:val="000000" w:themeColor="text1"/>
        </w:rPr>
      </w:pPr>
      <w:bookmarkStart w:id="166" w:name="_Toc7492363"/>
      <w:r w:rsidRPr="00E224E9">
        <w:rPr>
          <w:rFonts w:ascii="Book Antiqua" w:eastAsia="華康仿宋體W6" w:hAnsi="Book Antiqua"/>
          <w:color w:val="000000" w:themeColor="text1"/>
        </w:rPr>
        <w:t>4.2</w:t>
      </w:r>
      <w:r w:rsidRPr="00E224E9">
        <w:rPr>
          <w:rFonts w:ascii="Book Antiqua" w:eastAsia="華康仿宋體W6" w:hAnsi="Book Antiqua"/>
          <w:color w:val="000000" w:themeColor="text1"/>
        </w:rPr>
        <w:t>保險業資產總額</w:t>
      </w:r>
      <w:bookmarkEnd w:id="166"/>
    </w:p>
    <w:p w14:paraId="5B05489B" w14:textId="1A359DA5" w:rsidR="00065C53" w:rsidRPr="00E224E9" w:rsidRDefault="00065C53" w:rsidP="00F00878">
      <w:pPr>
        <w:pStyle w:val="Layer20"/>
        <w:spacing w:line="440" w:lineRule="exact"/>
        <w:ind w:leftChars="150" w:left="390"/>
        <w:jc w:val="both"/>
        <w:rPr>
          <w:rFonts w:ascii="Book Antiqua" w:eastAsia="華康仿宋體W6" w:hAnsi="Book Antiqua"/>
          <w:color w:val="000000" w:themeColor="text1"/>
        </w:rPr>
      </w:pPr>
      <w:r w:rsidRPr="00E224E9">
        <w:rPr>
          <w:rFonts w:ascii="Book Antiqua" w:eastAsia="華康仿宋體W6" w:hAnsi="Book Antiqua"/>
          <w:color w:val="000000" w:themeColor="text1"/>
        </w:rPr>
        <w:t>以「表</w:t>
      </w:r>
      <w:r w:rsidRPr="00E224E9">
        <w:rPr>
          <w:rFonts w:ascii="Book Antiqua" w:eastAsia="華康仿宋體W6" w:hAnsi="Book Antiqua"/>
          <w:color w:val="000000" w:themeColor="text1"/>
        </w:rPr>
        <w:t>03</w:t>
      </w:r>
      <w:r w:rsidRPr="00E224E9">
        <w:rPr>
          <w:rFonts w:ascii="Book Antiqua" w:eastAsia="華康仿宋體W6" w:hAnsi="Book Antiqua"/>
          <w:color w:val="000000" w:themeColor="text1"/>
        </w:rPr>
        <w:t>：資產負債表」中公司淨認許資產總計數減除屬投資型保險商品分離帳戶資產、再保險準備資產之淨認許資產金額</w:t>
      </w:r>
      <w:r w:rsidR="003C4465" w:rsidRPr="00E224E9">
        <w:rPr>
          <w:rFonts w:ascii="Book Antiqua" w:eastAsia="華康仿宋體W6" w:hAnsi="Book Antiqua"/>
          <w:color w:val="000000" w:themeColor="text1"/>
        </w:rPr>
        <w:t>及「表</w:t>
      </w:r>
      <w:r w:rsidR="003C4465" w:rsidRPr="00E224E9">
        <w:rPr>
          <w:rFonts w:ascii="Book Antiqua" w:eastAsia="華康仿宋體W6" w:hAnsi="Book Antiqua"/>
          <w:color w:val="000000" w:themeColor="text1"/>
        </w:rPr>
        <w:t>30-7-3</w:t>
      </w:r>
      <w:r w:rsidR="003C4465" w:rsidRPr="00E224E9">
        <w:rPr>
          <w:rFonts w:ascii="Book Antiqua" w:eastAsia="華康仿宋體W6" w:hAnsi="Book Antiqua"/>
          <w:color w:val="000000" w:themeColor="text1"/>
        </w:rPr>
        <w:t>：不動產投資採市價評價計入自有資本調整計算表」投資性不動產後續衡量採用公允價值模式之影響淨額</w:t>
      </w:r>
      <w:r w:rsidRPr="00E224E9">
        <w:rPr>
          <w:rFonts w:ascii="Book Antiqua" w:eastAsia="華康仿宋體W6" w:hAnsi="Book Antiqua"/>
          <w:color w:val="000000" w:themeColor="text1"/>
        </w:rPr>
        <w:t>後</w:t>
      </w:r>
      <w:r w:rsidR="0009411C" w:rsidRPr="00E224E9">
        <w:rPr>
          <w:rFonts w:ascii="Book Antiqua" w:eastAsia="華康仿宋體W6" w:hAnsi="Book Antiqua" w:hint="eastAsia"/>
          <w:color w:val="000000" w:themeColor="text1"/>
        </w:rPr>
        <w:t>，</w:t>
      </w:r>
      <w:r w:rsidR="00F00878" w:rsidRPr="00E224E9">
        <w:rPr>
          <w:rFonts w:ascii="Book Antiqua" w:eastAsia="華康仿宋體W6" w:hAnsi="Book Antiqua" w:hint="eastAsia"/>
          <w:color w:val="000000" w:themeColor="text1"/>
        </w:rPr>
        <w:t>扣除「</w:t>
      </w:r>
      <w:r w:rsidR="00F00878" w:rsidRPr="00E224E9">
        <w:rPr>
          <w:rFonts w:ascii="Book Antiqua" w:eastAsia="華康仿宋體W6" w:hAnsi="Book Antiqua"/>
          <w:color w:val="000000" w:themeColor="text1"/>
        </w:rPr>
        <w:t>113</w:t>
      </w:r>
      <w:r w:rsidR="00F00878" w:rsidRPr="00E224E9">
        <w:rPr>
          <w:rFonts w:ascii="Book Antiqua" w:eastAsia="華康仿宋體W6" w:hAnsi="Book Antiqua" w:hint="eastAsia"/>
          <w:color w:val="000000" w:themeColor="text1"/>
        </w:rPr>
        <w:t>年起，投資國外保險相關事業</w:t>
      </w:r>
      <w:r w:rsidR="00F00878" w:rsidRPr="00E224E9">
        <w:rPr>
          <w:rFonts w:ascii="Book Antiqua" w:eastAsia="華康仿宋體W6" w:hAnsi="Book Antiqua"/>
          <w:color w:val="000000" w:themeColor="text1"/>
        </w:rPr>
        <w:t>(</w:t>
      </w:r>
      <w:r w:rsidR="00F00878" w:rsidRPr="00E224E9">
        <w:rPr>
          <w:rFonts w:ascii="Book Antiqua" w:eastAsia="華康仿宋體W6" w:hAnsi="Book Antiqua" w:hint="eastAsia"/>
          <w:color w:val="000000" w:themeColor="text1"/>
        </w:rPr>
        <w:t>關係人</w:t>
      </w:r>
      <w:r w:rsidR="00F00878" w:rsidRPr="00E224E9">
        <w:rPr>
          <w:rFonts w:ascii="Book Antiqua" w:eastAsia="華康仿宋體W6" w:hAnsi="Book Antiqua"/>
          <w:color w:val="000000" w:themeColor="text1"/>
        </w:rPr>
        <w:t>)</w:t>
      </w:r>
      <w:r w:rsidR="00F00878" w:rsidRPr="00E224E9">
        <w:rPr>
          <w:rFonts w:ascii="Book Antiqua" w:eastAsia="華康仿宋體W6" w:hAnsi="Book Antiqua" w:hint="eastAsia"/>
          <w:color w:val="000000" w:themeColor="text1"/>
        </w:rPr>
        <w:t>」</w:t>
      </w:r>
      <w:r w:rsidR="0007230F" w:rsidRPr="00E224E9">
        <w:rPr>
          <w:rFonts w:ascii="Book Antiqua" w:eastAsia="華康仿宋體W6" w:hAnsi="Book Antiqua" w:hint="eastAsia"/>
          <w:color w:val="000000" w:themeColor="text1"/>
        </w:rPr>
        <w:t>淨</w:t>
      </w:r>
      <w:r w:rsidR="00F00878" w:rsidRPr="00E224E9">
        <w:rPr>
          <w:rFonts w:ascii="Book Antiqua" w:eastAsia="華康仿宋體W6" w:hAnsi="Book Antiqua" w:hint="eastAsia"/>
          <w:color w:val="000000" w:themeColor="text1"/>
        </w:rPr>
        <w:t>認許資產，加計</w:t>
      </w:r>
      <w:r w:rsidR="00F00878" w:rsidRPr="00E224E9">
        <w:rPr>
          <w:rFonts w:ascii="Book Antiqua" w:eastAsia="華康仿宋體W6" w:hAnsi="Book Antiqua" w:hint="eastAsia"/>
          <w:color w:val="000000" w:themeColor="text1"/>
          <w:u w:val="single"/>
        </w:rPr>
        <w:t>「國外籌資事業」</w:t>
      </w:r>
      <w:r w:rsidR="0007230F" w:rsidRPr="00E224E9">
        <w:rPr>
          <w:rFonts w:ascii="Book Antiqua" w:eastAsia="華康仿宋體W6" w:hAnsi="Book Antiqua" w:hint="eastAsia"/>
          <w:color w:val="000000" w:themeColor="text1"/>
          <w:u w:val="single"/>
        </w:rPr>
        <w:t>投資相關的淨</w:t>
      </w:r>
      <w:r w:rsidR="00F00878" w:rsidRPr="00E224E9">
        <w:rPr>
          <w:rFonts w:ascii="Book Antiqua" w:eastAsia="華康仿宋體W6" w:hAnsi="Book Antiqua" w:hint="eastAsia"/>
          <w:color w:val="000000" w:themeColor="text1"/>
          <w:u w:val="single"/>
        </w:rPr>
        <w:t>認許資產</w:t>
      </w:r>
      <w:r w:rsidRPr="00E224E9">
        <w:rPr>
          <w:rFonts w:ascii="Book Antiqua" w:eastAsia="華康仿宋體W6" w:hAnsi="Book Antiqua"/>
          <w:color w:val="000000" w:themeColor="text1"/>
        </w:rPr>
        <w:t>之餘額，乘以規定之風險係數計算風險資本額。</w:t>
      </w:r>
    </w:p>
    <w:p w14:paraId="74BF59E4" w14:textId="77777777" w:rsidR="00065C53" w:rsidRPr="00E224E9" w:rsidRDefault="00065C53">
      <w:pPr>
        <w:pStyle w:val="Layer2"/>
        <w:spacing w:line="440" w:lineRule="exact"/>
        <w:jc w:val="both"/>
        <w:rPr>
          <w:rFonts w:ascii="Book Antiqua" w:eastAsia="華康仿宋體W6" w:hAnsi="Book Antiqua"/>
          <w:color w:val="000000" w:themeColor="text1"/>
        </w:rPr>
      </w:pPr>
      <w:r w:rsidRPr="00E224E9">
        <w:rPr>
          <w:rFonts w:ascii="Book Antiqua" w:eastAsia="華康仿宋體W6" w:hAnsi="Book Antiqua"/>
          <w:color w:val="000000" w:themeColor="text1"/>
        </w:rPr>
        <w:t>4.3</w:t>
      </w:r>
      <w:r w:rsidR="003247EB" w:rsidRPr="00E224E9">
        <w:rPr>
          <w:rFonts w:ascii="Book Antiqua" w:eastAsia="華康仿宋體W6" w:hAnsi="Book Antiqua" w:hint="eastAsia"/>
          <w:color w:val="000000" w:themeColor="text1"/>
        </w:rPr>
        <w:t>公平待客原則排名</w:t>
      </w:r>
      <w:r w:rsidRPr="00E224E9">
        <w:rPr>
          <w:rFonts w:ascii="Book Antiqua" w:eastAsia="華康仿宋體W6" w:hAnsi="Book Antiqua"/>
          <w:color w:val="000000" w:themeColor="text1"/>
        </w:rPr>
        <w:t>落入後段</w:t>
      </w:r>
      <w:r w:rsidRPr="00E224E9">
        <w:rPr>
          <w:rFonts w:ascii="Book Antiqua" w:eastAsia="華康仿宋體W6" w:hAnsi="Book Antiqua"/>
          <w:color w:val="000000" w:themeColor="text1"/>
        </w:rPr>
        <w:t>20%</w:t>
      </w:r>
      <w:r w:rsidRPr="00E224E9">
        <w:rPr>
          <w:rFonts w:ascii="Book Antiqua" w:eastAsia="華康仿宋體W6" w:hAnsi="Book Antiqua"/>
          <w:color w:val="000000" w:themeColor="text1"/>
        </w:rPr>
        <w:t>之公司加計風險資本額</w:t>
      </w:r>
    </w:p>
    <w:p w14:paraId="6BE87C22" w14:textId="77777777" w:rsidR="00065C53" w:rsidRPr="00E224E9" w:rsidRDefault="009975A9">
      <w:pPr>
        <w:pStyle w:val="Layer20"/>
        <w:spacing w:line="440" w:lineRule="exact"/>
        <w:ind w:leftChars="150" w:left="390"/>
        <w:jc w:val="both"/>
        <w:rPr>
          <w:rFonts w:ascii="Book Antiqua" w:eastAsia="華康仿宋體W6" w:hAnsi="Book Antiqua"/>
          <w:color w:val="000000" w:themeColor="text1"/>
          <w:sz w:val="32"/>
        </w:rPr>
      </w:pPr>
      <w:r w:rsidRPr="00E224E9">
        <w:rPr>
          <w:rFonts w:ascii="華康仿宋體W6" w:eastAsia="華康仿宋體W6" w:hAnsi="Book Antiqua" w:hint="eastAsia"/>
          <w:color w:val="000000" w:themeColor="text1"/>
          <w:kern w:val="0"/>
          <w:szCs w:val="20"/>
        </w:rPr>
        <w:t>公平待客原則排名依據主管機關評核結果，產、壽公司分別評定，其分別擷取排名落入後段</w:t>
      </w:r>
      <w:r w:rsidRPr="00E224E9">
        <w:rPr>
          <w:rFonts w:ascii="Book Antiqua" w:eastAsia="新細明體" w:hAnsi="Book Antiqua"/>
          <w:color w:val="000000" w:themeColor="text1"/>
          <w:kern w:val="0"/>
          <w:szCs w:val="20"/>
        </w:rPr>
        <w:t>20%</w:t>
      </w:r>
      <w:r w:rsidRPr="00E224E9">
        <w:rPr>
          <w:rFonts w:ascii="華康仿宋體W6" w:eastAsia="華康仿宋體W6" w:hAnsi="Book Antiqua" w:hint="eastAsia"/>
          <w:color w:val="000000" w:themeColor="text1"/>
          <w:kern w:val="0"/>
          <w:szCs w:val="20"/>
        </w:rPr>
        <w:t>之公司，需以</w:t>
      </w:r>
      <w:r w:rsidRPr="00E224E9">
        <w:rPr>
          <w:rFonts w:ascii="Book Antiqua" w:eastAsia="新細明體" w:hAnsi="Book Antiqua"/>
          <w:color w:val="000000" w:themeColor="text1"/>
          <w:kern w:val="0"/>
          <w:szCs w:val="20"/>
        </w:rPr>
        <w:t>C4</w:t>
      </w:r>
      <w:r w:rsidRPr="00E224E9">
        <w:rPr>
          <w:rFonts w:ascii="華康仿宋體W6" w:eastAsia="華康仿宋體W6" w:hAnsi="Book Antiqua" w:hint="eastAsia"/>
          <w:color w:val="000000" w:themeColor="text1"/>
          <w:kern w:val="0"/>
          <w:szCs w:val="20"/>
        </w:rPr>
        <w:t>其他風險資本額總計數，乘以既定之權數</w:t>
      </w:r>
      <w:r w:rsidRPr="00E224E9">
        <w:rPr>
          <w:rFonts w:ascii="Book Antiqua" w:eastAsia="新細明體" w:hAnsi="Book Antiqua"/>
          <w:color w:val="000000" w:themeColor="text1"/>
          <w:kern w:val="0"/>
          <w:szCs w:val="20"/>
        </w:rPr>
        <w:t>(</w:t>
      </w:r>
      <w:r w:rsidRPr="00E224E9">
        <w:rPr>
          <w:rFonts w:ascii="華康仿宋體W6" w:eastAsia="華康仿宋體W6" w:hAnsi="Book Antiqua" w:hint="eastAsia"/>
          <w:color w:val="000000" w:themeColor="text1"/>
          <w:kern w:val="0"/>
          <w:szCs w:val="20"/>
        </w:rPr>
        <w:t>置於</w:t>
      </w:r>
      <w:r w:rsidRPr="00E224E9">
        <w:rPr>
          <w:rFonts w:ascii="Book Antiqua" w:eastAsia="新細明體" w:hAnsi="Book Antiqua"/>
          <w:color w:val="000000" w:themeColor="text1"/>
          <w:kern w:val="0"/>
          <w:szCs w:val="20"/>
        </w:rPr>
        <w:t>“</w:t>
      </w:r>
      <w:r w:rsidRPr="00E224E9">
        <w:rPr>
          <w:rFonts w:ascii="華康仿宋體W6" w:eastAsia="華康仿宋體W6" w:hAnsi="Book Antiqua" w:hint="eastAsia"/>
          <w:color w:val="000000" w:themeColor="text1"/>
          <w:kern w:val="0"/>
          <w:szCs w:val="20"/>
        </w:rPr>
        <w:t>風險係數</w:t>
      </w:r>
      <w:r w:rsidRPr="00E224E9">
        <w:rPr>
          <w:rFonts w:ascii="Book Antiqua" w:eastAsia="新細明體" w:hAnsi="Book Antiqua"/>
          <w:color w:val="000000" w:themeColor="text1"/>
          <w:kern w:val="0"/>
          <w:szCs w:val="20"/>
        </w:rPr>
        <w:t>”</w:t>
      </w:r>
      <w:r w:rsidRPr="00E224E9">
        <w:rPr>
          <w:rFonts w:ascii="華康仿宋體W6" w:eastAsia="華康仿宋體W6" w:hAnsi="Book Antiqua" w:hint="eastAsia"/>
          <w:color w:val="000000" w:themeColor="text1"/>
          <w:kern w:val="0"/>
          <w:szCs w:val="20"/>
        </w:rPr>
        <w:t>欄位，目前為</w:t>
      </w:r>
      <w:r w:rsidRPr="00E224E9">
        <w:rPr>
          <w:rFonts w:ascii="Book Antiqua" w:eastAsia="新細明體" w:hAnsi="Book Antiqua"/>
          <w:color w:val="000000" w:themeColor="text1"/>
          <w:kern w:val="0"/>
          <w:szCs w:val="20"/>
        </w:rPr>
        <w:t>5%)</w:t>
      </w:r>
      <w:r w:rsidRPr="00E224E9">
        <w:rPr>
          <w:rFonts w:ascii="華康仿宋體W6" w:eastAsia="華康仿宋體W6" w:hAnsi="Book Antiqua" w:hint="eastAsia"/>
          <w:color w:val="000000" w:themeColor="text1"/>
          <w:kern w:val="0"/>
          <w:szCs w:val="20"/>
        </w:rPr>
        <w:t>計算加計之風險資本額。但成立兩年內之新公司倘落於排名後段</w:t>
      </w:r>
      <w:r w:rsidRPr="00E224E9">
        <w:rPr>
          <w:rFonts w:ascii="Book Antiqua" w:eastAsia="新細明體" w:hAnsi="Book Antiqua"/>
          <w:color w:val="000000" w:themeColor="text1"/>
          <w:kern w:val="0"/>
          <w:szCs w:val="20"/>
        </w:rPr>
        <w:t>20%</w:t>
      </w:r>
      <w:r w:rsidRPr="00E224E9">
        <w:rPr>
          <w:rFonts w:ascii="華康仿宋體W6" w:eastAsia="華康仿宋體W6" w:hAnsi="Book Antiqua" w:hint="eastAsia"/>
          <w:color w:val="000000" w:themeColor="text1"/>
          <w:kern w:val="0"/>
          <w:szCs w:val="20"/>
        </w:rPr>
        <w:t>者除外</w:t>
      </w:r>
      <w:r w:rsidRPr="00E224E9">
        <w:rPr>
          <w:rFonts w:ascii="Book Antiqua" w:eastAsia="新細明體" w:hAnsi="Book Antiqua"/>
          <w:color w:val="000000" w:themeColor="text1"/>
          <w:kern w:val="0"/>
          <w:szCs w:val="20"/>
        </w:rPr>
        <w:t>(</w:t>
      </w:r>
      <w:r w:rsidRPr="00E224E9">
        <w:rPr>
          <w:rFonts w:ascii="華康仿宋體W6" w:eastAsia="華康仿宋體W6" w:hAnsi="Book Antiqua" w:hint="eastAsia"/>
          <w:color w:val="000000" w:themeColor="text1"/>
          <w:kern w:val="0"/>
          <w:szCs w:val="20"/>
        </w:rPr>
        <w:t>即「其他風險」無須加計</w:t>
      </w:r>
      <w:r w:rsidRPr="00E224E9">
        <w:rPr>
          <w:rFonts w:ascii="Book Antiqua" w:eastAsia="新細明體" w:hAnsi="Book Antiqua"/>
          <w:color w:val="000000" w:themeColor="text1"/>
          <w:kern w:val="0"/>
          <w:szCs w:val="20"/>
        </w:rPr>
        <w:t>5%</w:t>
      </w:r>
      <w:r w:rsidRPr="00E224E9">
        <w:rPr>
          <w:rFonts w:ascii="華康仿宋體W6" w:eastAsia="華康仿宋體W6" w:hAnsi="Book Antiqua" w:hint="eastAsia"/>
          <w:color w:val="000000" w:themeColor="text1"/>
          <w:kern w:val="0"/>
          <w:szCs w:val="20"/>
        </w:rPr>
        <w:t>之風險資本額</w:t>
      </w:r>
      <w:r w:rsidRPr="00E224E9">
        <w:rPr>
          <w:rFonts w:ascii="Book Antiqua" w:eastAsia="新細明體" w:hAnsi="Book Antiqua"/>
          <w:color w:val="000000" w:themeColor="text1"/>
          <w:kern w:val="0"/>
          <w:szCs w:val="20"/>
        </w:rPr>
        <w:t>)</w:t>
      </w:r>
      <w:r w:rsidRPr="00E224E9">
        <w:rPr>
          <w:rFonts w:ascii="華康仿宋體W6" w:eastAsia="華康仿宋體W6" w:hAnsi="Book Antiqua" w:hint="eastAsia"/>
          <w:color w:val="000000" w:themeColor="text1"/>
          <w:kern w:val="0"/>
          <w:szCs w:val="20"/>
        </w:rPr>
        <w:t>。</w:t>
      </w:r>
      <w:r w:rsidR="00065C53" w:rsidRPr="00E224E9">
        <w:rPr>
          <w:rFonts w:ascii="Book Antiqua" w:eastAsia="華康仿宋體W6" w:hAnsi="Book Antiqua"/>
          <w:color w:val="000000" w:themeColor="text1"/>
        </w:rPr>
        <w:t>其中，兩年內之起算日以主管機關核准設立日為準。</w:t>
      </w:r>
      <w:r w:rsidR="00A479CF" w:rsidRPr="00E224E9">
        <w:rPr>
          <w:rFonts w:ascii="Book Antiqua" w:eastAsia="華康仿宋體W6" w:hAnsi="Book Antiqua" w:hint="eastAsia"/>
          <w:color w:val="000000" w:themeColor="text1"/>
        </w:rPr>
        <w:t>公平待客原則排名</w:t>
      </w:r>
      <w:r w:rsidR="00065C53" w:rsidRPr="00E224E9">
        <w:rPr>
          <w:rFonts w:ascii="Book Antiqua" w:eastAsia="華康仿宋體W6" w:hAnsi="Book Antiqua"/>
          <w:color w:val="000000" w:themeColor="text1"/>
        </w:rPr>
        <w:t>係由主管機關</w:t>
      </w:r>
      <w:r w:rsidRPr="00E224E9">
        <w:rPr>
          <w:rFonts w:ascii="華康仿宋體W6" w:eastAsia="華康仿宋體W6" w:hAnsi="Book Antiqua" w:hint="eastAsia"/>
          <w:color w:val="000000" w:themeColor="text1"/>
          <w:kern w:val="0"/>
          <w:szCs w:val="20"/>
        </w:rPr>
        <w:t>公布</w:t>
      </w:r>
      <w:r w:rsidR="00065C53" w:rsidRPr="00E224E9">
        <w:rPr>
          <w:rFonts w:ascii="Book Antiqua" w:eastAsia="華康仿宋體W6" w:hAnsi="Book Antiqua"/>
          <w:color w:val="000000" w:themeColor="text1"/>
        </w:rPr>
        <w:t>，並由保發中心通知落入後段</w:t>
      </w:r>
      <w:r w:rsidR="00065C53" w:rsidRPr="00E224E9">
        <w:rPr>
          <w:rFonts w:ascii="Book Antiqua" w:eastAsia="華康仿宋體W6" w:hAnsi="Book Antiqua"/>
          <w:color w:val="000000" w:themeColor="text1"/>
        </w:rPr>
        <w:t>20%</w:t>
      </w:r>
      <w:r w:rsidR="00065C53" w:rsidRPr="00E224E9">
        <w:rPr>
          <w:rFonts w:ascii="Book Antiqua" w:eastAsia="華康仿宋體W6" w:hAnsi="Book Antiqua"/>
          <w:color w:val="000000" w:themeColor="text1"/>
        </w:rPr>
        <w:t>之公司。</w:t>
      </w:r>
      <w:r w:rsidRPr="00E224E9">
        <w:rPr>
          <w:rFonts w:ascii="華康仿宋體W6" w:eastAsia="華康仿宋體W6" w:hAnsi="Book Antiqua" w:hint="eastAsia"/>
          <w:color w:val="000000" w:themeColor="text1"/>
          <w:kern w:val="0"/>
          <w:szCs w:val="20"/>
        </w:rPr>
        <w:t>當年度公布之公平待客原則排名結果適用當年度整年期間，且每年更新一次。</w:t>
      </w:r>
    </w:p>
    <w:p w14:paraId="6CF0A596" w14:textId="77777777" w:rsidR="00CC128B" w:rsidRPr="00E224E9" w:rsidRDefault="00065C53">
      <w:pPr>
        <w:pStyle w:val="1"/>
        <w:spacing w:afterLines="0" w:line="440" w:lineRule="exact"/>
        <w:jc w:val="both"/>
        <w:rPr>
          <w:b w:val="0"/>
          <w:bCs w:val="0"/>
          <w:color w:val="000000" w:themeColor="text1"/>
          <w:sz w:val="24"/>
          <w:szCs w:val="24"/>
        </w:rPr>
      </w:pPr>
      <w:r w:rsidRPr="00E224E9">
        <w:rPr>
          <w:b w:val="0"/>
          <w:bCs w:val="0"/>
          <w:color w:val="000000" w:themeColor="text1"/>
          <w:sz w:val="24"/>
          <w:szCs w:val="24"/>
        </w:rPr>
        <w:br w:type="page"/>
      </w:r>
      <w:bookmarkStart w:id="167" w:name="_Toc219262259"/>
    </w:p>
    <w:p w14:paraId="66EE697A" w14:textId="1206F1A9" w:rsidR="00CC128B" w:rsidRPr="00E224E9" w:rsidRDefault="00CC128B">
      <w:pPr>
        <w:pStyle w:val="1"/>
        <w:spacing w:afterLines="0" w:line="440" w:lineRule="exact"/>
        <w:jc w:val="both"/>
        <w:rPr>
          <w:color w:val="000000" w:themeColor="text1"/>
          <w:szCs w:val="40"/>
        </w:rPr>
      </w:pPr>
      <w:bookmarkStart w:id="168" w:name="_Toc200468559"/>
      <w:r w:rsidRPr="00E224E9">
        <w:rPr>
          <w:color w:val="000000" w:themeColor="text1"/>
          <w:szCs w:val="40"/>
        </w:rPr>
        <w:lastRenderedPageBreak/>
        <w:t>表30-</w:t>
      </w:r>
      <w:r w:rsidRPr="00E224E9">
        <w:rPr>
          <w:rFonts w:hint="eastAsia"/>
          <w:color w:val="000000" w:themeColor="text1"/>
          <w:szCs w:val="40"/>
        </w:rPr>
        <w:t>6-2</w:t>
      </w:r>
      <w:r w:rsidRPr="00E224E9">
        <w:rPr>
          <w:color w:val="000000" w:themeColor="text1"/>
          <w:szCs w:val="40"/>
        </w:rPr>
        <w:t>：</w:t>
      </w:r>
      <w:r w:rsidR="005945D9" w:rsidRPr="00E224E9">
        <w:rPr>
          <w:rFonts w:hint="eastAsia"/>
          <w:color w:val="000000" w:themeColor="text1"/>
          <w:szCs w:val="40"/>
        </w:rPr>
        <w:t>C5：</w:t>
      </w:r>
      <w:r w:rsidRPr="00E224E9">
        <w:rPr>
          <w:rFonts w:hint="eastAsia"/>
          <w:color w:val="000000" w:themeColor="text1"/>
          <w:szCs w:val="40"/>
        </w:rPr>
        <w:t>巨災風險</w:t>
      </w:r>
      <w:r w:rsidR="00E355BC" w:rsidRPr="00E224E9">
        <w:rPr>
          <w:rFonts w:hint="eastAsia"/>
          <w:color w:val="000000" w:themeColor="text1"/>
          <w:szCs w:val="40"/>
        </w:rPr>
        <w:t>資本計算表</w:t>
      </w:r>
      <w:bookmarkEnd w:id="168"/>
    </w:p>
    <w:p w14:paraId="3056563C" w14:textId="77777777" w:rsidR="00CC128B" w:rsidRPr="00E224E9" w:rsidRDefault="00CC128B" w:rsidP="00CC128B">
      <w:pPr>
        <w:rPr>
          <w:rFonts w:ascii="標楷體" w:hAnsi="標楷體"/>
          <w:color w:val="000000" w:themeColor="text1"/>
        </w:rPr>
      </w:pPr>
    </w:p>
    <w:p w14:paraId="7399C8EE" w14:textId="6658F24D" w:rsidR="00FD3A67" w:rsidRPr="00E224E9" w:rsidRDefault="004373AD" w:rsidP="004373AD">
      <w:pPr>
        <w:spacing w:line="360" w:lineRule="auto"/>
        <w:ind w:firstLineChars="193" w:firstLine="502"/>
        <w:rPr>
          <w:rFonts w:ascii="Book Antiqua" w:eastAsia="華康仿宋體W6" w:hAnsi="Book Antiqua"/>
          <w:color w:val="000000" w:themeColor="text1"/>
        </w:rPr>
      </w:pPr>
      <w:r w:rsidRPr="00E224E9">
        <w:rPr>
          <w:rFonts w:ascii="Book Antiqua" w:eastAsia="華康仿宋體W6" w:hAnsi="Book Antiqua"/>
          <w:color w:val="000000" w:themeColor="text1"/>
        </w:rPr>
        <w:t>本報表的目的在於計算壽險業「巨災風險</w:t>
      </w:r>
      <w:r w:rsidR="008F208D" w:rsidRPr="00E224E9">
        <w:rPr>
          <w:rFonts w:ascii="Book Antiqua" w:eastAsia="華康仿宋體W6" w:hAnsi="Book Antiqua"/>
          <w:color w:val="000000" w:themeColor="text1"/>
        </w:rPr>
        <w:t>資本</w:t>
      </w:r>
      <w:r w:rsidRPr="00E224E9">
        <w:rPr>
          <w:rFonts w:ascii="Book Antiqua" w:eastAsia="華康仿宋體W6" w:hAnsi="Book Antiqua"/>
          <w:color w:val="000000" w:themeColor="text1"/>
        </w:rPr>
        <w:t>」，以利平穩接軌「保險業新一代清償能力制度」。</w:t>
      </w:r>
      <w:r w:rsidR="008D0349" w:rsidRPr="00E224E9">
        <w:rPr>
          <w:rFonts w:ascii="Book Antiqua" w:eastAsia="華康仿宋體W6" w:hAnsi="Book Antiqua"/>
          <w:color w:val="000000" w:themeColor="text1"/>
        </w:rPr>
        <w:t>壽險業</w:t>
      </w:r>
      <w:r w:rsidR="008F208D" w:rsidRPr="00E224E9">
        <w:rPr>
          <w:rFonts w:ascii="Book Antiqua" w:eastAsia="華康仿宋體W6" w:hAnsi="Book Antiqua"/>
          <w:color w:val="000000" w:themeColor="text1"/>
        </w:rPr>
        <w:t>「巨災風險」</w:t>
      </w:r>
      <w:r w:rsidR="008D0349" w:rsidRPr="00E224E9">
        <w:rPr>
          <w:rFonts w:ascii="Book Antiqua" w:eastAsia="華康仿宋體W6" w:hAnsi="Book Antiqua"/>
          <w:color w:val="000000" w:themeColor="text1"/>
        </w:rPr>
        <w:t>包含「恐怖攻擊」和「傳染病」風險</w:t>
      </w:r>
      <w:r w:rsidR="00FD3A67" w:rsidRPr="00E224E9">
        <w:rPr>
          <w:rFonts w:ascii="Book Antiqua" w:eastAsia="華康仿宋體W6" w:hAnsi="Book Antiqua"/>
          <w:color w:val="000000" w:themeColor="text1"/>
        </w:rPr>
        <w:t>。計算相關細節請參考最新「保險業新一代清償能力制度</w:t>
      </w:r>
      <w:r w:rsidR="00FD3A67" w:rsidRPr="00E224E9">
        <w:rPr>
          <w:rFonts w:ascii="Book Antiqua" w:eastAsia="華康仿宋體W6" w:hAnsi="Book Antiqua"/>
          <w:color w:val="000000" w:themeColor="text1"/>
        </w:rPr>
        <w:t>-QIS</w:t>
      </w:r>
      <w:r w:rsidR="00FD3A67" w:rsidRPr="00E224E9">
        <w:rPr>
          <w:rFonts w:ascii="Book Antiqua" w:eastAsia="華康仿宋體W6" w:hAnsi="Book Antiqua"/>
          <w:color w:val="000000" w:themeColor="text1"/>
        </w:rPr>
        <w:t>實務處理指引」，無須換算成</w:t>
      </w:r>
      <w:r w:rsidR="00FD3A67" w:rsidRPr="00E224E9">
        <w:rPr>
          <w:rFonts w:ascii="Book Antiqua" w:eastAsia="華康仿宋體W6" w:hAnsi="Book Antiqua"/>
          <w:color w:val="000000" w:themeColor="text1"/>
        </w:rPr>
        <w:t>95%VaR</w:t>
      </w:r>
      <w:r w:rsidR="00FD3A67" w:rsidRPr="00E224E9">
        <w:rPr>
          <w:rFonts w:ascii="Book Antiqua" w:eastAsia="華康仿宋體W6" w:hAnsi="Book Antiqua"/>
          <w:color w:val="000000" w:themeColor="text1"/>
        </w:rPr>
        <w:t>。</w:t>
      </w:r>
    </w:p>
    <w:p w14:paraId="393F77E3" w14:textId="77777777" w:rsidR="00FD3A67" w:rsidRPr="00E224E9" w:rsidRDefault="00FD3A67" w:rsidP="00CC128B">
      <w:pPr>
        <w:rPr>
          <w:rFonts w:ascii="標楷體" w:hAnsi="標楷體"/>
          <w:color w:val="000000" w:themeColor="text1"/>
        </w:rPr>
      </w:pPr>
    </w:p>
    <w:p w14:paraId="06F094F1" w14:textId="77777777" w:rsidR="00FD3A67" w:rsidRPr="00E224E9" w:rsidRDefault="00FD3A67" w:rsidP="00CC128B">
      <w:pPr>
        <w:rPr>
          <w:rFonts w:ascii="標楷體" w:hAnsi="標楷體"/>
          <w:color w:val="000000" w:themeColor="text1"/>
        </w:rPr>
      </w:pPr>
    </w:p>
    <w:p w14:paraId="21BFD6AE" w14:textId="77777777" w:rsidR="00CC128B" w:rsidRPr="00E224E9" w:rsidRDefault="00CC128B" w:rsidP="00CC128B">
      <w:pPr>
        <w:rPr>
          <w:rFonts w:ascii="標楷體" w:hAnsi="標楷體"/>
          <w:color w:val="000000" w:themeColor="text1"/>
        </w:rPr>
      </w:pPr>
    </w:p>
    <w:p w14:paraId="06159067" w14:textId="77777777" w:rsidR="00CC128B" w:rsidRPr="00E224E9" w:rsidRDefault="00CC128B" w:rsidP="00CC128B">
      <w:pPr>
        <w:rPr>
          <w:color w:val="000000" w:themeColor="text1"/>
        </w:rPr>
      </w:pPr>
    </w:p>
    <w:p w14:paraId="081E243B" w14:textId="77777777" w:rsidR="00CC128B" w:rsidRPr="00E224E9" w:rsidRDefault="00CC128B">
      <w:pPr>
        <w:widowControl/>
        <w:rPr>
          <w:rFonts w:ascii="標楷體" w:hAnsi="標楷體"/>
          <w:b/>
          <w:bCs/>
          <w:color w:val="000000" w:themeColor="text1"/>
          <w:sz w:val="40"/>
          <w:szCs w:val="52"/>
        </w:rPr>
      </w:pPr>
      <w:r w:rsidRPr="00E224E9">
        <w:rPr>
          <w:color w:val="000000" w:themeColor="text1"/>
        </w:rPr>
        <w:br w:type="page"/>
      </w:r>
    </w:p>
    <w:p w14:paraId="50EF0B61" w14:textId="7B370094" w:rsidR="00065C53" w:rsidRPr="00E224E9" w:rsidRDefault="00065C53">
      <w:pPr>
        <w:pStyle w:val="1"/>
        <w:spacing w:afterLines="0" w:line="440" w:lineRule="exact"/>
        <w:jc w:val="both"/>
        <w:rPr>
          <w:color w:val="000000" w:themeColor="text1"/>
        </w:rPr>
      </w:pPr>
      <w:bookmarkStart w:id="169" w:name="_Toc200468560"/>
      <w:r w:rsidRPr="00E224E9">
        <w:rPr>
          <w:color w:val="000000" w:themeColor="text1"/>
        </w:rPr>
        <w:lastRenderedPageBreak/>
        <w:t>表30-7：自有資本總額計算表</w:t>
      </w:r>
      <w:bookmarkEnd w:id="167"/>
      <w:bookmarkEnd w:id="169"/>
    </w:p>
    <w:p w14:paraId="0A6DDA94" w14:textId="77777777" w:rsidR="00B60299" w:rsidRPr="00E224E9" w:rsidRDefault="00B60299" w:rsidP="00285610">
      <w:pPr>
        <w:spacing w:line="440" w:lineRule="exact"/>
        <w:ind w:firstLineChars="192" w:firstLine="461"/>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本計算報表填報的目的在於列示人身保險業自有資本來源各項目部位概況，以供主管機關評估其資本適足性。自有資本總額之計算包含</w:t>
      </w:r>
      <w:r w:rsidRPr="00E224E9">
        <w:rPr>
          <w:rFonts w:ascii="Book Antiqua" w:eastAsia="華康仿宋體W6" w:hAnsi="Book Antiqua" w:hint="eastAsia"/>
          <w:color w:val="000000" w:themeColor="text1"/>
          <w:sz w:val="24"/>
        </w:rPr>
        <w:t>「第一類非限制性資本</w:t>
      </w:r>
      <w:r w:rsidRPr="00E224E9">
        <w:rPr>
          <w:rFonts w:ascii="Book Antiqua" w:eastAsia="華康仿宋體W6" w:hAnsi="Book Antiqua" w:hint="eastAsia"/>
          <w:color w:val="000000" w:themeColor="text1"/>
          <w:sz w:val="24"/>
        </w:rPr>
        <w:t>(</w:t>
      </w:r>
      <w:r w:rsidRPr="00E224E9">
        <w:rPr>
          <w:rFonts w:ascii="Book Antiqua" w:eastAsia="華康仿宋體W6" w:hAnsi="Book Antiqua"/>
          <w:color w:val="000000" w:themeColor="text1"/>
          <w:sz w:val="24"/>
        </w:rPr>
        <w:t>T1U</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」、「第一類限制性資本</w:t>
      </w:r>
      <w:r w:rsidRPr="00E224E9">
        <w:rPr>
          <w:rFonts w:ascii="Book Antiqua" w:eastAsia="華康仿宋體W6" w:hAnsi="Book Antiqua" w:hint="eastAsia"/>
          <w:color w:val="000000" w:themeColor="text1"/>
          <w:sz w:val="24"/>
        </w:rPr>
        <w:t>(</w:t>
      </w:r>
      <w:r w:rsidRPr="00E224E9">
        <w:rPr>
          <w:rFonts w:ascii="Book Antiqua" w:eastAsia="華康仿宋體W6" w:hAnsi="Book Antiqua"/>
          <w:color w:val="000000" w:themeColor="text1"/>
          <w:sz w:val="24"/>
        </w:rPr>
        <w:t>T1</w:t>
      </w:r>
      <w:r w:rsidRPr="00E224E9">
        <w:rPr>
          <w:rFonts w:ascii="Book Antiqua" w:eastAsia="華康仿宋體W6" w:hAnsi="Book Antiqua" w:hint="eastAsia"/>
          <w:color w:val="000000" w:themeColor="text1"/>
          <w:sz w:val="24"/>
        </w:rPr>
        <w:t>L)</w:t>
      </w:r>
      <w:r w:rsidRPr="00E224E9">
        <w:rPr>
          <w:rFonts w:ascii="Book Antiqua" w:eastAsia="華康仿宋體W6" w:hAnsi="Book Antiqua" w:hint="eastAsia"/>
          <w:color w:val="000000" w:themeColor="text1"/>
          <w:sz w:val="24"/>
        </w:rPr>
        <w:t>」和「第二類資本</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w:t>
      </w:r>
    </w:p>
    <w:p w14:paraId="33670B26" w14:textId="762C24E4" w:rsidR="00B60299" w:rsidRPr="00E224E9" w:rsidRDefault="00B60299" w:rsidP="00B60299">
      <w:pPr>
        <w:spacing w:line="44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ab/>
      </w:r>
      <w:r w:rsidRPr="00E224E9">
        <w:rPr>
          <w:rFonts w:ascii="Book Antiqua" w:eastAsia="華康仿宋體W6" w:hAnsi="Book Antiqua"/>
          <w:color w:val="000000" w:themeColor="text1"/>
          <w:sz w:val="24"/>
        </w:rPr>
        <w:t>本說明的目的為配合相關法令規定</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即，保險業資本適足性管理辦法</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及資本適足性制度填報需求，簡介該表之填列規則，以利保險公司之填報作業。</w:t>
      </w:r>
    </w:p>
    <w:p w14:paraId="1323912A" w14:textId="77777777" w:rsidR="00B60299" w:rsidRPr="00E224E9" w:rsidRDefault="00B60299" w:rsidP="00B60299">
      <w:pPr>
        <w:spacing w:line="440" w:lineRule="exact"/>
        <w:jc w:val="both"/>
        <w:rPr>
          <w:rFonts w:ascii="Book Antiqua" w:eastAsia="華康仿宋體W6" w:hAnsi="Book Antiqua"/>
          <w:color w:val="000000" w:themeColor="text1"/>
          <w:sz w:val="24"/>
        </w:rPr>
      </w:pPr>
    </w:p>
    <w:p w14:paraId="5684C25C" w14:textId="77777777" w:rsidR="00B60299" w:rsidRPr="00E224E9" w:rsidRDefault="00B60299" w:rsidP="00B60299">
      <w:pPr>
        <w:spacing w:line="44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主要列位說明如下：</w:t>
      </w:r>
    </w:p>
    <w:tbl>
      <w:tblPr>
        <w:tblStyle w:val="aff5"/>
        <w:tblW w:w="10338" w:type="dxa"/>
        <w:tblInd w:w="-845" w:type="dxa"/>
        <w:tblLook w:val="04A0" w:firstRow="1" w:lastRow="0" w:firstColumn="1" w:lastColumn="0" w:noHBand="0" w:noVBand="1"/>
      </w:tblPr>
      <w:tblGrid>
        <w:gridCol w:w="556"/>
        <w:gridCol w:w="3828"/>
        <w:gridCol w:w="5954"/>
      </w:tblGrid>
      <w:tr w:rsidR="00E224E9" w:rsidRPr="00E224E9" w14:paraId="6AFB389E" w14:textId="77777777" w:rsidTr="00285610">
        <w:trPr>
          <w:tblHeader/>
        </w:trPr>
        <w:tc>
          <w:tcPr>
            <w:tcW w:w="556" w:type="dxa"/>
            <w:shd w:val="clear" w:color="auto" w:fill="2E74B5" w:themeFill="accent1" w:themeFillShade="BF"/>
          </w:tcPr>
          <w:p w14:paraId="3E2135EA" w14:textId="77777777" w:rsidR="00B60299" w:rsidRPr="00E224E9" w:rsidRDefault="00B60299" w:rsidP="00285610">
            <w:pPr>
              <w:spacing w:line="400" w:lineRule="exact"/>
              <w:ind w:left="45"/>
              <w:rPr>
                <w:rFonts w:ascii="Book Antiqua" w:eastAsia="華康仿宋體W6" w:hAnsi="Book Antiqua"/>
                <w:b/>
                <w:bCs/>
                <w:color w:val="000000" w:themeColor="text1"/>
                <w:sz w:val="28"/>
                <w:szCs w:val="28"/>
              </w:rPr>
            </w:pPr>
            <w:r w:rsidRPr="00E224E9">
              <w:rPr>
                <w:rFonts w:ascii="Book Antiqua" w:eastAsia="華康仿宋體W6" w:hAnsi="Book Antiqua" w:hint="eastAsia"/>
                <w:b/>
                <w:bCs/>
                <w:color w:val="000000" w:themeColor="text1"/>
                <w:sz w:val="28"/>
                <w:szCs w:val="28"/>
              </w:rPr>
              <w:t>列</w:t>
            </w:r>
          </w:p>
        </w:tc>
        <w:tc>
          <w:tcPr>
            <w:tcW w:w="3828" w:type="dxa"/>
            <w:shd w:val="clear" w:color="auto" w:fill="2E74B5" w:themeFill="accent1" w:themeFillShade="BF"/>
          </w:tcPr>
          <w:p w14:paraId="1B1E1A77" w14:textId="77777777" w:rsidR="00B60299" w:rsidRPr="00E224E9" w:rsidRDefault="00B60299" w:rsidP="00F36FD8">
            <w:pPr>
              <w:spacing w:line="400" w:lineRule="exact"/>
              <w:ind w:left="520"/>
              <w:jc w:val="center"/>
              <w:rPr>
                <w:rFonts w:ascii="Book Antiqua" w:eastAsia="華康仿宋體W6" w:hAnsi="Book Antiqua"/>
                <w:b/>
                <w:bCs/>
                <w:color w:val="000000" w:themeColor="text1"/>
                <w:sz w:val="28"/>
                <w:szCs w:val="28"/>
              </w:rPr>
            </w:pPr>
            <w:r w:rsidRPr="00E224E9">
              <w:rPr>
                <w:rFonts w:ascii="Book Antiqua" w:eastAsia="華康仿宋體W6" w:hAnsi="Book Antiqua" w:hint="eastAsia"/>
                <w:b/>
                <w:bCs/>
                <w:color w:val="000000" w:themeColor="text1"/>
                <w:sz w:val="28"/>
                <w:szCs w:val="28"/>
              </w:rPr>
              <w:t>名稱</w:t>
            </w:r>
          </w:p>
        </w:tc>
        <w:tc>
          <w:tcPr>
            <w:tcW w:w="5954" w:type="dxa"/>
            <w:shd w:val="clear" w:color="auto" w:fill="2E74B5" w:themeFill="accent1" w:themeFillShade="BF"/>
          </w:tcPr>
          <w:p w14:paraId="6CEA1381" w14:textId="77777777" w:rsidR="00B60299" w:rsidRPr="00E224E9" w:rsidRDefault="00B60299" w:rsidP="00F36FD8">
            <w:pPr>
              <w:spacing w:line="400" w:lineRule="exact"/>
              <w:ind w:left="520"/>
              <w:jc w:val="center"/>
              <w:rPr>
                <w:rFonts w:ascii="Book Antiqua" w:eastAsia="華康仿宋體W6" w:hAnsi="Book Antiqua"/>
                <w:b/>
                <w:bCs/>
                <w:color w:val="000000" w:themeColor="text1"/>
                <w:sz w:val="28"/>
                <w:szCs w:val="28"/>
              </w:rPr>
            </w:pPr>
            <w:r w:rsidRPr="00E224E9">
              <w:rPr>
                <w:rFonts w:ascii="Book Antiqua" w:eastAsia="華康仿宋體W6" w:hAnsi="Book Antiqua" w:hint="eastAsia"/>
                <w:b/>
                <w:bCs/>
                <w:color w:val="000000" w:themeColor="text1"/>
                <w:sz w:val="28"/>
                <w:szCs w:val="28"/>
              </w:rPr>
              <w:t>說明</w:t>
            </w:r>
          </w:p>
        </w:tc>
      </w:tr>
      <w:tr w:rsidR="00E224E9" w:rsidRPr="00E224E9" w14:paraId="6FE736B2" w14:textId="77777777" w:rsidTr="00285610">
        <w:tc>
          <w:tcPr>
            <w:tcW w:w="556" w:type="dxa"/>
          </w:tcPr>
          <w:p w14:paraId="42B7EFDF" w14:textId="77777777" w:rsidR="00B60299" w:rsidRPr="00E224E9" w:rsidRDefault="00B60299" w:rsidP="00285610">
            <w:pPr>
              <w:spacing w:line="400" w:lineRule="exact"/>
              <w:ind w:left="101"/>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p>
        </w:tc>
        <w:tc>
          <w:tcPr>
            <w:tcW w:w="3828" w:type="dxa"/>
          </w:tcPr>
          <w:p w14:paraId="257A1C3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風險資本總額</w:t>
            </w:r>
          </w:p>
        </w:tc>
        <w:tc>
          <w:tcPr>
            <w:tcW w:w="5954" w:type="dxa"/>
          </w:tcPr>
          <w:p w14:paraId="5898905D"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30-1</w:t>
            </w:r>
            <w:r w:rsidRPr="00E224E9">
              <w:rPr>
                <w:rFonts w:ascii="Book Antiqua" w:eastAsia="華康仿宋體W6" w:hAnsi="Book Antiqua" w:hint="eastAsia"/>
                <w:color w:val="000000" w:themeColor="text1"/>
                <w:sz w:val="24"/>
              </w:rPr>
              <w:t>」風險資本總額</w:t>
            </w:r>
          </w:p>
        </w:tc>
      </w:tr>
      <w:tr w:rsidR="00E224E9" w:rsidRPr="00E224E9" w14:paraId="63A2D946" w14:textId="77777777" w:rsidTr="00285610">
        <w:tc>
          <w:tcPr>
            <w:tcW w:w="556" w:type="dxa"/>
          </w:tcPr>
          <w:p w14:paraId="142A2E9F" w14:textId="77777777" w:rsidR="00B60299" w:rsidRPr="00E224E9" w:rsidRDefault="00B60299" w:rsidP="00285610">
            <w:pPr>
              <w:spacing w:line="400" w:lineRule="exact"/>
              <w:ind w:left="101"/>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p>
        </w:tc>
        <w:tc>
          <w:tcPr>
            <w:tcW w:w="3828" w:type="dxa"/>
          </w:tcPr>
          <w:p w14:paraId="314B493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第一類限制性資本</w:t>
            </w:r>
            <w:r w:rsidRPr="00E224E9">
              <w:rPr>
                <w:rFonts w:ascii="Book Antiqua" w:eastAsia="華康仿宋體W6" w:hAnsi="Book Antiqua" w:hint="eastAsia"/>
                <w:color w:val="000000" w:themeColor="text1"/>
                <w:sz w:val="24"/>
              </w:rPr>
              <w:t>(T1L)</w:t>
            </w:r>
          </w:p>
        </w:tc>
        <w:tc>
          <w:tcPr>
            <w:tcW w:w="5954" w:type="dxa"/>
          </w:tcPr>
          <w:p w14:paraId="30450A24" w14:textId="29B587AB"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「第一類限制性資本</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」之限額為風險資本額之</w:t>
            </w:r>
            <w:r w:rsidR="00BB0C8C"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0%</w:t>
            </w:r>
          </w:p>
        </w:tc>
      </w:tr>
      <w:tr w:rsidR="00E224E9" w:rsidRPr="00E224E9" w14:paraId="77998BC9" w14:textId="77777777" w:rsidTr="00285610">
        <w:tc>
          <w:tcPr>
            <w:tcW w:w="556" w:type="dxa"/>
          </w:tcPr>
          <w:p w14:paraId="7976363B" w14:textId="77777777" w:rsidR="00B60299" w:rsidRPr="00E224E9" w:rsidRDefault="00B60299" w:rsidP="00285610">
            <w:pPr>
              <w:spacing w:line="400" w:lineRule="exact"/>
              <w:ind w:left="101"/>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p>
        </w:tc>
        <w:tc>
          <w:tcPr>
            <w:tcW w:w="3828" w:type="dxa"/>
          </w:tcPr>
          <w:p w14:paraId="470B738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第二類資本</w:t>
            </w:r>
            <w:r w:rsidRPr="00E224E9">
              <w:rPr>
                <w:rFonts w:ascii="Book Antiqua" w:eastAsia="華康仿宋體W6" w:hAnsi="Book Antiqua" w:hint="eastAsia"/>
                <w:color w:val="000000" w:themeColor="text1"/>
                <w:sz w:val="24"/>
              </w:rPr>
              <w:t>(T2)</w:t>
            </w:r>
          </w:p>
        </w:tc>
        <w:tc>
          <w:tcPr>
            <w:tcW w:w="5954" w:type="dxa"/>
          </w:tcPr>
          <w:p w14:paraId="1D5C4396"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「第二類資本</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」之限額為風險資本額之</w:t>
            </w:r>
            <w:r w:rsidRPr="00E224E9">
              <w:rPr>
                <w:rFonts w:ascii="Book Antiqua" w:eastAsia="華康仿宋體W6" w:hAnsi="Book Antiqua" w:hint="eastAsia"/>
                <w:color w:val="000000" w:themeColor="text1"/>
                <w:sz w:val="24"/>
              </w:rPr>
              <w:t>100%</w:t>
            </w:r>
          </w:p>
        </w:tc>
      </w:tr>
      <w:tr w:rsidR="00E224E9" w:rsidRPr="00E224E9" w14:paraId="5498AFB8" w14:textId="77777777" w:rsidTr="00285610">
        <w:tc>
          <w:tcPr>
            <w:tcW w:w="10338" w:type="dxa"/>
            <w:gridSpan w:val="3"/>
            <w:shd w:val="clear" w:color="auto" w:fill="FFFFCC"/>
          </w:tcPr>
          <w:p w14:paraId="589483FF" w14:textId="77777777" w:rsidR="00B60299" w:rsidRPr="00E224E9" w:rsidRDefault="00B60299" w:rsidP="00285610">
            <w:pPr>
              <w:spacing w:line="400" w:lineRule="exact"/>
              <w:ind w:left="22"/>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T1U</w:t>
            </w:r>
            <w:r w:rsidRPr="00E224E9">
              <w:rPr>
                <w:rFonts w:ascii="Book Antiqua" w:eastAsia="華康仿宋體W6" w:hAnsi="Book Antiqua" w:hint="eastAsia"/>
                <w:color w:val="000000" w:themeColor="text1"/>
                <w:sz w:val="28"/>
                <w:szCs w:val="28"/>
              </w:rPr>
              <w:t>加項：</w:t>
            </w:r>
          </w:p>
        </w:tc>
      </w:tr>
      <w:tr w:rsidR="00E224E9" w:rsidRPr="00E224E9" w14:paraId="11B3B565" w14:textId="77777777" w:rsidTr="00285610">
        <w:tc>
          <w:tcPr>
            <w:tcW w:w="556" w:type="dxa"/>
          </w:tcPr>
          <w:p w14:paraId="0099F6C5" w14:textId="77777777" w:rsidR="00B60299" w:rsidRPr="00E224E9" w:rsidRDefault="00B60299" w:rsidP="00285610">
            <w:pPr>
              <w:spacing w:line="400" w:lineRule="exact"/>
              <w:ind w:left="101"/>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p>
        </w:tc>
        <w:tc>
          <w:tcPr>
            <w:tcW w:w="3828" w:type="dxa"/>
          </w:tcPr>
          <w:p w14:paraId="2D9C9DA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權益總額</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淨認許權益</w:t>
            </w:r>
            <w:r w:rsidRPr="00E224E9">
              <w:rPr>
                <w:rFonts w:ascii="Book Antiqua" w:eastAsia="華康仿宋體W6" w:hAnsi="Book Antiqua"/>
                <w:color w:val="000000" w:themeColor="text1"/>
                <w:sz w:val="24"/>
              </w:rPr>
              <w:t>)</w:t>
            </w:r>
          </w:p>
        </w:tc>
        <w:tc>
          <w:tcPr>
            <w:tcW w:w="5954" w:type="dxa"/>
          </w:tcPr>
          <w:p w14:paraId="6C584749"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權益總額按「表</w:t>
            </w:r>
            <w:r w:rsidRPr="00E224E9">
              <w:rPr>
                <w:rFonts w:ascii="Book Antiqua" w:eastAsia="華康仿宋體W6" w:hAnsi="Book Antiqua" w:hint="eastAsia"/>
                <w:color w:val="000000" w:themeColor="text1"/>
                <w:sz w:val="24"/>
              </w:rPr>
              <w:t>03</w:t>
            </w:r>
            <w:r w:rsidRPr="00E224E9">
              <w:rPr>
                <w:rFonts w:ascii="Book Antiqua" w:eastAsia="華康仿宋體W6" w:hAnsi="Book Antiqua" w:hint="eastAsia"/>
                <w:color w:val="000000" w:themeColor="text1"/>
                <w:sz w:val="24"/>
              </w:rPr>
              <w:t>：資產負債表」所記錄之淨認許權益之金額填報，此係帳載權益總額扣除未適格再保險盈餘調整數及淨認許資產調整數，並加計符合自有資本條件之特別股負債後之數額，乘以規定之係數計算自有資本額。</w:t>
            </w:r>
          </w:p>
        </w:tc>
      </w:tr>
      <w:tr w:rsidR="00E224E9" w:rsidRPr="00E224E9" w14:paraId="2513615C" w14:textId="77777777" w:rsidTr="00285610">
        <w:tc>
          <w:tcPr>
            <w:tcW w:w="556" w:type="dxa"/>
          </w:tcPr>
          <w:p w14:paraId="364294EC" w14:textId="77777777"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5</w:t>
            </w:r>
          </w:p>
        </w:tc>
        <w:tc>
          <w:tcPr>
            <w:tcW w:w="3828" w:type="dxa"/>
          </w:tcPr>
          <w:p w14:paraId="3357E22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外匯價格變動準備金</w:t>
            </w:r>
          </w:p>
        </w:tc>
        <w:tc>
          <w:tcPr>
            <w:tcW w:w="5954" w:type="dxa"/>
          </w:tcPr>
          <w:p w14:paraId="4D8C93E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外匯價格變動準備金按「表</w:t>
            </w:r>
            <w:r w:rsidRPr="00E224E9">
              <w:rPr>
                <w:rFonts w:ascii="Book Antiqua" w:eastAsia="華康仿宋體W6" w:hAnsi="Book Antiqua"/>
                <w:color w:val="000000" w:themeColor="text1"/>
                <w:sz w:val="24"/>
              </w:rPr>
              <w:t>25-6</w:t>
            </w:r>
            <w:r w:rsidRPr="00E224E9">
              <w:rPr>
                <w:rFonts w:ascii="Book Antiqua" w:eastAsia="華康仿宋體W6" w:hAnsi="Book Antiqua" w:hint="eastAsia"/>
                <w:color w:val="000000" w:themeColor="text1"/>
                <w:sz w:val="24"/>
              </w:rPr>
              <w:t>：外匯價格變動準備金明細表」所記錄之本</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半</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年末累積外匯價格變動準備金總數，乘以規定之係數計算自有資本額之調整數。</w:t>
            </w:r>
          </w:p>
        </w:tc>
      </w:tr>
      <w:tr w:rsidR="00E224E9" w:rsidRPr="00E224E9" w14:paraId="06B6953E" w14:textId="77777777" w:rsidTr="00285610">
        <w:tc>
          <w:tcPr>
            <w:tcW w:w="556" w:type="dxa"/>
          </w:tcPr>
          <w:p w14:paraId="738AC8BB" w14:textId="77777777"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6</w:t>
            </w:r>
          </w:p>
        </w:tc>
        <w:tc>
          <w:tcPr>
            <w:tcW w:w="3828" w:type="dxa"/>
          </w:tcPr>
          <w:p w14:paraId="2E43A49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責任準備</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保險合約負債公平價值</w:t>
            </w:r>
          </w:p>
        </w:tc>
        <w:tc>
          <w:tcPr>
            <w:tcW w:w="5954" w:type="dxa"/>
          </w:tcPr>
          <w:p w14:paraId="740F36C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w:t>
            </w:r>
            <w:r w:rsidRPr="00E224E9">
              <w:rPr>
                <w:rFonts w:ascii="Book Antiqua" w:eastAsia="華康仿宋體W6" w:hAnsi="Book Antiqua"/>
                <w:color w:val="000000" w:themeColor="text1"/>
                <w:sz w:val="24"/>
              </w:rPr>
              <w:t>101</w:t>
            </w:r>
            <w:r w:rsidRPr="00E224E9">
              <w:rPr>
                <w:rFonts w:ascii="Book Antiqua" w:eastAsia="華康仿宋體W6" w:hAnsi="Book Antiqua" w:hint="eastAsia"/>
                <w:color w:val="000000" w:themeColor="text1"/>
                <w:sz w:val="24"/>
              </w:rPr>
              <w:t>年</w:t>
            </w:r>
            <w:r w:rsidRPr="00E224E9">
              <w:rPr>
                <w:rFonts w:ascii="Book Antiqua" w:eastAsia="華康仿宋體W6" w:hAnsi="Book Antiqua"/>
                <w:color w:val="000000" w:themeColor="text1"/>
                <w:sz w:val="24"/>
              </w:rPr>
              <w:t>11</w:t>
            </w:r>
            <w:r w:rsidRPr="00E224E9">
              <w:rPr>
                <w:rFonts w:ascii="Book Antiqua" w:eastAsia="華康仿宋體W6" w:hAnsi="Book Antiqua" w:hint="eastAsia"/>
                <w:color w:val="000000" w:themeColor="text1"/>
                <w:sz w:val="24"/>
              </w:rPr>
              <w:t>月</w:t>
            </w:r>
            <w:r w:rsidRPr="00E224E9">
              <w:rPr>
                <w:rFonts w:ascii="Book Antiqua" w:eastAsia="華康仿宋體W6" w:hAnsi="Book Antiqua"/>
                <w:color w:val="000000" w:themeColor="text1"/>
                <w:sz w:val="24"/>
              </w:rPr>
              <w:t>27</w:t>
            </w:r>
            <w:r w:rsidRPr="00E224E9">
              <w:rPr>
                <w:rFonts w:ascii="Book Antiqua" w:eastAsia="華康仿宋體W6" w:hAnsi="Book Antiqua" w:hint="eastAsia"/>
                <w:color w:val="000000" w:themeColor="text1"/>
                <w:sz w:val="24"/>
              </w:rPr>
              <w:t>日金管保財字第</w:t>
            </w:r>
            <w:r w:rsidRPr="00E224E9">
              <w:rPr>
                <w:rFonts w:ascii="Book Antiqua" w:eastAsia="華康仿宋體W6" w:hAnsi="Book Antiqua"/>
                <w:color w:val="000000" w:themeColor="text1"/>
                <w:sz w:val="24"/>
              </w:rPr>
              <w:t>10102515285</w:t>
            </w:r>
            <w:r w:rsidRPr="00E224E9">
              <w:rPr>
                <w:rFonts w:ascii="Book Antiqua" w:eastAsia="華康仿宋體W6" w:hAnsi="Book Antiqua" w:hint="eastAsia"/>
                <w:color w:val="000000" w:themeColor="text1"/>
                <w:sz w:val="24"/>
              </w:rPr>
              <w:t>號函評估</w:t>
            </w:r>
            <w:r w:rsidRPr="00E224E9">
              <w:rPr>
                <w:rFonts w:ascii="Book Antiqua" w:eastAsia="華康仿宋體W6" w:hAnsi="Book Antiqua"/>
                <w:color w:val="000000" w:themeColor="text1"/>
                <w:sz w:val="24"/>
              </w:rPr>
              <w:t>101</w:t>
            </w:r>
            <w:r w:rsidRPr="00E224E9">
              <w:rPr>
                <w:rFonts w:ascii="Book Antiqua" w:eastAsia="華康仿宋體W6" w:hAnsi="Book Antiqua" w:hint="eastAsia"/>
                <w:color w:val="000000" w:themeColor="text1"/>
                <w:sz w:val="24"/>
              </w:rPr>
              <w:t>年至</w:t>
            </w:r>
            <w:r w:rsidRPr="00E224E9">
              <w:rPr>
                <w:rFonts w:ascii="Book Antiqua" w:eastAsia="華康仿宋體W6" w:hAnsi="Book Antiqua"/>
                <w:color w:val="000000" w:themeColor="text1"/>
                <w:sz w:val="24"/>
              </w:rPr>
              <w:t>106</w:t>
            </w:r>
            <w:r w:rsidRPr="00E224E9">
              <w:rPr>
                <w:rFonts w:ascii="Book Antiqua" w:eastAsia="華康仿宋體W6" w:hAnsi="Book Antiqua" w:hint="eastAsia"/>
                <w:color w:val="000000" w:themeColor="text1"/>
                <w:sz w:val="24"/>
              </w:rPr>
              <w:t>年各年度之有效契約負債公平價值之結果，有需要強化責任準備者，依所報計畫各年度增提之責任準備，提列於「責任準備</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保險合約負債公平價值」之累積增提金額及規定之調整係數計算自有資本額之調整數。</w:t>
            </w:r>
          </w:p>
        </w:tc>
      </w:tr>
      <w:tr w:rsidR="00E224E9" w:rsidRPr="00E224E9" w14:paraId="0167C688" w14:textId="77777777" w:rsidTr="00285610">
        <w:tc>
          <w:tcPr>
            <w:tcW w:w="556" w:type="dxa"/>
          </w:tcPr>
          <w:p w14:paraId="258830AF" w14:textId="77777777"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7</w:t>
            </w:r>
          </w:p>
        </w:tc>
        <w:tc>
          <w:tcPr>
            <w:tcW w:w="3828" w:type="dxa"/>
          </w:tcPr>
          <w:p w14:paraId="74C07626"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特別準備</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分紅保單紅利準備</w:t>
            </w:r>
          </w:p>
        </w:tc>
        <w:tc>
          <w:tcPr>
            <w:tcW w:w="5954" w:type="dxa"/>
          </w:tcPr>
          <w:p w14:paraId="1681821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按「表</w:t>
            </w:r>
            <w:r w:rsidRPr="00E224E9">
              <w:rPr>
                <w:rFonts w:ascii="Book Antiqua" w:eastAsia="華康仿宋體W6" w:hAnsi="Book Antiqua"/>
                <w:color w:val="000000" w:themeColor="text1"/>
                <w:sz w:val="24"/>
              </w:rPr>
              <w:t>30-7-7</w:t>
            </w:r>
            <w:r w:rsidRPr="00E224E9">
              <w:rPr>
                <w:rFonts w:ascii="Book Antiqua" w:eastAsia="華康仿宋體W6" w:hAnsi="Book Antiqua" w:hint="eastAsia"/>
                <w:color w:val="000000" w:themeColor="text1"/>
                <w:sz w:val="24"/>
              </w:rPr>
              <w:t>：自由分紅保單紅利準備計入自有資本調整計算表」第</w:t>
            </w:r>
            <w:r w:rsidRPr="00E224E9">
              <w:rPr>
                <w:rFonts w:ascii="Book Antiqua" w:eastAsia="華康仿宋體W6" w:hAnsi="Book Antiqua"/>
                <w:color w:val="000000" w:themeColor="text1"/>
                <w:sz w:val="24"/>
              </w:rPr>
              <w:t>(3)</w:t>
            </w:r>
            <w:r w:rsidRPr="00E224E9">
              <w:rPr>
                <w:rFonts w:ascii="Book Antiqua" w:eastAsia="華康仿宋體W6" w:hAnsi="Book Antiqua" w:hint="eastAsia"/>
                <w:color w:val="000000" w:themeColor="text1"/>
                <w:sz w:val="24"/>
              </w:rPr>
              <w:t>欄第</w:t>
            </w:r>
            <w:r w:rsidRPr="00E224E9">
              <w:rPr>
                <w:rFonts w:ascii="Book Antiqua" w:eastAsia="華康仿宋體W6" w:hAnsi="Book Antiqua"/>
                <w:color w:val="000000" w:themeColor="text1"/>
                <w:sz w:val="24"/>
              </w:rPr>
              <w:t>(7)</w:t>
            </w:r>
            <w:r w:rsidRPr="00E224E9">
              <w:rPr>
                <w:rFonts w:ascii="Book Antiqua" w:eastAsia="華康仿宋體W6" w:hAnsi="Book Antiqua" w:hint="eastAsia"/>
                <w:color w:val="000000" w:themeColor="text1"/>
                <w:sz w:val="24"/>
              </w:rPr>
              <w:t>列及規定之調整係數計算自有資本額之調整數。</w:t>
            </w:r>
          </w:p>
        </w:tc>
      </w:tr>
      <w:tr w:rsidR="00E224E9" w:rsidRPr="00E224E9" w14:paraId="2A7907CF" w14:textId="77777777" w:rsidTr="00285610">
        <w:tc>
          <w:tcPr>
            <w:tcW w:w="556" w:type="dxa"/>
          </w:tcPr>
          <w:p w14:paraId="053808A8" w14:textId="77777777"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8</w:t>
            </w:r>
          </w:p>
        </w:tc>
        <w:tc>
          <w:tcPr>
            <w:tcW w:w="3828" w:type="dxa"/>
          </w:tcPr>
          <w:p w14:paraId="51B0BFD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其他經主管機關專案核定調整之項目及金額者，另依核定之方式計算</w:t>
            </w:r>
          </w:p>
        </w:tc>
        <w:tc>
          <w:tcPr>
            <w:tcW w:w="5954" w:type="dxa"/>
          </w:tcPr>
          <w:p w14:paraId="04BB8F67"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經主管機關基於安定保險市場專案核定者另依核定之方式計算。</w:t>
            </w:r>
          </w:p>
        </w:tc>
      </w:tr>
      <w:tr w:rsidR="00F7712F" w:rsidRPr="00E224E9" w14:paraId="4A21608E" w14:textId="77777777" w:rsidTr="00285610">
        <w:tc>
          <w:tcPr>
            <w:tcW w:w="556" w:type="dxa"/>
          </w:tcPr>
          <w:p w14:paraId="1A5438C1" w14:textId="028EA351" w:rsidR="00F7712F" w:rsidRPr="004D5D28" w:rsidRDefault="00F7712F" w:rsidP="00285610">
            <w:pPr>
              <w:spacing w:line="400" w:lineRule="exact"/>
              <w:ind w:left="22"/>
              <w:jc w:val="both"/>
              <w:rPr>
                <w:rFonts w:ascii="Book Antiqua" w:eastAsia="華康仿宋體W6" w:hAnsi="Book Antiqua"/>
                <w:color w:val="EE0000"/>
                <w:sz w:val="24"/>
              </w:rPr>
            </w:pPr>
            <w:r>
              <w:rPr>
                <w:rFonts w:ascii="Book Antiqua" w:eastAsia="華康仿宋體W6" w:hAnsi="Book Antiqua" w:hint="eastAsia"/>
                <w:color w:val="EE0000"/>
                <w:sz w:val="24"/>
              </w:rPr>
              <w:t>9</w:t>
            </w:r>
          </w:p>
        </w:tc>
        <w:tc>
          <w:tcPr>
            <w:tcW w:w="3828" w:type="dxa"/>
          </w:tcPr>
          <w:p w14:paraId="2C120F7E" w14:textId="24A209F2" w:rsidR="00F7712F" w:rsidRPr="004D5D28" w:rsidRDefault="00F7712F" w:rsidP="00285610">
            <w:pPr>
              <w:spacing w:line="400" w:lineRule="exact"/>
              <w:jc w:val="both"/>
              <w:rPr>
                <w:rFonts w:ascii="Book Antiqua" w:eastAsia="華康仿宋體W6" w:hAnsi="Book Antiqua"/>
                <w:color w:val="EE0000"/>
                <w:sz w:val="24"/>
              </w:rPr>
            </w:pPr>
            <w:r w:rsidRPr="00F7712F">
              <w:rPr>
                <w:rFonts w:ascii="Book Antiqua" w:eastAsia="華康仿宋體W6" w:hAnsi="Book Antiqua" w:hint="eastAsia"/>
                <w:color w:val="EE0000"/>
                <w:sz w:val="24"/>
              </w:rPr>
              <w:t>匯率日均價調整數</w:t>
            </w:r>
          </w:p>
        </w:tc>
        <w:tc>
          <w:tcPr>
            <w:tcW w:w="5954" w:type="dxa"/>
          </w:tcPr>
          <w:p w14:paraId="4BE92446" w14:textId="54068859" w:rsidR="00F7712F" w:rsidRPr="004D5D28" w:rsidRDefault="00F7712F" w:rsidP="00285610">
            <w:pPr>
              <w:spacing w:line="400" w:lineRule="exact"/>
              <w:jc w:val="both"/>
              <w:rPr>
                <w:rFonts w:ascii="Book Antiqua" w:eastAsia="華康仿宋體W6" w:hAnsi="Book Antiqua"/>
                <w:color w:val="EE0000"/>
                <w:sz w:val="24"/>
              </w:rPr>
            </w:pPr>
            <w:r w:rsidRPr="00F7712F">
              <w:rPr>
                <w:rFonts w:ascii="Book Antiqua" w:eastAsia="華康仿宋體W6" w:hAnsi="Book Antiqua" w:hint="eastAsia"/>
                <w:color w:val="EE0000"/>
                <w:sz w:val="24"/>
              </w:rPr>
              <w:t>「表</w:t>
            </w:r>
            <w:r w:rsidRPr="00F7712F">
              <w:rPr>
                <w:rFonts w:ascii="Book Antiqua" w:eastAsia="華康仿宋體W6" w:hAnsi="Book Antiqua" w:hint="eastAsia"/>
                <w:color w:val="EE0000"/>
                <w:sz w:val="24"/>
              </w:rPr>
              <w:t>30-3-6</w:t>
            </w:r>
            <w:r w:rsidRPr="00F7712F">
              <w:rPr>
                <w:rFonts w:ascii="Book Antiqua" w:eastAsia="華康仿宋體W6" w:hAnsi="Book Antiqua" w:hint="eastAsia"/>
                <w:color w:val="EE0000"/>
                <w:sz w:val="24"/>
              </w:rPr>
              <w:t>：匯率日均價調整數」第</w:t>
            </w:r>
            <w:r w:rsidRPr="00F7712F">
              <w:rPr>
                <w:rFonts w:ascii="Book Antiqua" w:eastAsia="華康仿宋體W6" w:hAnsi="Book Antiqua" w:hint="eastAsia"/>
                <w:color w:val="EE0000"/>
                <w:sz w:val="24"/>
              </w:rPr>
              <w:t>(8)</w:t>
            </w:r>
            <w:r w:rsidRPr="00F7712F">
              <w:rPr>
                <w:rFonts w:ascii="Book Antiqua" w:eastAsia="華康仿宋體W6" w:hAnsi="Book Antiqua" w:hint="eastAsia"/>
                <w:color w:val="EE0000"/>
                <w:sz w:val="24"/>
              </w:rPr>
              <w:t>列第</w:t>
            </w:r>
            <w:r w:rsidRPr="00F7712F">
              <w:rPr>
                <w:rFonts w:ascii="Book Antiqua" w:eastAsia="華康仿宋體W6" w:hAnsi="Book Antiqua" w:hint="eastAsia"/>
                <w:color w:val="EE0000"/>
                <w:sz w:val="24"/>
              </w:rPr>
              <w:t>(9)</w:t>
            </w:r>
            <w:r w:rsidRPr="00F7712F">
              <w:rPr>
                <w:rFonts w:ascii="Book Antiqua" w:eastAsia="華康仿宋體W6" w:hAnsi="Book Antiqua" w:hint="eastAsia"/>
                <w:color w:val="EE0000"/>
                <w:sz w:val="24"/>
              </w:rPr>
              <w:t>欄</w:t>
            </w:r>
          </w:p>
        </w:tc>
      </w:tr>
      <w:tr w:rsidR="00E224E9" w:rsidRPr="00E224E9" w14:paraId="67360B3A" w14:textId="77777777" w:rsidTr="00285610">
        <w:tc>
          <w:tcPr>
            <w:tcW w:w="10338" w:type="dxa"/>
            <w:gridSpan w:val="3"/>
            <w:shd w:val="clear" w:color="auto" w:fill="FFFFCC"/>
          </w:tcPr>
          <w:p w14:paraId="002D5C2E" w14:textId="77777777" w:rsidR="00B60299" w:rsidRPr="00E224E9" w:rsidRDefault="00B60299" w:rsidP="00285610">
            <w:pPr>
              <w:spacing w:line="400" w:lineRule="exact"/>
              <w:ind w:left="22"/>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lastRenderedPageBreak/>
              <w:t>T1U</w:t>
            </w:r>
            <w:r w:rsidRPr="00E224E9">
              <w:rPr>
                <w:rFonts w:ascii="Book Antiqua" w:eastAsia="華康仿宋體W6" w:hAnsi="Book Antiqua" w:hint="eastAsia"/>
                <w:color w:val="000000" w:themeColor="text1"/>
                <w:sz w:val="28"/>
                <w:szCs w:val="28"/>
              </w:rPr>
              <w:t>減項：</w:t>
            </w:r>
          </w:p>
        </w:tc>
      </w:tr>
      <w:tr w:rsidR="00E224E9" w:rsidRPr="00E224E9" w14:paraId="60FB8994" w14:textId="77777777" w:rsidTr="00285610">
        <w:tc>
          <w:tcPr>
            <w:tcW w:w="556" w:type="dxa"/>
          </w:tcPr>
          <w:p w14:paraId="1F59AAF5" w14:textId="35B793A7" w:rsidR="00B60299" w:rsidRPr="00E224E9" w:rsidRDefault="00E82E2F" w:rsidP="00285610">
            <w:pPr>
              <w:spacing w:line="400" w:lineRule="exact"/>
              <w:ind w:left="22"/>
              <w:jc w:val="both"/>
              <w:rPr>
                <w:rFonts w:ascii="Book Antiqua" w:eastAsia="華康仿宋體W6" w:hAnsi="Book Antiqua"/>
                <w:color w:val="000000" w:themeColor="text1"/>
                <w:sz w:val="24"/>
              </w:rPr>
            </w:pPr>
            <w:r>
              <w:rPr>
                <w:rFonts w:ascii="Book Antiqua" w:eastAsia="華康仿宋體W6" w:hAnsi="Book Antiqua" w:hint="eastAsia"/>
                <w:color w:val="000000" w:themeColor="text1"/>
                <w:sz w:val="24"/>
              </w:rPr>
              <w:t>10</w:t>
            </w:r>
          </w:p>
        </w:tc>
        <w:tc>
          <w:tcPr>
            <w:tcW w:w="3828" w:type="dxa"/>
          </w:tcPr>
          <w:p w14:paraId="4E0036AB"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調整股票型金融資產帳載金額為半年收盤平均價</w:t>
            </w:r>
          </w:p>
        </w:tc>
        <w:tc>
          <w:tcPr>
            <w:tcW w:w="5954" w:type="dxa"/>
          </w:tcPr>
          <w:p w14:paraId="793E2AC4"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按「表</w:t>
            </w:r>
            <w:r w:rsidRPr="00E224E9">
              <w:rPr>
                <w:rFonts w:ascii="Book Antiqua" w:eastAsia="華康仿宋體W6" w:hAnsi="Book Antiqua"/>
                <w:color w:val="000000" w:themeColor="text1"/>
                <w:sz w:val="24"/>
              </w:rPr>
              <w:t>30-7-5</w:t>
            </w:r>
            <w:r w:rsidRPr="00E224E9">
              <w:rPr>
                <w:rFonts w:ascii="Book Antiqua" w:eastAsia="華康仿宋體W6" w:hAnsi="Book Antiqua" w:hint="eastAsia"/>
                <w:color w:val="000000" w:themeColor="text1"/>
                <w:sz w:val="24"/>
              </w:rPr>
              <w:t>：認列未實現評價損益檢討計算表」第</w:t>
            </w:r>
            <w:r w:rsidRPr="00E224E9">
              <w:rPr>
                <w:rFonts w:ascii="Book Antiqua" w:eastAsia="華康仿宋體W6" w:hAnsi="Book Antiqua"/>
                <w:color w:val="000000" w:themeColor="text1"/>
                <w:sz w:val="24"/>
              </w:rPr>
              <w:t>(7)</w:t>
            </w:r>
            <w:r w:rsidRPr="00E224E9">
              <w:rPr>
                <w:rFonts w:ascii="Book Antiqua" w:eastAsia="華康仿宋體W6" w:hAnsi="Book Antiqua" w:hint="eastAsia"/>
                <w:color w:val="000000" w:themeColor="text1"/>
                <w:sz w:val="24"/>
              </w:rPr>
              <w:t>欄第</w:t>
            </w:r>
            <w:r w:rsidRPr="00E224E9">
              <w:rPr>
                <w:rFonts w:ascii="Book Antiqua" w:eastAsia="華康仿宋體W6" w:hAnsi="Book Antiqua"/>
                <w:color w:val="000000" w:themeColor="text1"/>
                <w:sz w:val="24"/>
              </w:rPr>
              <w:t>(6)</w:t>
            </w:r>
            <w:r w:rsidRPr="00E224E9">
              <w:rPr>
                <w:rFonts w:ascii="Book Antiqua" w:eastAsia="華康仿宋體W6" w:hAnsi="Book Antiqua" w:hint="eastAsia"/>
                <w:color w:val="000000" w:themeColor="text1"/>
                <w:sz w:val="24"/>
              </w:rPr>
              <w:t>列及規定之調整係數計算自有資本額之調整數。</w:t>
            </w:r>
          </w:p>
        </w:tc>
      </w:tr>
      <w:tr w:rsidR="00E224E9" w:rsidRPr="00E224E9" w14:paraId="7434B577" w14:textId="77777777" w:rsidTr="00285610">
        <w:tc>
          <w:tcPr>
            <w:tcW w:w="556" w:type="dxa"/>
          </w:tcPr>
          <w:p w14:paraId="2CD9CDA8" w14:textId="5EA83320" w:rsidR="00B60299" w:rsidRPr="00E224E9" w:rsidRDefault="00E82E2F" w:rsidP="00285610">
            <w:pPr>
              <w:spacing w:line="400" w:lineRule="exact"/>
              <w:ind w:left="22"/>
              <w:jc w:val="both"/>
              <w:rPr>
                <w:rFonts w:ascii="Book Antiqua" w:eastAsia="華康仿宋體W6" w:hAnsi="Book Antiqua"/>
                <w:color w:val="000000" w:themeColor="text1"/>
                <w:sz w:val="24"/>
              </w:rPr>
            </w:pPr>
            <w:r>
              <w:rPr>
                <w:rFonts w:ascii="Book Antiqua" w:eastAsia="華康仿宋體W6" w:hAnsi="Book Antiqua" w:hint="eastAsia"/>
                <w:color w:val="000000" w:themeColor="text1"/>
                <w:sz w:val="24"/>
              </w:rPr>
              <w:t>11</w:t>
            </w:r>
          </w:p>
        </w:tc>
        <w:tc>
          <w:tcPr>
            <w:tcW w:w="3828" w:type="dxa"/>
          </w:tcPr>
          <w:p w14:paraId="3AB3662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「透過損益按公允價值衡量之金融資產</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上市櫃股票投資」未實現評價利益</w:t>
            </w:r>
          </w:p>
        </w:tc>
        <w:tc>
          <w:tcPr>
            <w:tcW w:w="5954" w:type="dxa"/>
          </w:tcPr>
          <w:p w14:paraId="0F636C0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30-7-5</w:t>
            </w:r>
            <w:r w:rsidRPr="00E224E9">
              <w:rPr>
                <w:rFonts w:ascii="Book Antiqua" w:eastAsia="華康仿宋體W6" w:hAnsi="Book Antiqua" w:hint="eastAsia"/>
                <w:color w:val="000000" w:themeColor="text1"/>
                <w:sz w:val="24"/>
              </w:rPr>
              <w:t>：認列未實現評價損益檢討計算表」第</w:t>
            </w:r>
            <w:r w:rsidRPr="00E224E9">
              <w:rPr>
                <w:rFonts w:ascii="Book Antiqua" w:eastAsia="華康仿宋體W6" w:hAnsi="Book Antiqua"/>
                <w:color w:val="000000" w:themeColor="text1"/>
                <w:sz w:val="24"/>
              </w:rPr>
              <w:t>(6)</w:t>
            </w:r>
            <w:r w:rsidRPr="00E224E9">
              <w:rPr>
                <w:rFonts w:ascii="Book Antiqua" w:eastAsia="華康仿宋體W6" w:hAnsi="Book Antiqua" w:hint="eastAsia"/>
                <w:color w:val="000000" w:themeColor="text1"/>
                <w:sz w:val="24"/>
              </w:rPr>
              <w:t>欄第</w:t>
            </w:r>
            <w:r w:rsidRPr="00E224E9">
              <w:rPr>
                <w:rFonts w:ascii="Book Antiqua" w:eastAsia="華康仿宋體W6" w:hAnsi="Book Antiqua"/>
                <w:color w:val="000000" w:themeColor="text1"/>
                <w:sz w:val="24"/>
              </w:rPr>
              <w:t>(1)</w:t>
            </w:r>
            <w:r w:rsidRPr="00E224E9">
              <w:rPr>
                <w:rFonts w:ascii="Book Antiqua" w:eastAsia="華康仿宋體W6" w:hAnsi="Book Antiqua" w:hint="eastAsia"/>
                <w:color w:val="000000" w:themeColor="text1"/>
                <w:sz w:val="24"/>
              </w:rPr>
              <w:t>列</w:t>
            </w:r>
            <w:r w:rsidRPr="00E224E9">
              <w:rPr>
                <w:rFonts w:ascii="Book Antiqua" w:eastAsia="華康仿宋體W6" w:hAnsi="Book Antiqua"/>
                <w:color w:val="000000" w:themeColor="text1"/>
                <w:sz w:val="24"/>
              </w:rPr>
              <w:t xml:space="preserve"> (</w:t>
            </w:r>
            <w:r w:rsidRPr="00E224E9">
              <w:rPr>
                <w:rFonts w:ascii="Book Antiqua" w:eastAsia="華康仿宋體W6" w:hAnsi="Book Antiqua" w:hint="eastAsia"/>
                <w:color w:val="000000" w:themeColor="text1"/>
                <w:sz w:val="24"/>
              </w:rPr>
              <w:t>須為正值；若為負值請填</w:t>
            </w:r>
            <w:r w:rsidRPr="00E224E9">
              <w:rPr>
                <w:rFonts w:ascii="Book Antiqua" w:eastAsia="華康仿宋體W6" w:hAnsi="Book Antiqua"/>
                <w:color w:val="000000" w:themeColor="text1"/>
                <w:sz w:val="24"/>
              </w:rPr>
              <w:t xml:space="preserve">0) </w:t>
            </w:r>
            <w:r w:rsidRPr="00E224E9">
              <w:rPr>
                <w:rFonts w:ascii="Book Antiqua" w:eastAsia="華康仿宋體W6" w:hAnsi="Book Antiqua" w:hint="eastAsia"/>
                <w:color w:val="000000" w:themeColor="text1"/>
                <w:sz w:val="24"/>
              </w:rPr>
              <w:t>之未實現利益總額及規定之調整係數計算自有資本額之調整數。</w:t>
            </w:r>
          </w:p>
        </w:tc>
      </w:tr>
      <w:tr w:rsidR="00E224E9" w:rsidRPr="00E224E9" w14:paraId="6793A9EF" w14:textId="77777777" w:rsidTr="00285610">
        <w:tc>
          <w:tcPr>
            <w:tcW w:w="556" w:type="dxa"/>
          </w:tcPr>
          <w:p w14:paraId="25227D69" w14:textId="75BE3B12"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2</w:t>
            </w:r>
          </w:p>
        </w:tc>
        <w:tc>
          <w:tcPr>
            <w:tcW w:w="3828" w:type="dxa"/>
          </w:tcPr>
          <w:p w14:paraId="3731DD44"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「透過其他綜合損益按公允價值衡量之金融資產</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上市櫃股票投資」未實現評價利益</w:t>
            </w:r>
          </w:p>
        </w:tc>
        <w:tc>
          <w:tcPr>
            <w:tcW w:w="5954" w:type="dxa"/>
          </w:tcPr>
          <w:p w14:paraId="0F02556B"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30-7-5</w:t>
            </w:r>
            <w:r w:rsidRPr="00E224E9">
              <w:rPr>
                <w:rFonts w:ascii="Book Antiqua" w:eastAsia="華康仿宋體W6" w:hAnsi="Book Antiqua" w:hint="eastAsia"/>
                <w:color w:val="000000" w:themeColor="text1"/>
                <w:sz w:val="24"/>
              </w:rPr>
              <w:t>：認列未實現評價損益檢討計算表」第</w:t>
            </w:r>
            <w:r w:rsidRPr="00E224E9">
              <w:rPr>
                <w:rFonts w:ascii="Book Antiqua" w:eastAsia="華康仿宋體W6" w:hAnsi="Book Antiqua"/>
                <w:color w:val="000000" w:themeColor="text1"/>
                <w:sz w:val="24"/>
              </w:rPr>
              <w:t>(6)</w:t>
            </w:r>
            <w:r w:rsidRPr="00E224E9">
              <w:rPr>
                <w:rFonts w:ascii="Book Antiqua" w:eastAsia="華康仿宋體W6" w:hAnsi="Book Antiqua" w:hint="eastAsia"/>
                <w:color w:val="000000" w:themeColor="text1"/>
                <w:sz w:val="24"/>
              </w:rPr>
              <w:t>欄第</w:t>
            </w:r>
            <w:r w:rsidRPr="00E224E9">
              <w:rPr>
                <w:rFonts w:ascii="Book Antiqua" w:eastAsia="華康仿宋體W6" w:hAnsi="Book Antiqua"/>
                <w:color w:val="000000" w:themeColor="text1"/>
                <w:sz w:val="24"/>
              </w:rPr>
              <w:t>(2)</w:t>
            </w:r>
            <w:r w:rsidRPr="00E224E9">
              <w:rPr>
                <w:rFonts w:ascii="Book Antiqua" w:eastAsia="華康仿宋體W6" w:hAnsi="Book Antiqua" w:hint="eastAsia"/>
                <w:color w:val="000000" w:themeColor="text1"/>
                <w:sz w:val="24"/>
              </w:rPr>
              <w:t>列</w:t>
            </w:r>
            <w:r w:rsidRPr="00E224E9">
              <w:rPr>
                <w:rFonts w:ascii="Book Antiqua" w:eastAsia="華康仿宋體W6" w:hAnsi="Book Antiqua"/>
                <w:color w:val="000000" w:themeColor="text1"/>
                <w:sz w:val="24"/>
              </w:rPr>
              <w:t xml:space="preserve"> (</w:t>
            </w:r>
            <w:r w:rsidRPr="00E224E9">
              <w:rPr>
                <w:rFonts w:ascii="Book Antiqua" w:eastAsia="華康仿宋體W6" w:hAnsi="Book Antiqua" w:hint="eastAsia"/>
                <w:color w:val="000000" w:themeColor="text1"/>
                <w:sz w:val="24"/>
              </w:rPr>
              <w:t>須為正值；若為負值請填</w:t>
            </w:r>
            <w:r w:rsidRPr="00E224E9">
              <w:rPr>
                <w:rFonts w:ascii="Book Antiqua" w:eastAsia="華康仿宋體W6" w:hAnsi="Book Antiqua"/>
                <w:color w:val="000000" w:themeColor="text1"/>
                <w:sz w:val="24"/>
              </w:rPr>
              <w:t xml:space="preserve">0) </w:t>
            </w:r>
            <w:r w:rsidRPr="00E224E9">
              <w:rPr>
                <w:rFonts w:ascii="Book Antiqua" w:eastAsia="華康仿宋體W6" w:hAnsi="Book Antiqua" w:hint="eastAsia"/>
                <w:color w:val="000000" w:themeColor="text1"/>
                <w:sz w:val="24"/>
              </w:rPr>
              <w:t>之未實現利益總額及規定之調整係數計算自有資本額之調整數。</w:t>
            </w:r>
          </w:p>
        </w:tc>
      </w:tr>
      <w:tr w:rsidR="00E224E9" w:rsidRPr="00E224E9" w14:paraId="1D53E95A" w14:textId="77777777" w:rsidTr="00285610">
        <w:tc>
          <w:tcPr>
            <w:tcW w:w="556" w:type="dxa"/>
          </w:tcPr>
          <w:p w14:paraId="26EB1B47" w14:textId="1DED29B0"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3</w:t>
            </w:r>
          </w:p>
        </w:tc>
        <w:tc>
          <w:tcPr>
            <w:tcW w:w="3828" w:type="dxa"/>
          </w:tcPr>
          <w:p w14:paraId="24824A6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未上市櫃股票投資未實現評價利益</w:t>
            </w:r>
          </w:p>
        </w:tc>
        <w:tc>
          <w:tcPr>
            <w:tcW w:w="5954" w:type="dxa"/>
          </w:tcPr>
          <w:p w14:paraId="356C7867"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30-7-5</w:t>
            </w:r>
            <w:r w:rsidRPr="00E224E9">
              <w:rPr>
                <w:rFonts w:ascii="Book Antiqua" w:eastAsia="華康仿宋體W6" w:hAnsi="Book Antiqua" w:hint="eastAsia"/>
                <w:color w:val="000000" w:themeColor="text1"/>
                <w:sz w:val="24"/>
              </w:rPr>
              <w:t>：認列未實現評價損益檢討計算表」第</w:t>
            </w:r>
            <w:r w:rsidRPr="00E224E9">
              <w:rPr>
                <w:rFonts w:ascii="Book Antiqua" w:eastAsia="華康仿宋體W6" w:hAnsi="Book Antiqua"/>
                <w:color w:val="000000" w:themeColor="text1"/>
                <w:sz w:val="24"/>
              </w:rPr>
              <w:t>(13)</w:t>
            </w:r>
            <w:r w:rsidRPr="00E224E9">
              <w:rPr>
                <w:rFonts w:ascii="Book Antiqua" w:eastAsia="華康仿宋體W6" w:hAnsi="Book Antiqua" w:hint="eastAsia"/>
                <w:color w:val="000000" w:themeColor="text1"/>
                <w:sz w:val="24"/>
              </w:rPr>
              <w:t>欄第</w:t>
            </w:r>
            <w:r w:rsidRPr="00E224E9">
              <w:rPr>
                <w:rFonts w:ascii="Book Antiqua" w:eastAsia="華康仿宋體W6" w:hAnsi="Book Antiqua"/>
                <w:color w:val="000000" w:themeColor="text1"/>
                <w:sz w:val="24"/>
              </w:rPr>
              <w:t>(13)</w:t>
            </w:r>
            <w:r w:rsidRPr="00E224E9">
              <w:rPr>
                <w:rFonts w:ascii="Book Antiqua" w:eastAsia="華康仿宋體W6" w:hAnsi="Book Antiqua" w:hint="eastAsia"/>
                <w:color w:val="000000" w:themeColor="text1"/>
                <w:sz w:val="24"/>
              </w:rPr>
              <w:t>列之「自有資本調整數」之金額，乘以規定之係數計算自有資本額之調整數。</w:t>
            </w:r>
          </w:p>
        </w:tc>
      </w:tr>
      <w:tr w:rsidR="00E224E9" w:rsidRPr="00E224E9" w14:paraId="168B9F6F" w14:textId="77777777" w:rsidTr="00285610">
        <w:tc>
          <w:tcPr>
            <w:tcW w:w="556" w:type="dxa"/>
          </w:tcPr>
          <w:p w14:paraId="372BE4AF" w14:textId="2E64FA10"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4</w:t>
            </w:r>
          </w:p>
        </w:tc>
        <w:tc>
          <w:tcPr>
            <w:tcW w:w="3828" w:type="dxa"/>
          </w:tcPr>
          <w:p w14:paraId="29F0CFE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投資於屬實質互相投資之具資本性質債券及負債型特別股</w:t>
            </w:r>
          </w:p>
        </w:tc>
        <w:tc>
          <w:tcPr>
            <w:tcW w:w="5954" w:type="dxa"/>
          </w:tcPr>
          <w:p w14:paraId="166407C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按「表</w:t>
            </w:r>
            <w:r w:rsidRPr="00E224E9">
              <w:rPr>
                <w:rFonts w:ascii="Book Antiqua" w:eastAsia="華康仿宋體W6" w:hAnsi="Book Antiqua"/>
                <w:color w:val="000000" w:themeColor="text1"/>
                <w:sz w:val="24"/>
              </w:rPr>
              <w:t>30-7-8</w:t>
            </w:r>
            <w:r w:rsidRPr="00E224E9">
              <w:rPr>
                <w:rFonts w:ascii="Book Antiqua" w:eastAsia="華康仿宋體W6" w:hAnsi="Book Antiqua" w:hint="eastAsia"/>
                <w:color w:val="000000" w:themeColor="text1"/>
                <w:sz w:val="24"/>
              </w:rPr>
              <w:t>：投資「國內保險業」及「國內金控公司」發行之具資本性質債券或負債型特別股由自有資本扣除計算表」第</w:t>
            </w:r>
            <w:r w:rsidRPr="00E224E9">
              <w:rPr>
                <w:rFonts w:ascii="Book Antiqua" w:eastAsia="華康仿宋體W6" w:hAnsi="Book Antiqua"/>
                <w:color w:val="000000" w:themeColor="text1"/>
                <w:sz w:val="24"/>
              </w:rPr>
              <w:t>(30)</w:t>
            </w:r>
            <w:r w:rsidRPr="00E224E9">
              <w:rPr>
                <w:rFonts w:ascii="Book Antiqua" w:eastAsia="華康仿宋體W6" w:hAnsi="Book Antiqua" w:hint="eastAsia"/>
                <w:color w:val="000000" w:themeColor="text1"/>
                <w:sz w:val="24"/>
              </w:rPr>
              <w:t>欄第</w:t>
            </w:r>
            <w:r w:rsidRPr="00E224E9">
              <w:rPr>
                <w:rFonts w:ascii="Book Antiqua" w:eastAsia="華康仿宋體W6" w:hAnsi="Book Antiqua"/>
                <w:color w:val="000000" w:themeColor="text1"/>
                <w:sz w:val="24"/>
              </w:rPr>
              <w:t>(22)</w:t>
            </w:r>
            <w:r w:rsidRPr="00E224E9">
              <w:rPr>
                <w:rFonts w:ascii="Book Antiqua" w:eastAsia="華康仿宋體W6" w:hAnsi="Book Antiqua" w:hint="eastAsia"/>
                <w:color w:val="000000" w:themeColor="text1"/>
                <w:sz w:val="24"/>
              </w:rPr>
              <w:t>列，投資屬實質互相投資之具資本性質債券及負債型特別股之金額，乘以規定之係數計算自有資本額之調整數。</w:t>
            </w:r>
          </w:p>
        </w:tc>
      </w:tr>
      <w:tr w:rsidR="00E224E9" w:rsidRPr="00E224E9" w14:paraId="3AFE1119" w14:textId="77777777" w:rsidTr="00285610">
        <w:tc>
          <w:tcPr>
            <w:tcW w:w="556" w:type="dxa"/>
          </w:tcPr>
          <w:p w14:paraId="05703101" w14:textId="72DA0955"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5</w:t>
            </w:r>
          </w:p>
        </w:tc>
        <w:tc>
          <w:tcPr>
            <w:tcW w:w="3828" w:type="dxa"/>
          </w:tcPr>
          <w:p w14:paraId="3C14B85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投資於非屬實質互相投資之具資本性質債券及負債型特別股合計超過淨值</w:t>
            </w:r>
            <w:r w:rsidRPr="00E224E9">
              <w:rPr>
                <w:rFonts w:ascii="Book Antiqua" w:eastAsia="華康仿宋體W6" w:hAnsi="Book Antiqua"/>
                <w:color w:val="000000" w:themeColor="text1"/>
                <w:sz w:val="24"/>
              </w:rPr>
              <w:t>10%</w:t>
            </w:r>
            <w:r w:rsidRPr="00E224E9">
              <w:rPr>
                <w:rFonts w:ascii="Book Antiqua" w:eastAsia="華康仿宋體W6" w:hAnsi="Book Antiqua" w:hint="eastAsia"/>
                <w:color w:val="000000" w:themeColor="text1"/>
                <w:sz w:val="24"/>
              </w:rPr>
              <w:t>金額</w:t>
            </w:r>
          </w:p>
        </w:tc>
        <w:tc>
          <w:tcPr>
            <w:tcW w:w="5954" w:type="dxa"/>
          </w:tcPr>
          <w:p w14:paraId="01F1F985"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按「表</w:t>
            </w:r>
            <w:r w:rsidRPr="00E224E9">
              <w:rPr>
                <w:rFonts w:ascii="Book Antiqua" w:eastAsia="華康仿宋體W6" w:hAnsi="Book Antiqua"/>
                <w:color w:val="000000" w:themeColor="text1"/>
                <w:sz w:val="24"/>
              </w:rPr>
              <w:t>30-7-8</w:t>
            </w:r>
            <w:r w:rsidRPr="00E224E9">
              <w:rPr>
                <w:rFonts w:ascii="Book Antiqua" w:eastAsia="華康仿宋體W6" w:hAnsi="Book Antiqua" w:hint="eastAsia"/>
                <w:color w:val="000000" w:themeColor="text1"/>
                <w:sz w:val="24"/>
              </w:rPr>
              <w:t>：投資「國內保險業」及「國內金控公司」發行之具資本性質債券或負債型特別股由自有資本扣除計算表」第</w:t>
            </w:r>
            <w:r w:rsidRPr="00E224E9">
              <w:rPr>
                <w:rFonts w:ascii="Book Antiqua" w:eastAsia="華康仿宋體W6" w:hAnsi="Book Antiqua"/>
                <w:color w:val="000000" w:themeColor="text1"/>
                <w:sz w:val="24"/>
              </w:rPr>
              <w:t>(30)</w:t>
            </w:r>
            <w:r w:rsidRPr="00E224E9">
              <w:rPr>
                <w:rFonts w:ascii="Book Antiqua" w:eastAsia="華康仿宋體W6" w:hAnsi="Book Antiqua" w:hint="eastAsia"/>
                <w:color w:val="000000" w:themeColor="text1"/>
                <w:sz w:val="24"/>
              </w:rPr>
              <w:t>欄第</w:t>
            </w:r>
            <w:r w:rsidRPr="00E224E9">
              <w:rPr>
                <w:rFonts w:ascii="Book Antiqua" w:eastAsia="華康仿宋體W6" w:hAnsi="Book Antiqua"/>
                <w:color w:val="000000" w:themeColor="text1"/>
                <w:sz w:val="24"/>
              </w:rPr>
              <w:t>(23)</w:t>
            </w:r>
            <w:r w:rsidRPr="00E224E9">
              <w:rPr>
                <w:rFonts w:ascii="Book Antiqua" w:eastAsia="華康仿宋體W6" w:hAnsi="Book Antiqua" w:hint="eastAsia"/>
                <w:color w:val="000000" w:themeColor="text1"/>
                <w:sz w:val="24"/>
              </w:rPr>
              <w:t>列，投資於非屬實質互相投資之具資本性質債券及負債型特別股合計超過淨值</w:t>
            </w:r>
            <w:r w:rsidRPr="00E224E9">
              <w:rPr>
                <w:rFonts w:ascii="Book Antiqua" w:eastAsia="華康仿宋體W6" w:hAnsi="Book Antiqua"/>
                <w:color w:val="000000" w:themeColor="text1"/>
                <w:sz w:val="24"/>
              </w:rPr>
              <w:t>10%</w:t>
            </w:r>
            <w:r w:rsidRPr="00E224E9">
              <w:rPr>
                <w:rFonts w:ascii="Book Antiqua" w:eastAsia="華康仿宋體W6" w:hAnsi="Book Antiqua" w:hint="eastAsia"/>
                <w:color w:val="000000" w:themeColor="text1"/>
                <w:sz w:val="24"/>
              </w:rPr>
              <w:t>金額，乘以規定之係數計算自有資本額之調整數。</w:t>
            </w:r>
          </w:p>
        </w:tc>
      </w:tr>
      <w:tr w:rsidR="00E224E9" w:rsidRPr="00E224E9" w14:paraId="1281A3E5" w14:textId="77777777" w:rsidTr="00285610">
        <w:tc>
          <w:tcPr>
            <w:tcW w:w="556" w:type="dxa"/>
          </w:tcPr>
          <w:p w14:paraId="3FE2C540" w14:textId="31A4F3B2"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6</w:t>
            </w:r>
          </w:p>
        </w:tc>
        <w:tc>
          <w:tcPr>
            <w:tcW w:w="3828" w:type="dxa"/>
          </w:tcPr>
          <w:p w14:paraId="79B5F892"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投資於關係人且屬於國外保險相關事業其該公司之法定資本不足數</w:t>
            </w:r>
          </w:p>
        </w:tc>
        <w:tc>
          <w:tcPr>
            <w:tcW w:w="5954" w:type="dxa"/>
          </w:tcPr>
          <w:p w14:paraId="550DEE7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投資於關係人且屬於國外保險相關事業其該公司之法定資本不足數，乘以規定之係數計算自有資本額之調整數。</w:t>
            </w:r>
          </w:p>
        </w:tc>
      </w:tr>
      <w:tr w:rsidR="00E224E9" w:rsidRPr="00E224E9" w14:paraId="0CC790F8" w14:textId="77777777" w:rsidTr="00285610">
        <w:tc>
          <w:tcPr>
            <w:tcW w:w="556" w:type="dxa"/>
          </w:tcPr>
          <w:p w14:paraId="570E99D5" w14:textId="2025CA35" w:rsidR="00623132" w:rsidRPr="00E224E9" w:rsidRDefault="00AE6D04"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7</w:t>
            </w:r>
          </w:p>
        </w:tc>
        <w:tc>
          <w:tcPr>
            <w:tcW w:w="3828" w:type="dxa"/>
          </w:tcPr>
          <w:p w14:paraId="66305605" w14:textId="08AB3ADB" w:rsidR="00623132" w:rsidRPr="00E224E9" w:rsidRDefault="00AE6D04"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投資性不動產後續衡量採用公允價值模式計算自有資本影響數</w:t>
            </w:r>
          </w:p>
        </w:tc>
        <w:tc>
          <w:tcPr>
            <w:tcW w:w="5954" w:type="dxa"/>
          </w:tcPr>
          <w:p w14:paraId="6760EF41" w14:textId="79226FEE" w:rsidR="00623132" w:rsidRPr="00E224E9" w:rsidRDefault="00AE6D04"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30-7-3</w:t>
            </w:r>
            <w:r w:rsidRPr="00E224E9">
              <w:rPr>
                <w:rFonts w:ascii="Book Antiqua" w:eastAsia="華康仿宋體W6" w:hAnsi="Book Antiqua" w:hint="eastAsia"/>
                <w:color w:val="000000" w:themeColor="text1"/>
                <w:sz w:val="24"/>
              </w:rPr>
              <w:t>：不動產投資採市價評價計入自有資本調整計算表」第</w:t>
            </w:r>
            <w:r w:rsidRPr="00E224E9">
              <w:rPr>
                <w:rFonts w:ascii="Book Antiqua" w:eastAsia="華康仿宋體W6" w:hAnsi="Book Antiqua" w:hint="eastAsia"/>
                <w:color w:val="000000" w:themeColor="text1"/>
                <w:sz w:val="24"/>
              </w:rPr>
              <w:t>(7)</w:t>
            </w:r>
            <w:r w:rsidRPr="00E224E9">
              <w:rPr>
                <w:rFonts w:ascii="Book Antiqua" w:eastAsia="華康仿宋體W6" w:hAnsi="Book Antiqua" w:hint="eastAsia"/>
                <w:color w:val="000000" w:themeColor="text1"/>
                <w:sz w:val="24"/>
              </w:rPr>
              <w:t>欄第</w:t>
            </w:r>
            <w:r w:rsidRPr="00E224E9">
              <w:rPr>
                <w:rFonts w:ascii="Book Antiqua" w:eastAsia="華康仿宋體W6" w:hAnsi="Book Antiqua" w:hint="eastAsia"/>
                <w:color w:val="000000" w:themeColor="text1"/>
                <w:sz w:val="24"/>
              </w:rPr>
              <w:t>(17)</w:t>
            </w:r>
            <w:r w:rsidRPr="00E224E9">
              <w:rPr>
                <w:rFonts w:ascii="Book Antiqua" w:eastAsia="華康仿宋體W6" w:hAnsi="Book Antiqua" w:hint="eastAsia"/>
                <w:color w:val="000000" w:themeColor="text1"/>
                <w:sz w:val="24"/>
              </w:rPr>
              <w:t>列</w:t>
            </w:r>
          </w:p>
        </w:tc>
      </w:tr>
      <w:tr w:rsidR="00E224E9" w:rsidRPr="00E224E9" w14:paraId="5194703E" w14:textId="77777777" w:rsidTr="00285610">
        <w:tc>
          <w:tcPr>
            <w:tcW w:w="556" w:type="dxa"/>
          </w:tcPr>
          <w:p w14:paraId="1279542C" w14:textId="64CB2539"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8</w:t>
            </w:r>
          </w:p>
        </w:tc>
        <w:tc>
          <w:tcPr>
            <w:tcW w:w="3828" w:type="dxa"/>
          </w:tcPr>
          <w:p w14:paraId="539ED68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特別盈餘公積</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不動產增值利益</w:t>
            </w:r>
          </w:p>
        </w:tc>
        <w:tc>
          <w:tcPr>
            <w:tcW w:w="5954" w:type="dxa"/>
          </w:tcPr>
          <w:p w14:paraId="0F97E76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30-7-3</w:t>
            </w:r>
            <w:r w:rsidRPr="00E224E9">
              <w:rPr>
                <w:rFonts w:ascii="Book Antiqua" w:eastAsia="華康仿宋體W6" w:hAnsi="Book Antiqua" w:hint="eastAsia"/>
                <w:color w:val="000000" w:themeColor="text1"/>
                <w:sz w:val="24"/>
              </w:rPr>
              <w:t>：不動產投資採市價評價計入自有資本調整計算表」第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欄第</w:t>
            </w:r>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列</w:t>
            </w:r>
          </w:p>
        </w:tc>
      </w:tr>
      <w:tr w:rsidR="00E224E9" w:rsidRPr="00E224E9" w14:paraId="60D1B949" w14:textId="77777777" w:rsidTr="00285610">
        <w:tc>
          <w:tcPr>
            <w:tcW w:w="556" w:type="dxa"/>
          </w:tcPr>
          <w:p w14:paraId="46A2EBF7" w14:textId="605FF0F8"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9</w:t>
            </w:r>
          </w:p>
        </w:tc>
        <w:tc>
          <w:tcPr>
            <w:tcW w:w="3828" w:type="dxa"/>
          </w:tcPr>
          <w:p w14:paraId="73433CB7"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起，投資於關係人且屬於國外保險相關事業</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評價日帳面金額</w:t>
            </w:r>
          </w:p>
        </w:tc>
        <w:tc>
          <w:tcPr>
            <w:tcW w:w="5954" w:type="dxa"/>
            <w:shd w:val="clear" w:color="auto" w:fill="auto"/>
          </w:tcPr>
          <w:p w14:paraId="757D3E7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說明範例詳下表。</w:t>
            </w:r>
          </w:p>
        </w:tc>
      </w:tr>
      <w:tr w:rsidR="00E224E9" w:rsidRPr="00E224E9" w14:paraId="0D8452E3" w14:textId="77777777" w:rsidTr="00285610">
        <w:tc>
          <w:tcPr>
            <w:tcW w:w="556" w:type="dxa"/>
          </w:tcPr>
          <w:p w14:paraId="68BE1AEE" w14:textId="79DAF7C6" w:rsidR="00B60299" w:rsidRPr="00E224E9" w:rsidRDefault="00E82E2F" w:rsidP="00285610">
            <w:pPr>
              <w:spacing w:line="400" w:lineRule="exact"/>
              <w:ind w:left="22"/>
              <w:jc w:val="both"/>
              <w:rPr>
                <w:rFonts w:ascii="Book Antiqua" w:eastAsia="華康仿宋體W6" w:hAnsi="Book Antiqua"/>
                <w:color w:val="000000" w:themeColor="text1"/>
                <w:sz w:val="24"/>
              </w:rPr>
            </w:pPr>
            <w:r>
              <w:rPr>
                <w:rFonts w:ascii="Book Antiqua" w:eastAsia="華康仿宋體W6" w:hAnsi="Book Antiqua" w:hint="eastAsia"/>
                <w:color w:val="000000" w:themeColor="text1"/>
                <w:sz w:val="24"/>
              </w:rPr>
              <w:t>20</w:t>
            </w:r>
          </w:p>
        </w:tc>
        <w:tc>
          <w:tcPr>
            <w:tcW w:w="3828" w:type="dxa"/>
          </w:tcPr>
          <w:p w14:paraId="601C0E80"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涉及「保險業於發行時或發行後對持</w:t>
            </w:r>
            <w:r w:rsidRPr="00E224E9">
              <w:rPr>
                <w:rFonts w:ascii="Book Antiqua" w:eastAsia="華康仿宋體W6" w:hAnsi="Book Antiqua" w:hint="eastAsia"/>
                <w:color w:val="000000" w:themeColor="text1"/>
                <w:sz w:val="24"/>
              </w:rPr>
              <w:lastRenderedPageBreak/>
              <w:t>有該等資本工具之持有人提供相關融資，有減損其作為資本工具之實質效益者」金額</w:t>
            </w:r>
          </w:p>
        </w:tc>
        <w:tc>
          <w:tcPr>
            <w:tcW w:w="5954" w:type="dxa"/>
            <w:vMerge w:val="restart"/>
            <w:shd w:val="clear" w:color="auto" w:fill="FFFF99"/>
          </w:tcPr>
          <w:p w14:paraId="2F652FE0"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lastRenderedPageBreak/>
              <w:t>「保險業資本適足性管理辦法」第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條之</w:t>
            </w:r>
            <w:r w:rsidRPr="00E224E9">
              <w:rPr>
                <w:rFonts w:ascii="Book Antiqua" w:eastAsia="華康仿宋體W6" w:hAnsi="Book Antiqua" w:hint="eastAsia"/>
                <w:color w:val="000000" w:themeColor="text1"/>
                <w:sz w:val="24"/>
              </w:rPr>
              <w:t>1</w:t>
            </w:r>
          </w:p>
          <w:p w14:paraId="57EA6304"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保險業自一百十三年起所發行之普通股、特別股及次順</w:t>
            </w:r>
            <w:r w:rsidRPr="00E224E9">
              <w:rPr>
                <w:rFonts w:ascii="Book Antiqua" w:eastAsia="華康仿宋體W6" w:hAnsi="Book Antiqua" w:hint="eastAsia"/>
                <w:color w:val="000000" w:themeColor="text1"/>
                <w:sz w:val="24"/>
              </w:rPr>
              <w:lastRenderedPageBreak/>
              <w:t>位債券，如有下列情形者，於計算自有資本時，應視為未發行該等資本工具：</w:t>
            </w:r>
          </w:p>
          <w:p w14:paraId="55E56499" w14:textId="77777777" w:rsidR="00B60299" w:rsidRPr="00E224E9" w:rsidRDefault="00B60299" w:rsidP="00285610">
            <w:pPr>
              <w:spacing w:line="400" w:lineRule="exact"/>
              <w:ind w:leftChars="135" w:left="841" w:hangingChars="204" w:hanging="490"/>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一、保險業於發行時或發行後對持有該等資本工具之持有人提供相關融資，有減損其作為資本工具之實質效益者。</w:t>
            </w:r>
          </w:p>
          <w:p w14:paraId="5C511ABF" w14:textId="77777777" w:rsidR="00B60299" w:rsidRPr="00E224E9" w:rsidRDefault="00B60299" w:rsidP="00285610">
            <w:pPr>
              <w:spacing w:line="400" w:lineRule="exact"/>
              <w:ind w:leftChars="135" w:left="841" w:hangingChars="204" w:hanging="490"/>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二、保險業對其具有重大影響力之被投資公司，持有之該等資本工具。</w:t>
            </w:r>
          </w:p>
          <w:p w14:paraId="2E7BF112" w14:textId="77777777" w:rsidR="00B60299" w:rsidRPr="00E224E9" w:rsidRDefault="00B60299" w:rsidP="00285610">
            <w:pPr>
              <w:spacing w:line="400" w:lineRule="exact"/>
              <w:ind w:leftChars="135" w:left="841" w:hangingChars="204" w:hanging="490"/>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三、保險業之子公司及保險業金融控股母公司之子公司，持有該等資本工具。</w:t>
            </w:r>
          </w:p>
          <w:p w14:paraId="63DC17A7"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E224E9" w:rsidRPr="00E224E9" w14:paraId="5280ACF5" w14:textId="77777777" w:rsidTr="00285610">
        <w:tc>
          <w:tcPr>
            <w:tcW w:w="556" w:type="dxa"/>
          </w:tcPr>
          <w:p w14:paraId="286C938D" w14:textId="6060718C" w:rsidR="00B60299" w:rsidRPr="00E224E9" w:rsidRDefault="00AE6D04"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lastRenderedPageBreak/>
              <w:t>2</w:t>
            </w:r>
            <w:r w:rsidR="00E82E2F">
              <w:rPr>
                <w:rFonts w:ascii="Book Antiqua" w:eastAsia="華康仿宋體W6" w:hAnsi="Book Antiqua" w:hint="eastAsia"/>
                <w:color w:val="000000" w:themeColor="text1"/>
                <w:sz w:val="24"/>
              </w:rPr>
              <w:t>1</w:t>
            </w:r>
          </w:p>
        </w:tc>
        <w:tc>
          <w:tcPr>
            <w:tcW w:w="3828" w:type="dxa"/>
          </w:tcPr>
          <w:p w14:paraId="68654DD4"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涉及「保險業之子公司及保險業金融控股母公司之子公司，持有該等資本工具」金額</w:t>
            </w:r>
          </w:p>
        </w:tc>
        <w:tc>
          <w:tcPr>
            <w:tcW w:w="5954" w:type="dxa"/>
            <w:vMerge/>
            <w:shd w:val="clear" w:color="auto" w:fill="FFFF99"/>
          </w:tcPr>
          <w:p w14:paraId="1167B468"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1FD3F21B" w14:textId="77777777" w:rsidTr="00285610">
        <w:tc>
          <w:tcPr>
            <w:tcW w:w="556" w:type="dxa"/>
          </w:tcPr>
          <w:p w14:paraId="2D780F2B" w14:textId="6EF0E332"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2</w:t>
            </w:r>
          </w:p>
        </w:tc>
        <w:tc>
          <w:tcPr>
            <w:tcW w:w="3828" w:type="dxa"/>
          </w:tcPr>
          <w:p w14:paraId="71EAA82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涉及「保險業對其具有重大影響力之被投資公司，持有之該等資本工具」金額</w:t>
            </w:r>
          </w:p>
        </w:tc>
        <w:tc>
          <w:tcPr>
            <w:tcW w:w="5954" w:type="dxa"/>
            <w:vMerge/>
            <w:shd w:val="clear" w:color="auto" w:fill="FFFF99"/>
          </w:tcPr>
          <w:p w14:paraId="5240ED14"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3BA5D3BE" w14:textId="77777777" w:rsidTr="00285610">
        <w:tc>
          <w:tcPr>
            <w:tcW w:w="556" w:type="dxa"/>
          </w:tcPr>
          <w:p w14:paraId="20FBC77C" w14:textId="2A48DF1D"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3</w:t>
            </w:r>
          </w:p>
        </w:tc>
        <w:tc>
          <w:tcPr>
            <w:tcW w:w="3828" w:type="dxa"/>
          </w:tcPr>
          <w:p w14:paraId="76209312"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，「資本溯源」調整金額</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從</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扣除</w:t>
            </w:r>
          </w:p>
        </w:tc>
        <w:tc>
          <w:tcPr>
            <w:tcW w:w="5954" w:type="dxa"/>
            <w:vMerge/>
            <w:shd w:val="clear" w:color="auto" w:fill="FFFF99"/>
          </w:tcPr>
          <w:p w14:paraId="5AB70E20"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3E895E9F" w14:textId="77777777" w:rsidTr="00285610">
        <w:tc>
          <w:tcPr>
            <w:tcW w:w="556" w:type="dxa"/>
            <w:shd w:val="clear" w:color="auto" w:fill="FFFFCC"/>
          </w:tcPr>
          <w:p w14:paraId="63B8EC00" w14:textId="48A42F61"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2</w:t>
            </w:r>
            <w:r w:rsidR="00E82E2F">
              <w:rPr>
                <w:rFonts w:ascii="Book Antiqua" w:eastAsia="華康仿宋體W6" w:hAnsi="Book Antiqua" w:hint="eastAsia"/>
                <w:color w:val="000000" w:themeColor="text1"/>
                <w:sz w:val="28"/>
                <w:szCs w:val="28"/>
              </w:rPr>
              <w:t>4</w:t>
            </w:r>
          </w:p>
        </w:tc>
        <w:tc>
          <w:tcPr>
            <w:tcW w:w="9782" w:type="dxa"/>
            <w:gridSpan w:val="2"/>
            <w:shd w:val="clear" w:color="auto" w:fill="FFFFCC"/>
          </w:tcPr>
          <w:p w14:paraId="48429CE2"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「第一類非限制性資本」合計</w:t>
            </w:r>
          </w:p>
        </w:tc>
      </w:tr>
      <w:tr w:rsidR="00E224E9" w:rsidRPr="00E224E9" w14:paraId="0EC493DD" w14:textId="77777777" w:rsidTr="00285610">
        <w:tc>
          <w:tcPr>
            <w:tcW w:w="10338" w:type="dxa"/>
            <w:gridSpan w:val="3"/>
            <w:shd w:val="clear" w:color="auto" w:fill="FFFFCC"/>
          </w:tcPr>
          <w:p w14:paraId="36FFCF68" w14:textId="77777777"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T1L</w:t>
            </w:r>
            <w:r w:rsidRPr="00E224E9">
              <w:rPr>
                <w:rFonts w:ascii="Book Antiqua" w:eastAsia="華康仿宋體W6" w:hAnsi="Book Antiqua" w:hint="eastAsia"/>
                <w:color w:val="000000" w:themeColor="text1"/>
                <w:sz w:val="28"/>
                <w:szCs w:val="28"/>
              </w:rPr>
              <w:t>加項</w:t>
            </w:r>
          </w:p>
        </w:tc>
      </w:tr>
      <w:tr w:rsidR="00E224E9" w:rsidRPr="00E224E9" w14:paraId="3DE54FD1" w14:textId="77777777" w:rsidTr="00285610">
        <w:tc>
          <w:tcPr>
            <w:tcW w:w="556" w:type="dxa"/>
          </w:tcPr>
          <w:p w14:paraId="266938EA" w14:textId="5DBA7FE4"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5</w:t>
            </w:r>
          </w:p>
        </w:tc>
        <w:tc>
          <w:tcPr>
            <w:tcW w:w="3828" w:type="dxa"/>
          </w:tcPr>
          <w:p w14:paraId="2DB9224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負債型特別股</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無到期日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w:t>
            </w:r>
          </w:p>
        </w:tc>
        <w:tc>
          <w:tcPr>
            <w:tcW w:w="5954" w:type="dxa"/>
          </w:tcPr>
          <w:p w14:paraId="3263E8C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30-7-1</w:t>
            </w:r>
            <w:r w:rsidRPr="00E224E9">
              <w:rPr>
                <w:rFonts w:ascii="Book Antiqua" w:eastAsia="華康仿宋體W6" w:hAnsi="Book Antiqua" w:hint="eastAsia"/>
                <w:color w:val="000000" w:themeColor="text1"/>
                <w:sz w:val="24"/>
              </w:rPr>
              <w:t>：發行負債型特別股明細表」負債型特別股</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無到期日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：為非累積且無利率加碼條件或其他提前贖回之誘因第</w:t>
            </w:r>
            <w:r w:rsidRPr="00E224E9">
              <w:rPr>
                <w:rFonts w:ascii="Book Antiqua" w:eastAsia="華康仿宋體W6" w:hAnsi="Book Antiqua"/>
                <w:color w:val="000000" w:themeColor="text1"/>
                <w:sz w:val="24"/>
              </w:rPr>
              <w:t>(12)</w:t>
            </w:r>
            <w:r w:rsidRPr="00E224E9">
              <w:rPr>
                <w:rFonts w:ascii="Book Antiqua" w:eastAsia="華康仿宋體W6" w:hAnsi="Book Antiqua" w:hint="eastAsia"/>
                <w:color w:val="000000" w:themeColor="text1"/>
                <w:sz w:val="24"/>
              </w:rPr>
              <w:t>欄標註為「可計入自有資本加計項之金額」小計值</w:t>
            </w:r>
          </w:p>
        </w:tc>
      </w:tr>
      <w:tr w:rsidR="00E224E9" w:rsidRPr="00E224E9" w14:paraId="2BB55C40" w14:textId="77777777" w:rsidTr="00285610">
        <w:tc>
          <w:tcPr>
            <w:tcW w:w="556" w:type="dxa"/>
          </w:tcPr>
          <w:p w14:paraId="2133C9A3" w14:textId="56C93DFF"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6</w:t>
            </w:r>
          </w:p>
        </w:tc>
        <w:tc>
          <w:tcPr>
            <w:tcW w:w="3828" w:type="dxa"/>
          </w:tcPr>
          <w:p w14:paraId="5ACB3B58"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具資本性資債券</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無到期日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w:t>
            </w:r>
          </w:p>
        </w:tc>
        <w:tc>
          <w:tcPr>
            <w:tcW w:w="5954" w:type="dxa"/>
          </w:tcPr>
          <w:p w14:paraId="41B08399"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30-7-2</w:t>
            </w:r>
            <w:r w:rsidRPr="00E224E9">
              <w:rPr>
                <w:rFonts w:ascii="Book Antiqua" w:eastAsia="華康仿宋體W6" w:hAnsi="Book Antiqua" w:hint="eastAsia"/>
                <w:color w:val="000000" w:themeColor="text1"/>
                <w:sz w:val="24"/>
              </w:rPr>
              <w:t>：發行具資本性質債券明細表」具資本性資債券</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無到期日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：為非累積且無利率加碼條件或其他提前贖回之誘因第</w:t>
            </w:r>
            <w:r w:rsidRPr="00E224E9">
              <w:rPr>
                <w:rFonts w:ascii="Book Antiqua" w:eastAsia="華康仿宋體W6" w:hAnsi="Book Antiqua"/>
                <w:color w:val="000000" w:themeColor="text1"/>
                <w:sz w:val="24"/>
              </w:rPr>
              <w:t>(12)</w:t>
            </w:r>
            <w:r w:rsidRPr="00E224E9">
              <w:rPr>
                <w:rFonts w:ascii="Book Antiqua" w:eastAsia="華康仿宋體W6" w:hAnsi="Book Antiqua" w:hint="eastAsia"/>
                <w:color w:val="000000" w:themeColor="text1"/>
                <w:sz w:val="24"/>
              </w:rPr>
              <w:t>欄標註為「可計入自有資本加計項之金額」小計值</w:t>
            </w:r>
          </w:p>
        </w:tc>
      </w:tr>
      <w:tr w:rsidR="00E224E9" w:rsidRPr="00E224E9" w14:paraId="6B6E1AB3" w14:textId="77777777" w:rsidTr="00285610">
        <w:tc>
          <w:tcPr>
            <w:tcW w:w="556" w:type="dxa"/>
            <w:shd w:val="clear" w:color="auto" w:fill="auto"/>
          </w:tcPr>
          <w:p w14:paraId="67A0CAA8" w14:textId="015C3642"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7</w:t>
            </w:r>
          </w:p>
        </w:tc>
        <w:tc>
          <w:tcPr>
            <w:tcW w:w="3828" w:type="dxa"/>
            <w:shd w:val="clear" w:color="auto" w:fill="auto"/>
          </w:tcPr>
          <w:p w14:paraId="1E8B6CD8"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，「資本溯源」調整金額</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從</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扣除加回</w:t>
            </w:r>
            <w:r w:rsidRPr="00E224E9">
              <w:rPr>
                <w:rFonts w:ascii="Book Antiqua" w:eastAsia="華康仿宋體W6" w:hAnsi="Book Antiqua" w:hint="eastAsia"/>
                <w:color w:val="000000" w:themeColor="text1"/>
                <w:sz w:val="24"/>
              </w:rPr>
              <w:t>T</w:t>
            </w:r>
            <w:r w:rsidRPr="00E224E9">
              <w:rPr>
                <w:rFonts w:ascii="Book Antiqua" w:eastAsia="華康仿宋體W6" w:hAnsi="Book Antiqua"/>
                <w:color w:val="000000" w:themeColor="text1"/>
                <w:sz w:val="24"/>
              </w:rPr>
              <w:t>1L</w:t>
            </w:r>
          </w:p>
        </w:tc>
        <w:tc>
          <w:tcPr>
            <w:tcW w:w="5954" w:type="dxa"/>
            <w:shd w:val="clear" w:color="auto" w:fill="FFFF99"/>
          </w:tcPr>
          <w:p w14:paraId="65DB5DD4"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按「保險業資本適足性管理辦法」第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條之</w:t>
            </w:r>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第二項規定：</w:t>
            </w:r>
          </w:p>
          <w:p w14:paraId="2BAB732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E224E9" w:rsidRPr="00E224E9" w14:paraId="692DA97E" w14:textId="77777777" w:rsidTr="00285610">
        <w:tc>
          <w:tcPr>
            <w:tcW w:w="10338" w:type="dxa"/>
            <w:gridSpan w:val="3"/>
            <w:shd w:val="clear" w:color="auto" w:fill="FFFFCC"/>
          </w:tcPr>
          <w:p w14:paraId="7A033C4F" w14:textId="77777777"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T1L</w:t>
            </w:r>
            <w:r w:rsidRPr="00E224E9">
              <w:rPr>
                <w:rFonts w:ascii="Book Antiqua" w:eastAsia="華康仿宋體W6" w:hAnsi="Book Antiqua" w:hint="eastAsia"/>
                <w:color w:val="000000" w:themeColor="text1"/>
                <w:sz w:val="28"/>
                <w:szCs w:val="28"/>
              </w:rPr>
              <w:t>減項</w:t>
            </w:r>
          </w:p>
        </w:tc>
      </w:tr>
      <w:tr w:rsidR="00E224E9" w:rsidRPr="00E224E9" w14:paraId="0A074000" w14:textId="77777777" w:rsidTr="00285610">
        <w:tc>
          <w:tcPr>
            <w:tcW w:w="556" w:type="dxa"/>
          </w:tcPr>
          <w:p w14:paraId="17CC3E49" w14:textId="499A348E"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8</w:t>
            </w:r>
          </w:p>
        </w:tc>
        <w:tc>
          <w:tcPr>
            <w:tcW w:w="3828" w:type="dxa"/>
          </w:tcPr>
          <w:p w14:paraId="117E457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涉及「保險業於發行時或發行後對持</w:t>
            </w:r>
            <w:r w:rsidRPr="00E224E9">
              <w:rPr>
                <w:rFonts w:ascii="Book Antiqua" w:eastAsia="華康仿宋體W6" w:hAnsi="Book Antiqua" w:hint="eastAsia"/>
                <w:color w:val="000000" w:themeColor="text1"/>
                <w:sz w:val="24"/>
              </w:rPr>
              <w:lastRenderedPageBreak/>
              <w:t>有該等資本工具之持有人提供相關融資，有減損其作為資本工具之實質效益者」金額</w:t>
            </w:r>
          </w:p>
        </w:tc>
        <w:tc>
          <w:tcPr>
            <w:tcW w:w="5954" w:type="dxa"/>
            <w:vMerge w:val="restart"/>
            <w:shd w:val="clear" w:color="auto" w:fill="FFFF99"/>
          </w:tcPr>
          <w:p w14:paraId="343CDDD9"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lastRenderedPageBreak/>
              <w:t>「保險業資本適足性管理辦法」第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條之</w:t>
            </w:r>
            <w:r w:rsidRPr="00E224E9">
              <w:rPr>
                <w:rFonts w:ascii="Book Antiqua" w:eastAsia="華康仿宋體W6" w:hAnsi="Book Antiqua" w:hint="eastAsia"/>
                <w:color w:val="000000" w:themeColor="text1"/>
                <w:sz w:val="24"/>
              </w:rPr>
              <w:t>1</w:t>
            </w:r>
          </w:p>
          <w:p w14:paraId="1E1796F7" w14:textId="739E3DBA"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詳第</w:t>
            </w:r>
            <w:r w:rsidR="00750E64" w:rsidRPr="004D5D28">
              <w:rPr>
                <w:rFonts w:ascii="Book Antiqua" w:eastAsia="華康仿宋體W6" w:hAnsi="Book Antiqua"/>
                <w:color w:val="EE0000"/>
                <w:sz w:val="24"/>
              </w:rPr>
              <w:t>20</w:t>
            </w:r>
            <w:r w:rsidRPr="004D5D28">
              <w:rPr>
                <w:rFonts w:ascii="Book Antiqua" w:eastAsia="華康仿宋體W6" w:hAnsi="Book Antiqua" w:hint="eastAsia"/>
                <w:color w:val="EE0000"/>
                <w:sz w:val="24"/>
              </w:rPr>
              <w:t>列至</w:t>
            </w:r>
            <w:r w:rsidR="00750E64" w:rsidRPr="004D5D28">
              <w:rPr>
                <w:rFonts w:ascii="Book Antiqua" w:eastAsia="華康仿宋體W6" w:hAnsi="Book Antiqua"/>
                <w:color w:val="EE0000"/>
                <w:sz w:val="24"/>
              </w:rPr>
              <w:t>23</w:t>
            </w:r>
            <w:r w:rsidRPr="004D5D28">
              <w:rPr>
                <w:rFonts w:ascii="Book Antiqua" w:eastAsia="華康仿宋體W6" w:hAnsi="Book Antiqua" w:hint="eastAsia"/>
                <w:color w:val="EE0000"/>
                <w:sz w:val="24"/>
              </w:rPr>
              <w:t>列</w:t>
            </w:r>
            <w:r w:rsidRPr="00E224E9">
              <w:rPr>
                <w:rFonts w:ascii="Book Antiqua" w:eastAsia="華康仿宋體W6" w:hAnsi="Book Antiqua" w:hint="eastAsia"/>
                <w:color w:val="000000" w:themeColor="text1"/>
                <w:sz w:val="24"/>
              </w:rPr>
              <w:t>說明</w:t>
            </w:r>
          </w:p>
        </w:tc>
      </w:tr>
      <w:tr w:rsidR="00E224E9" w:rsidRPr="00E224E9" w14:paraId="2A38371B" w14:textId="77777777" w:rsidTr="00285610">
        <w:tc>
          <w:tcPr>
            <w:tcW w:w="556" w:type="dxa"/>
          </w:tcPr>
          <w:p w14:paraId="532EF14D" w14:textId="18B2F0A6"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9</w:t>
            </w:r>
          </w:p>
        </w:tc>
        <w:tc>
          <w:tcPr>
            <w:tcW w:w="3828" w:type="dxa"/>
          </w:tcPr>
          <w:p w14:paraId="4AEC04BE"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涉及「保險業之子公司及保險業金融控股母公司之子公司，持有該等資本工具」金額</w:t>
            </w:r>
          </w:p>
        </w:tc>
        <w:tc>
          <w:tcPr>
            <w:tcW w:w="5954" w:type="dxa"/>
            <w:vMerge/>
            <w:shd w:val="clear" w:color="auto" w:fill="FFFF99"/>
          </w:tcPr>
          <w:p w14:paraId="5B7ECAD5"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702635A4" w14:textId="77777777" w:rsidTr="00285610">
        <w:tc>
          <w:tcPr>
            <w:tcW w:w="556" w:type="dxa"/>
          </w:tcPr>
          <w:p w14:paraId="49A6C599" w14:textId="1D0C4D6A" w:rsidR="00B60299" w:rsidRPr="00E224E9" w:rsidRDefault="00E82E2F" w:rsidP="00285610">
            <w:pPr>
              <w:spacing w:line="400" w:lineRule="exact"/>
              <w:ind w:left="22"/>
              <w:jc w:val="both"/>
              <w:rPr>
                <w:rFonts w:ascii="Book Antiqua" w:eastAsia="華康仿宋體W6" w:hAnsi="Book Antiqua"/>
                <w:color w:val="000000" w:themeColor="text1"/>
                <w:sz w:val="24"/>
              </w:rPr>
            </w:pPr>
            <w:r>
              <w:rPr>
                <w:rFonts w:ascii="Book Antiqua" w:eastAsia="華康仿宋體W6" w:hAnsi="Book Antiqua" w:hint="eastAsia"/>
                <w:color w:val="000000" w:themeColor="text1"/>
                <w:sz w:val="24"/>
              </w:rPr>
              <w:t>30</w:t>
            </w:r>
          </w:p>
        </w:tc>
        <w:tc>
          <w:tcPr>
            <w:tcW w:w="3828" w:type="dxa"/>
          </w:tcPr>
          <w:p w14:paraId="1DF760A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涉及「保險業對其具有重大影響力之被投資公司，持有之該等資本工具」金額</w:t>
            </w:r>
          </w:p>
        </w:tc>
        <w:tc>
          <w:tcPr>
            <w:tcW w:w="5954" w:type="dxa"/>
            <w:vMerge/>
            <w:shd w:val="clear" w:color="auto" w:fill="FFFF99"/>
          </w:tcPr>
          <w:p w14:paraId="36442AAE"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5065CF90" w14:textId="77777777" w:rsidTr="00285610">
        <w:tc>
          <w:tcPr>
            <w:tcW w:w="556" w:type="dxa"/>
          </w:tcPr>
          <w:p w14:paraId="04E4CC05" w14:textId="7C02A010" w:rsidR="00B60299" w:rsidRPr="00E224E9" w:rsidRDefault="00AE6D04"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3</w:t>
            </w:r>
            <w:r w:rsidR="00E82E2F">
              <w:rPr>
                <w:rFonts w:ascii="Book Antiqua" w:eastAsia="華康仿宋體W6" w:hAnsi="Book Antiqua" w:hint="eastAsia"/>
                <w:color w:val="000000" w:themeColor="text1"/>
                <w:sz w:val="24"/>
              </w:rPr>
              <w:t>1</w:t>
            </w:r>
          </w:p>
        </w:tc>
        <w:tc>
          <w:tcPr>
            <w:tcW w:w="3828" w:type="dxa"/>
            <w:tcBorders>
              <w:bottom w:val="single" w:sz="4" w:space="0" w:color="auto"/>
            </w:tcBorders>
          </w:tcPr>
          <w:p w14:paraId="58737D9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，「資本溯源」調整金額</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從</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扣除</w:t>
            </w:r>
          </w:p>
        </w:tc>
        <w:tc>
          <w:tcPr>
            <w:tcW w:w="5954" w:type="dxa"/>
            <w:vMerge/>
            <w:tcBorders>
              <w:bottom w:val="single" w:sz="4" w:space="0" w:color="auto"/>
            </w:tcBorders>
            <w:shd w:val="clear" w:color="auto" w:fill="FFFF99"/>
          </w:tcPr>
          <w:p w14:paraId="61A6A070"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4F470398" w14:textId="77777777" w:rsidTr="00285610">
        <w:tc>
          <w:tcPr>
            <w:tcW w:w="556" w:type="dxa"/>
            <w:shd w:val="clear" w:color="auto" w:fill="FFFFCC"/>
          </w:tcPr>
          <w:p w14:paraId="6CD8B036" w14:textId="0BC38DBC"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3</w:t>
            </w:r>
            <w:r w:rsidR="00E82E2F">
              <w:rPr>
                <w:rFonts w:ascii="Book Antiqua" w:eastAsia="華康仿宋體W6" w:hAnsi="Book Antiqua" w:hint="eastAsia"/>
                <w:color w:val="000000" w:themeColor="text1"/>
                <w:sz w:val="28"/>
                <w:szCs w:val="28"/>
              </w:rPr>
              <w:t>2</w:t>
            </w:r>
          </w:p>
        </w:tc>
        <w:tc>
          <w:tcPr>
            <w:tcW w:w="9782" w:type="dxa"/>
            <w:gridSpan w:val="2"/>
            <w:shd w:val="clear" w:color="auto" w:fill="FFFFCC"/>
          </w:tcPr>
          <w:p w14:paraId="4FECECD8"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「第一類限制性資本」合計</w:t>
            </w:r>
            <w:r w:rsidRPr="00E224E9">
              <w:rPr>
                <w:rFonts w:ascii="Book Antiqua" w:eastAsia="華康仿宋體W6" w:hAnsi="Book Antiqua"/>
                <w:color w:val="000000" w:themeColor="text1"/>
                <w:sz w:val="28"/>
                <w:szCs w:val="28"/>
              </w:rPr>
              <w:t>_</w:t>
            </w:r>
            <w:r w:rsidRPr="00E224E9">
              <w:rPr>
                <w:rFonts w:ascii="Book Antiqua" w:eastAsia="華康仿宋體W6" w:hAnsi="Book Antiqua" w:hint="eastAsia"/>
                <w:color w:val="000000" w:themeColor="text1"/>
                <w:sz w:val="28"/>
                <w:szCs w:val="28"/>
              </w:rPr>
              <w:t>反映限額前</w:t>
            </w:r>
          </w:p>
        </w:tc>
      </w:tr>
      <w:tr w:rsidR="00E224E9" w:rsidRPr="00E224E9" w14:paraId="035AA296" w14:textId="77777777" w:rsidTr="00285610">
        <w:tc>
          <w:tcPr>
            <w:tcW w:w="556" w:type="dxa"/>
            <w:shd w:val="clear" w:color="auto" w:fill="FFFFCC"/>
          </w:tcPr>
          <w:p w14:paraId="7261B1FC" w14:textId="68212BF4"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3</w:t>
            </w:r>
            <w:r w:rsidR="00E82E2F">
              <w:rPr>
                <w:rFonts w:ascii="Book Antiqua" w:eastAsia="華康仿宋體W6" w:hAnsi="Book Antiqua" w:hint="eastAsia"/>
                <w:color w:val="000000" w:themeColor="text1"/>
                <w:sz w:val="28"/>
                <w:szCs w:val="28"/>
              </w:rPr>
              <w:t>3</w:t>
            </w:r>
          </w:p>
        </w:tc>
        <w:tc>
          <w:tcPr>
            <w:tcW w:w="9782" w:type="dxa"/>
            <w:gridSpan w:val="2"/>
            <w:shd w:val="clear" w:color="auto" w:fill="FFFFCC"/>
          </w:tcPr>
          <w:p w14:paraId="28F61399"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「第一類限制性資本」合計</w:t>
            </w:r>
            <w:r w:rsidRPr="00E224E9">
              <w:rPr>
                <w:rFonts w:ascii="Book Antiqua" w:eastAsia="華康仿宋體W6" w:hAnsi="Book Antiqua"/>
                <w:color w:val="000000" w:themeColor="text1"/>
                <w:sz w:val="28"/>
                <w:szCs w:val="28"/>
              </w:rPr>
              <w:t>_</w:t>
            </w:r>
            <w:r w:rsidRPr="00E224E9">
              <w:rPr>
                <w:rFonts w:ascii="Book Antiqua" w:eastAsia="華康仿宋體W6" w:hAnsi="Book Antiqua" w:hint="eastAsia"/>
                <w:color w:val="000000" w:themeColor="text1"/>
                <w:sz w:val="28"/>
                <w:szCs w:val="28"/>
              </w:rPr>
              <w:t>反映限額後</w:t>
            </w:r>
          </w:p>
        </w:tc>
      </w:tr>
      <w:tr w:rsidR="00E224E9" w:rsidRPr="00E224E9" w14:paraId="19EBE0F3" w14:textId="77777777" w:rsidTr="00285610">
        <w:tc>
          <w:tcPr>
            <w:tcW w:w="10338" w:type="dxa"/>
            <w:gridSpan w:val="3"/>
            <w:shd w:val="clear" w:color="auto" w:fill="FFFFCC"/>
          </w:tcPr>
          <w:p w14:paraId="471C0B57" w14:textId="77777777"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T2</w:t>
            </w:r>
            <w:r w:rsidRPr="00E224E9">
              <w:rPr>
                <w:rFonts w:ascii="Book Antiqua" w:eastAsia="華康仿宋體W6" w:hAnsi="Book Antiqua" w:hint="eastAsia"/>
                <w:color w:val="000000" w:themeColor="text1"/>
                <w:sz w:val="28"/>
                <w:szCs w:val="28"/>
              </w:rPr>
              <w:t>加</w:t>
            </w:r>
            <w:r w:rsidRPr="00E224E9">
              <w:rPr>
                <w:rFonts w:ascii="Book Antiqua" w:eastAsia="華康仿宋體W6" w:hAnsi="Book Antiqua" w:hint="eastAsia"/>
                <w:color w:val="000000" w:themeColor="text1"/>
                <w:sz w:val="28"/>
                <w:szCs w:val="28"/>
                <w:shd w:val="clear" w:color="auto" w:fill="FFF2CC" w:themeFill="accent4" w:themeFillTint="33"/>
              </w:rPr>
              <w:t>項</w:t>
            </w:r>
            <w:r w:rsidRPr="00E224E9">
              <w:rPr>
                <w:rFonts w:ascii="Book Antiqua" w:eastAsia="華康仿宋體W6" w:hAnsi="Book Antiqua" w:hint="eastAsia"/>
                <w:color w:val="000000" w:themeColor="text1"/>
                <w:sz w:val="28"/>
                <w:szCs w:val="28"/>
              </w:rPr>
              <w:t>：</w:t>
            </w:r>
          </w:p>
        </w:tc>
      </w:tr>
      <w:tr w:rsidR="00E224E9" w:rsidRPr="00E224E9" w14:paraId="64B33863" w14:textId="77777777" w:rsidTr="00285610">
        <w:tc>
          <w:tcPr>
            <w:tcW w:w="556" w:type="dxa"/>
          </w:tcPr>
          <w:p w14:paraId="092183AD" w14:textId="5BA0147E"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r w:rsidR="00E82E2F">
              <w:rPr>
                <w:rFonts w:ascii="Book Antiqua" w:eastAsia="華康仿宋體W6" w:hAnsi="Book Antiqua" w:hint="eastAsia"/>
                <w:color w:val="000000" w:themeColor="text1"/>
                <w:sz w:val="24"/>
              </w:rPr>
              <w:t>4</w:t>
            </w:r>
          </w:p>
        </w:tc>
        <w:tc>
          <w:tcPr>
            <w:tcW w:w="3828" w:type="dxa"/>
          </w:tcPr>
          <w:p w14:paraId="65C53C9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不動產增值利益相關</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不受限制</w:t>
            </w:r>
          </w:p>
        </w:tc>
        <w:tc>
          <w:tcPr>
            <w:tcW w:w="5954" w:type="dxa"/>
            <w:vMerge w:val="restart"/>
          </w:tcPr>
          <w:p w14:paraId="5AB173C5"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有關不動產增值利益相關項目納入</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，並採自</w:t>
            </w:r>
            <w:r w:rsidRPr="00E224E9">
              <w:rPr>
                <w:rFonts w:ascii="Book Antiqua" w:eastAsia="華康仿宋體W6" w:hAnsi="Book Antiqua" w:hint="eastAsia"/>
                <w:color w:val="000000" w:themeColor="text1"/>
                <w:sz w:val="24"/>
              </w:rPr>
              <w:t>112</w:t>
            </w:r>
            <w:r w:rsidRPr="00E224E9">
              <w:rPr>
                <w:rFonts w:ascii="Book Antiqua" w:eastAsia="華康仿宋體W6" w:hAnsi="Book Antiqua" w:hint="eastAsia"/>
                <w:color w:val="000000" w:themeColor="text1"/>
                <w:sz w:val="24"/>
              </w:rPr>
              <w:t>年至</w:t>
            </w:r>
            <w:r w:rsidRPr="00E224E9">
              <w:rPr>
                <w:rFonts w:ascii="Book Antiqua" w:eastAsia="華康仿宋體W6" w:hAnsi="Book Antiqua" w:hint="eastAsia"/>
                <w:color w:val="000000" w:themeColor="text1"/>
                <w:sz w:val="24"/>
              </w:rPr>
              <w:t>115</w:t>
            </w:r>
            <w:r w:rsidRPr="00E224E9">
              <w:rPr>
                <w:rFonts w:ascii="Book Antiqua" w:eastAsia="華康仿宋體W6" w:hAnsi="Book Antiqua" w:hint="eastAsia"/>
                <w:color w:val="000000" w:themeColor="text1"/>
                <w:sz w:val="24"/>
              </w:rPr>
              <w:t>年分別將該項目之</w:t>
            </w:r>
            <w:r w:rsidRPr="00E224E9">
              <w:rPr>
                <w:rFonts w:ascii="Book Antiqua" w:eastAsia="華康仿宋體W6" w:hAnsi="Book Antiqua" w:hint="eastAsia"/>
                <w:color w:val="000000" w:themeColor="text1"/>
                <w:sz w:val="24"/>
              </w:rPr>
              <w:t>25%</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50%</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75%</w:t>
            </w:r>
            <w:r w:rsidRPr="00E224E9">
              <w:rPr>
                <w:rFonts w:ascii="Book Antiqua" w:eastAsia="華康仿宋體W6" w:hAnsi="Book Antiqua" w:hint="eastAsia"/>
                <w:color w:val="000000" w:themeColor="text1"/>
                <w:sz w:val="24"/>
              </w:rPr>
              <w:t>及</w:t>
            </w:r>
            <w:r w:rsidRPr="00E224E9">
              <w:rPr>
                <w:rFonts w:ascii="Book Antiqua" w:eastAsia="華康仿宋體W6" w:hAnsi="Book Antiqua" w:hint="eastAsia"/>
                <w:color w:val="000000" w:themeColor="text1"/>
                <w:sz w:val="24"/>
              </w:rPr>
              <w:t>100%</w:t>
            </w:r>
            <w:r w:rsidRPr="00E224E9">
              <w:rPr>
                <w:rFonts w:ascii="Book Antiqua" w:eastAsia="華康仿宋體W6" w:hAnsi="Book Antiqua" w:hint="eastAsia"/>
                <w:color w:val="000000" w:themeColor="text1"/>
                <w:sz w:val="24"/>
              </w:rPr>
              <w:t>納入限額計算之相關規定</w:t>
            </w:r>
          </w:p>
        </w:tc>
      </w:tr>
      <w:tr w:rsidR="00E224E9" w:rsidRPr="00E224E9" w14:paraId="62D46A29" w14:textId="77777777" w:rsidTr="00285610">
        <w:tc>
          <w:tcPr>
            <w:tcW w:w="556" w:type="dxa"/>
          </w:tcPr>
          <w:p w14:paraId="4A87166A" w14:textId="273F1259"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r w:rsidR="00E82E2F">
              <w:rPr>
                <w:rFonts w:ascii="Book Antiqua" w:eastAsia="華康仿宋體W6" w:hAnsi="Book Antiqua" w:hint="eastAsia"/>
                <w:color w:val="000000" w:themeColor="text1"/>
                <w:sz w:val="24"/>
              </w:rPr>
              <w:t>5</w:t>
            </w:r>
          </w:p>
        </w:tc>
        <w:tc>
          <w:tcPr>
            <w:tcW w:w="3828" w:type="dxa"/>
          </w:tcPr>
          <w:p w14:paraId="3B73C24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不動產增值利益相關</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受限制</w:t>
            </w:r>
          </w:p>
        </w:tc>
        <w:tc>
          <w:tcPr>
            <w:tcW w:w="5954" w:type="dxa"/>
            <w:vMerge/>
          </w:tcPr>
          <w:p w14:paraId="62F16C4B" w14:textId="77777777" w:rsidR="00B60299" w:rsidRPr="00E224E9" w:rsidRDefault="00B60299" w:rsidP="00285610">
            <w:pPr>
              <w:spacing w:line="400" w:lineRule="exact"/>
              <w:jc w:val="both"/>
              <w:rPr>
                <w:rFonts w:ascii="Book Antiqua" w:eastAsia="華康仿宋體W6" w:hAnsi="Book Antiqua"/>
                <w:color w:val="000000" w:themeColor="text1"/>
                <w:sz w:val="24"/>
              </w:rPr>
            </w:pPr>
          </w:p>
        </w:tc>
      </w:tr>
      <w:tr w:rsidR="00E224E9" w:rsidRPr="00E224E9" w14:paraId="345D1B4F" w14:textId="77777777" w:rsidTr="00285610">
        <w:tc>
          <w:tcPr>
            <w:tcW w:w="556" w:type="dxa"/>
          </w:tcPr>
          <w:p w14:paraId="09F99CD6" w14:textId="39AF9B60"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r w:rsidR="00E82E2F">
              <w:rPr>
                <w:rFonts w:ascii="Book Antiqua" w:eastAsia="華康仿宋體W6" w:hAnsi="Book Antiqua" w:hint="eastAsia"/>
                <w:color w:val="000000" w:themeColor="text1"/>
                <w:sz w:val="24"/>
              </w:rPr>
              <w:t>6</w:t>
            </w:r>
          </w:p>
        </w:tc>
        <w:tc>
          <w:tcPr>
            <w:tcW w:w="3828" w:type="dxa"/>
          </w:tcPr>
          <w:p w14:paraId="48026D79"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負債型特別股</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有到期日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w:t>
            </w:r>
          </w:p>
        </w:tc>
        <w:tc>
          <w:tcPr>
            <w:tcW w:w="5954" w:type="dxa"/>
          </w:tcPr>
          <w:p w14:paraId="202E897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30-7-1</w:t>
            </w:r>
            <w:r w:rsidRPr="00E224E9">
              <w:rPr>
                <w:rFonts w:ascii="Book Antiqua" w:eastAsia="華康仿宋體W6" w:hAnsi="Book Antiqua" w:hint="eastAsia"/>
                <w:color w:val="000000" w:themeColor="text1"/>
                <w:sz w:val="24"/>
              </w:rPr>
              <w:t>：發行負債型特別股明細表」負債型特別股</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有到期日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：為非累積且無利率加碼條件或其他提前贖回之誘因第</w:t>
            </w:r>
            <w:r w:rsidRPr="00E224E9">
              <w:rPr>
                <w:rFonts w:ascii="Book Antiqua" w:eastAsia="華康仿宋體W6" w:hAnsi="Book Antiqua" w:hint="eastAsia"/>
                <w:color w:val="000000" w:themeColor="text1"/>
                <w:sz w:val="24"/>
              </w:rPr>
              <w:t>(12)</w:t>
            </w:r>
            <w:r w:rsidRPr="00E224E9">
              <w:rPr>
                <w:rFonts w:ascii="Book Antiqua" w:eastAsia="華康仿宋體W6" w:hAnsi="Book Antiqua" w:hint="eastAsia"/>
                <w:color w:val="000000" w:themeColor="text1"/>
                <w:sz w:val="24"/>
              </w:rPr>
              <w:t>欄標註為「可計入自有資本加計項之金額」小計值</w:t>
            </w:r>
          </w:p>
        </w:tc>
      </w:tr>
      <w:tr w:rsidR="00E224E9" w:rsidRPr="00E224E9" w14:paraId="181AEEDD" w14:textId="77777777" w:rsidTr="00285610">
        <w:tc>
          <w:tcPr>
            <w:tcW w:w="556" w:type="dxa"/>
          </w:tcPr>
          <w:p w14:paraId="72ED878E" w14:textId="20E890D0"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r w:rsidR="00E82E2F">
              <w:rPr>
                <w:rFonts w:ascii="Book Antiqua" w:eastAsia="華康仿宋體W6" w:hAnsi="Book Antiqua" w:hint="eastAsia"/>
                <w:color w:val="000000" w:themeColor="text1"/>
                <w:sz w:val="24"/>
              </w:rPr>
              <w:t>7</w:t>
            </w:r>
          </w:p>
        </w:tc>
        <w:tc>
          <w:tcPr>
            <w:tcW w:w="3828" w:type="dxa"/>
          </w:tcPr>
          <w:p w14:paraId="1D7634F8"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具資本性資債券</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有到期日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w:t>
            </w:r>
          </w:p>
        </w:tc>
        <w:tc>
          <w:tcPr>
            <w:tcW w:w="5954" w:type="dxa"/>
          </w:tcPr>
          <w:p w14:paraId="5ADAD49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30-7-2</w:t>
            </w:r>
            <w:r w:rsidRPr="00E224E9">
              <w:rPr>
                <w:rFonts w:ascii="Book Antiqua" w:eastAsia="華康仿宋體W6" w:hAnsi="Book Antiqua" w:hint="eastAsia"/>
                <w:color w:val="000000" w:themeColor="text1"/>
                <w:sz w:val="24"/>
              </w:rPr>
              <w:t>：發行具資本性質債券明細表」具資本性資債券</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有到期日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：為非累積且無利率加碼條件或其他提前贖回之誘因第</w:t>
            </w:r>
            <w:r w:rsidRPr="00E224E9">
              <w:rPr>
                <w:rFonts w:ascii="Book Antiqua" w:eastAsia="華康仿宋體W6" w:hAnsi="Book Antiqua" w:hint="eastAsia"/>
                <w:color w:val="000000" w:themeColor="text1"/>
                <w:sz w:val="24"/>
              </w:rPr>
              <w:t>(12)</w:t>
            </w:r>
            <w:r w:rsidRPr="00E224E9">
              <w:rPr>
                <w:rFonts w:ascii="Book Antiqua" w:eastAsia="華康仿宋體W6" w:hAnsi="Book Antiqua" w:hint="eastAsia"/>
                <w:color w:val="000000" w:themeColor="text1"/>
                <w:sz w:val="24"/>
              </w:rPr>
              <w:t>欄標註為「可計入自有資本加計項之金額」小計值</w:t>
            </w:r>
          </w:p>
        </w:tc>
      </w:tr>
      <w:tr w:rsidR="00E224E9" w:rsidRPr="00E224E9" w14:paraId="18BAC368" w14:textId="77777777" w:rsidTr="00285610">
        <w:tc>
          <w:tcPr>
            <w:tcW w:w="556" w:type="dxa"/>
          </w:tcPr>
          <w:p w14:paraId="5C4A62BC" w14:textId="1508345C"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r w:rsidR="00E82E2F">
              <w:rPr>
                <w:rFonts w:ascii="Book Antiqua" w:eastAsia="華康仿宋體W6" w:hAnsi="Book Antiqua" w:hint="eastAsia"/>
                <w:color w:val="000000" w:themeColor="text1"/>
                <w:sz w:val="24"/>
              </w:rPr>
              <w:t>8</w:t>
            </w:r>
          </w:p>
        </w:tc>
        <w:tc>
          <w:tcPr>
            <w:tcW w:w="3828" w:type="dxa"/>
          </w:tcPr>
          <w:p w14:paraId="2CBAA6F5"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負債型特別股：為累積或有利率加碼條件或其他提前贖回之誘因</w:t>
            </w:r>
          </w:p>
        </w:tc>
        <w:tc>
          <w:tcPr>
            <w:tcW w:w="5954" w:type="dxa"/>
          </w:tcPr>
          <w:p w14:paraId="0FA3C49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30-7-1</w:t>
            </w:r>
            <w:r w:rsidRPr="00E224E9">
              <w:rPr>
                <w:rFonts w:ascii="Book Antiqua" w:eastAsia="華康仿宋體W6" w:hAnsi="Book Antiqua" w:hint="eastAsia"/>
                <w:color w:val="000000" w:themeColor="text1"/>
                <w:sz w:val="24"/>
              </w:rPr>
              <w:t>：發行負債型特別股明細表」負債型特別股：為累積或有利率加碼條件或其他提前贖回之誘因第</w:t>
            </w:r>
            <w:r w:rsidRPr="00E224E9">
              <w:rPr>
                <w:rFonts w:ascii="Book Antiqua" w:eastAsia="華康仿宋體W6" w:hAnsi="Book Antiqua"/>
                <w:color w:val="000000" w:themeColor="text1"/>
                <w:sz w:val="24"/>
              </w:rPr>
              <w:t>(12)</w:t>
            </w:r>
            <w:r w:rsidRPr="00E224E9">
              <w:rPr>
                <w:rFonts w:ascii="Book Antiqua" w:eastAsia="華康仿宋體W6" w:hAnsi="Book Antiqua" w:hint="eastAsia"/>
                <w:color w:val="000000" w:themeColor="text1"/>
                <w:sz w:val="24"/>
              </w:rPr>
              <w:t>欄標註為「可計入自有資本加計項之金額」小計值</w:t>
            </w:r>
          </w:p>
        </w:tc>
      </w:tr>
      <w:tr w:rsidR="00E224E9" w:rsidRPr="00E224E9" w14:paraId="02B869CC" w14:textId="77777777" w:rsidTr="00285610">
        <w:tc>
          <w:tcPr>
            <w:tcW w:w="556" w:type="dxa"/>
          </w:tcPr>
          <w:p w14:paraId="4FE736BC" w14:textId="76CD7B1F"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r w:rsidR="00E82E2F">
              <w:rPr>
                <w:rFonts w:ascii="Book Antiqua" w:eastAsia="華康仿宋體W6" w:hAnsi="Book Antiqua" w:hint="eastAsia"/>
                <w:color w:val="000000" w:themeColor="text1"/>
                <w:sz w:val="24"/>
              </w:rPr>
              <w:t>9</w:t>
            </w:r>
          </w:p>
        </w:tc>
        <w:tc>
          <w:tcPr>
            <w:tcW w:w="3828" w:type="dxa"/>
          </w:tcPr>
          <w:p w14:paraId="742BAED9"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具資本性資債券：為累積或有利率加碼條件或其他提前贖回之誘因</w:t>
            </w:r>
          </w:p>
        </w:tc>
        <w:tc>
          <w:tcPr>
            <w:tcW w:w="5954" w:type="dxa"/>
          </w:tcPr>
          <w:p w14:paraId="4ADFB1E5"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30-7-2</w:t>
            </w:r>
            <w:r w:rsidRPr="00E224E9">
              <w:rPr>
                <w:rFonts w:ascii="Book Antiqua" w:eastAsia="華康仿宋體W6" w:hAnsi="Book Antiqua" w:hint="eastAsia"/>
                <w:color w:val="000000" w:themeColor="text1"/>
                <w:sz w:val="24"/>
              </w:rPr>
              <w:t>：發行具資本性質債券明細表」具資本性資債券：為累積或有利率加碼條件或其他提前贖回之誘因第</w:t>
            </w:r>
            <w:r w:rsidRPr="00E224E9">
              <w:rPr>
                <w:rFonts w:ascii="Book Antiqua" w:eastAsia="華康仿宋體W6" w:hAnsi="Book Antiqua"/>
                <w:color w:val="000000" w:themeColor="text1"/>
                <w:sz w:val="24"/>
              </w:rPr>
              <w:t>(12)</w:t>
            </w:r>
            <w:r w:rsidRPr="00E224E9">
              <w:rPr>
                <w:rFonts w:ascii="Book Antiqua" w:eastAsia="華康仿宋體W6" w:hAnsi="Book Antiqua" w:hint="eastAsia"/>
                <w:color w:val="000000" w:themeColor="text1"/>
                <w:sz w:val="24"/>
              </w:rPr>
              <w:t>欄標註為「可計入自有資本加計項之金額」小計</w:t>
            </w:r>
            <w:r w:rsidRPr="00E224E9">
              <w:rPr>
                <w:rFonts w:ascii="Book Antiqua" w:eastAsia="華康仿宋體W6" w:hAnsi="Book Antiqua" w:hint="eastAsia"/>
                <w:color w:val="000000" w:themeColor="text1"/>
                <w:sz w:val="24"/>
              </w:rPr>
              <w:lastRenderedPageBreak/>
              <w:t>值</w:t>
            </w:r>
          </w:p>
        </w:tc>
      </w:tr>
      <w:tr w:rsidR="00E224E9" w:rsidRPr="00E224E9" w14:paraId="6E4C256A" w14:textId="77777777" w:rsidTr="00285610">
        <w:tc>
          <w:tcPr>
            <w:tcW w:w="556" w:type="dxa"/>
          </w:tcPr>
          <w:p w14:paraId="77BF7526" w14:textId="4B7E3531" w:rsidR="00B60299" w:rsidRPr="00E224E9" w:rsidRDefault="00E82E2F" w:rsidP="00285610">
            <w:pPr>
              <w:spacing w:line="400" w:lineRule="exact"/>
              <w:ind w:left="22"/>
              <w:jc w:val="both"/>
              <w:rPr>
                <w:rFonts w:ascii="Book Antiqua" w:eastAsia="華康仿宋體W6" w:hAnsi="Book Antiqua"/>
                <w:color w:val="000000" w:themeColor="text1"/>
                <w:sz w:val="24"/>
              </w:rPr>
            </w:pPr>
            <w:r>
              <w:rPr>
                <w:rFonts w:ascii="Book Antiqua" w:eastAsia="華康仿宋體W6" w:hAnsi="Book Antiqua" w:hint="eastAsia"/>
                <w:color w:val="000000" w:themeColor="text1"/>
                <w:sz w:val="24"/>
              </w:rPr>
              <w:lastRenderedPageBreak/>
              <w:t>40</w:t>
            </w:r>
          </w:p>
        </w:tc>
        <w:tc>
          <w:tcPr>
            <w:tcW w:w="3828" w:type="dxa"/>
          </w:tcPr>
          <w:p w14:paraId="06FE1BE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發行期限不低於五年且在十年以內之可轉換次順位債券</w:t>
            </w:r>
          </w:p>
        </w:tc>
        <w:tc>
          <w:tcPr>
            <w:tcW w:w="5954" w:type="dxa"/>
          </w:tcPr>
          <w:p w14:paraId="5D82643B"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30-7-2</w:t>
            </w:r>
            <w:r w:rsidRPr="00E224E9">
              <w:rPr>
                <w:rFonts w:ascii="Book Antiqua" w:eastAsia="華康仿宋體W6" w:hAnsi="Book Antiqua" w:hint="eastAsia"/>
                <w:color w:val="000000" w:themeColor="text1"/>
                <w:sz w:val="24"/>
              </w:rPr>
              <w:t>：發行具資本性質債券明細表」的「發行期限不低於五年且在十年以內之可轉換次順位債券」第</w:t>
            </w:r>
            <w:r w:rsidRPr="00E224E9">
              <w:rPr>
                <w:rFonts w:ascii="Book Antiqua" w:eastAsia="華康仿宋體W6" w:hAnsi="Book Antiqua" w:hint="eastAsia"/>
                <w:color w:val="000000" w:themeColor="text1"/>
                <w:sz w:val="24"/>
              </w:rPr>
              <w:t>(12)</w:t>
            </w:r>
            <w:r w:rsidRPr="00E224E9">
              <w:rPr>
                <w:rFonts w:ascii="Book Antiqua" w:eastAsia="華康仿宋體W6" w:hAnsi="Book Antiqua" w:hint="eastAsia"/>
                <w:color w:val="000000" w:themeColor="text1"/>
                <w:sz w:val="24"/>
              </w:rPr>
              <w:t>欄標註為「可計入自有資本加計項之金額」小計值</w:t>
            </w:r>
          </w:p>
        </w:tc>
      </w:tr>
      <w:tr w:rsidR="00E224E9" w:rsidRPr="00E224E9" w14:paraId="2815F9E9" w14:textId="77777777" w:rsidTr="00285610">
        <w:tc>
          <w:tcPr>
            <w:tcW w:w="556" w:type="dxa"/>
          </w:tcPr>
          <w:p w14:paraId="7A44489E" w14:textId="43CB7710" w:rsidR="00B60299" w:rsidRPr="00E224E9" w:rsidRDefault="00AE6D04"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4</w:t>
            </w:r>
            <w:r w:rsidR="00E82E2F">
              <w:rPr>
                <w:rFonts w:ascii="Book Antiqua" w:eastAsia="華康仿宋體W6" w:hAnsi="Book Antiqua" w:hint="eastAsia"/>
                <w:color w:val="000000" w:themeColor="text1"/>
                <w:sz w:val="24"/>
              </w:rPr>
              <w:t>1</w:t>
            </w:r>
          </w:p>
        </w:tc>
        <w:tc>
          <w:tcPr>
            <w:tcW w:w="3828" w:type="dxa"/>
          </w:tcPr>
          <w:p w14:paraId="28A2D202"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「第一類限制性資本」因限額排除數</w:t>
            </w:r>
          </w:p>
        </w:tc>
        <w:tc>
          <w:tcPr>
            <w:tcW w:w="5954" w:type="dxa"/>
            <w:shd w:val="clear" w:color="auto" w:fill="auto"/>
          </w:tcPr>
          <w:p w14:paraId="095F4CE7"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第一類資本限制性資本</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因超過限額計入第二類資本</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之金額</w:t>
            </w:r>
          </w:p>
        </w:tc>
      </w:tr>
      <w:tr w:rsidR="00E224E9" w:rsidRPr="00E224E9" w14:paraId="4E5A8CE2" w14:textId="77777777" w:rsidTr="00285610">
        <w:tc>
          <w:tcPr>
            <w:tcW w:w="556" w:type="dxa"/>
          </w:tcPr>
          <w:p w14:paraId="6E2117C3" w14:textId="6FA3679E"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r w:rsidR="00E82E2F">
              <w:rPr>
                <w:rFonts w:ascii="Book Antiqua" w:eastAsia="華康仿宋體W6" w:hAnsi="Book Antiqua" w:hint="eastAsia"/>
                <w:color w:val="000000" w:themeColor="text1"/>
                <w:sz w:val="24"/>
              </w:rPr>
              <w:t>2</w:t>
            </w:r>
          </w:p>
        </w:tc>
        <w:tc>
          <w:tcPr>
            <w:tcW w:w="3828" w:type="dxa"/>
          </w:tcPr>
          <w:p w14:paraId="069995EB"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，「資本溯源」調整金額</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從</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扣除加回</w:t>
            </w:r>
            <w:r w:rsidRPr="00E224E9">
              <w:rPr>
                <w:rFonts w:ascii="Book Antiqua" w:eastAsia="華康仿宋體W6" w:hAnsi="Book Antiqua" w:hint="eastAsia"/>
                <w:color w:val="000000" w:themeColor="text1"/>
                <w:sz w:val="24"/>
              </w:rPr>
              <w:t>T</w:t>
            </w:r>
            <w:r w:rsidRPr="00E224E9">
              <w:rPr>
                <w:rFonts w:ascii="Book Antiqua" w:eastAsia="華康仿宋體W6" w:hAnsi="Book Antiqua"/>
                <w:color w:val="000000" w:themeColor="text1"/>
                <w:sz w:val="24"/>
              </w:rPr>
              <w:t>2</w:t>
            </w:r>
          </w:p>
        </w:tc>
        <w:tc>
          <w:tcPr>
            <w:tcW w:w="5954" w:type="dxa"/>
            <w:vMerge w:val="restart"/>
            <w:shd w:val="clear" w:color="auto" w:fill="FFFF99"/>
          </w:tcPr>
          <w:p w14:paraId="4D19186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按「保險業資本適足性管理辦法」第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條之</w:t>
            </w:r>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第二項規定：</w:t>
            </w:r>
          </w:p>
          <w:p w14:paraId="56CB3FC7"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E224E9" w:rsidRPr="00E224E9" w14:paraId="6640B163" w14:textId="77777777" w:rsidTr="00285610">
        <w:tc>
          <w:tcPr>
            <w:tcW w:w="556" w:type="dxa"/>
          </w:tcPr>
          <w:p w14:paraId="02DBA0E8" w14:textId="6ACB0B30"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r w:rsidR="00E82E2F">
              <w:rPr>
                <w:rFonts w:ascii="Book Antiqua" w:eastAsia="華康仿宋體W6" w:hAnsi="Book Antiqua" w:hint="eastAsia"/>
                <w:color w:val="000000" w:themeColor="text1"/>
                <w:sz w:val="24"/>
              </w:rPr>
              <w:t>3</w:t>
            </w:r>
          </w:p>
        </w:tc>
        <w:tc>
          <w:tcPr>
            <w:tcW w:w="3828" w:type="dxa"/>
          </w:tcPr>
          <w:p w14:paraId="3EB89FD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，「資本溯源」調整金額</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從</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扣除加回</w:t>
            </w:r>
            <w:r w:rsidRPr="00E224E9">
              <w:rPr>
                <w:rFonts w:ascii="Book Antiqua" w:eastAsia="華康仿宋體W6" w:hAnsi="Book Antiqua" w:hint="eastAsia"/>
                <w:color w:val="000000" w:themeColor="text1"/>
                <w:sz w:val="24"/>
              </w:rPr>
              <w:t>T</w:t>
            </w:r>
            <w:r w:rsidRPr="00E224E9">
              <w:rPr>
                <w:rFonts w:ascii="Book Antiqua" w:eastAsia="華康仿宋體W6" w:hAnsi="Book Antiqua"/>
                <w:color w:val="000000" w:themeColor="text1"/>
                <w:sz w:val="24"/>
              </w:rPr>
              <w:t>2</w:t>
            </w:r>
          </w:p>
        </w:tc>
        <w:tc>
          <w:tcPr>
            <w:tcW w:w="5954" w:type="dxa"/>
            <w:vMerge/>
            <w:shd w:val="clear" w:color="auto" w:fill="FFFF99"/>
          </w:tcPr>
          <w:p w14:paraId="4BD9312F"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2DA31A5E" w14:textId="77777777" w:rsidTr="00285610">
        <w:tc>
          <w:tcPr>
            <w:tcW w:w="10338" w:type="dxa"/>
            <w:gridSpan w:val="3"/>
            <w:shd w:val="clear" w:color="auto" w:fill="FFFFCC"/>
          </w:tcPr>
          <w:p w14:paraId="5AE21095" w14:textId="77777777"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T2</w:t>
            </w:r>
            <w:r w:rsidRPr="00E224E9">
              <w:rPr>
                <w:rFonts w:ascii="Book Antiqua" w:eastAsia="華康仿宋體W6" w:hAnsi="Book Antiqua" w:hint="eastAsia"/>
                <w:color w:val="000000" w:themeColor="text1"/>
                <w:sz w:val="28"/>
                <w:szCs w:val="28"/>
              </w:rPr>
              <w:t>減項：</w:t>
            </w:r>
          </w:p>
        </w:tc>
      </w:tr>
      <w:tr w:rsidR="00E224E9" w:rsidRPr="00E224E9" w14:paraId="15B84124" w14:textId="77777777" w:rsidTr="00243019">
        <w:tc>
          <w:tcPr>
            <w:tcW w:w="556" w:type="dxa"/>
          </w:tcPr>
          <w:p w14:paraId="653753C0" w14:textId="0A7914C5" w:rsidR="007F552A" w:rsidRPr="00E224E9" w:rsidRDefault="007F552A"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r w:rsidR="00E82E2F">
              <w:rPr>
                <w:rFonts w:ascii="Book Antiqua" w:eastAsia="華康仿宋體W6" w:hAnsi="Book Antiqua" w:hint="eastAsia"/>
                <w:color w:val="000000" w:themeColor="text1"/>
                <w:sz w:val="24"/>
              </w:rPr>
              <w:t>4</w:t>
            </w:r>
          </w:p>
        </w:tc>
        <w:tc>
          <w:tcPr>
            <w:tcW w:w="3828" w:type="dxa"/>
          </w:tcPr>
          <w:p w14:paraId="1694D128" w14:textId="77777777" w:rsidR="007F552A" w:rsidRPr="00E224E9" w:rsidRDefault="007F552A"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涉及「保險業於發行時或發行後對持有該等資本工具之持有人提供相關融資，有減損其作為資本工具之實質效益者」金額</w:t>
            </w:r>
          </w:p>
        </w:tc>
        <w:tc>
          <w:tcPr>
            <w:tcW w:w="5954" w:type="dxa"/>
            <w:vMerge w:val="restart"/>
            <w:shd w:val="clear" w:color="auto" w:fill="FFFF99"/>
          </w:tcPr>
          <w:p w14:paraId="6628AE4A" w14:textId="77777777" w:rsidR="007F552A" w:rsidRPr="00E224E9" w:rsidRDefault="007F552A"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「保險業資本適足性管理辦法」第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條之</w:t>
            </w:r>
            <w:r w:rsidRPr="00E224E9">
              <w:rPr>
                <w:rFonts w:ascii="Book Antiqua" w:eastAsia="華康仿宋體W6" w:hAnsi="Book Antiqua" w:hint="eastAsia"/>
                <w:color w:val="000000" w:themeColor="text1"/>
                <w:sz w:val="24"/>
              </w:rPr>
              <w:t>1</w:t>
            </w:r>
          </w:p>
          <w:p w14:paraId="41B34704" w14:textId="47F1D22F" w:rsidR="007F552A" w:rsidRPr="00E224E9" w:rsidRDefault="007F552A"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詳第</w:t>
            </w:r>
            <w:r w:rsidR="000376BB" w:rsidRPr="004D5D28">
              <w:rPr>
                <w:rFonts w:ascii="Book Antiqua" w:eastAsia="華康仿宋體W6" w:hAnsi="Book Antiqua"/>
                <w:color w:val="EE0000"/>
                <w:sz w:val="24"/>
              </w:rPr>
              <w:t>20</w:t>
            </w:r>
            <w:r w:rsidRPr="004D5D28">
              <w:rPr>
                <w:rFonts w:ascii="Book Antiqua" w:eastAsia="華康仿宋體W6" w:hAnsi="Book Antiqua" w:hint="eastAsia"/>
                <w:color w:val="EE0000"/>
                <w:sz w:val="24"/>
              </w:rPr>
              <w:t>列至</w:t>
            </w:r>
            <w:r w:rsidR="000376BB" w:rsidRPr="004D5D28">
              <w:rPr>
                <w:rFonts w:ascii="Book Antiqua" w:eastAsia="華康仿宋體W6" w:hAnsi="Book Antiqua"/>
                <w:color w:val="EE0000"/>
                <w:sz w:val="24"/>
              </w:rPr>
              <w:t>23</w:t>
            </w:r>
            <w:r w:rsidRPr="004D5D28">
              <w:rPr>
                <w:rFonts w:ascii="Book Antiqua" w:eastAsia="華康仿宋體W6" w:hAnsi="Book Antiqua" w:hint="eastAsia"/>
                <w:color w:val="EE0000"/>
                <w:sz w:val="24"/>
              </w:rPr>
              <w:t>列</w:t>
            </w:r>
            <w:r w:rsidRPr="00E224E9">
              <w:rPr>
                <w:rFonts w:ascii="Book Antiqua" w:eastAsia="華康仿宋體W6" w:hAnsi="Book Antiqua" w:hint="eastAsia"/>
                <w:color w:val="000000" w:themeColor="text1"/>
                <w:sz w:val="24"/>
              </w:rPr>
              <w:t>說明</w:t>
            </w:r>
          </w:p>
        </w:tc>
      </w:tr>
      <w:tr w:rsidR="00E224E9" w:rsidRPr="00E224E9" w14:paraId="6F8F4EF3" w14:textId="77777777" w:rsidTr="00243019">
        <w:tc>
          <w:tcPr>
            <w:tcW w:w="556" w:type="dxa"/>
          </w:tcPr>
          <w:p w14:paraId="58A7D001" w14:textId="23192D44" w:rsidR="007F552A" w:rsidRPr="00E224E9" w:rsidRDefault="007F552A"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r w:rsidR="00E82E2F">
              <w:rPr>
                <w:rFonts w:ascii="Book Antiqua" w:eastAsia="華康仿宋體W6" w:hAnsi="Book Antiqua" w:hint="eastAsia"/>
                <w:color w:val="000000" w:themeColor="text1"/>
                <w:sz w:val="24"/>
              </w:rPr>
              <w:t>5</w:t>
            </w:r>
          </w:p>
        </w:tc>
        <w:tc>
          <w:tcPr>
            <w:tcW w:w="3828" w:type="dxa"/>
          </w:tcPr>
          <w:p w14:paraId="38E38C9B" w14:textId="77777777" w:rsidR="007F552A" w:rsidRPr="00E224E9" w:rsidRDefault="007F552A"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涉及「保險業之子公司及保險業金融控股母公司之子公司，持有該等資本工具」金額</w:t>
            </w:r>
          </w:p>
        </w:tc>
        <w:tc>
          <w:tcPr>
            <w:tcW w:w="5954" w:type="dxa"/>
            <w:vMerge/>
            <w:shd w:val="clear" w:color="auto" w:fill="FFFF99"/>
          </w:tcPr>
          <w:p w14:paraId="0C95F2C6" w14:textId="77777777" w:rsidR="007F552A" w:rsidRPr="00E224E9" w:rsidRDefault="007F552A" w:rsidP="00F36FD8">
            <w:pPr>
              <w:spacing w:line="400" w:lineRule="exact"/>
              <w:ind w:left="520"/>
              <w:jc w:val="both"/>
              <w:rPr>
                <w:rFonts w:ascii="Book Antiqua" w:eastAsia="華康仿宋體W6" w:hAnsi="Book Antiqua"/>
                <w:color w:val="000000" w:themeColor="text1"/>
                <w:sz w:val="24"/>
              </w:rPr>
            </w:pPr>
          </w:p>
        </w:tc>
      </w:tr>
      <w:tr w:rsidR="00E224E9" w:rsidRPr="00E224E9" w14:paraId="665655E8" w14:textId="77777777" w:rsidTr="00243019">
        <w:tc>
          <w:tcPr>
            <w:tcW w:w="556" w:type="dxa"/>
          </w:tcPr>
          <w:p w14:paraId="67D4A2E2" w14:textId="17EA5B87" w:rsidR="007F552A" w:rsidRPr="00E224E9" w:rsidRDefault="007F552A"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r w:rsidR="00E82E2F">
              <w:rPr>
                <w:rFonts w:ascii="Book Antiqua" w:eastAsia="華康仿宋體W6" w:hAnsi="Book Antiqua" w:hint="eastAsia"/>
                <w:color w:val="000000" w:themeColor="text1"/>
                <w:sz w:val="24"/>
              </w:rPr>
              <w:t>6</w:t>
            </w:r>
          </w:p>
        </w:tc>
        <w:tc>
          <w:tcPr>
            <w:tcW w:w="3828" w:type="dxa"/>
          </w:tcPr>
          <w:p w14:paraId="63799370" w14:textId="77777777" w:rsidR="007F552A" w:rsidRPr="00E224E9" w:rsidRDefault="007F552A"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涉及「保險業對其具有重大影響力之被投資公司，持有之該等資本工具」金額</w:t>
            </w:r>
          </w:p>
        </w:tc>
        <w:tc>
          <w:tcPr>
            <w:tcW w:w="5954" w:type="dxa"/>
            <w:vMerge/>
            <w:shd w:val="clear" w:color="auto" w:fill="FFFF99"/>
          </w:tcPr>
          <w:p w14:paraId="4A1A19A3" w14:textId="77777777" w:rsidR="007F552A" w:rsidRPr="00E224E9" w:rsidRDefault="007F552A" w:rsidP="00F36FD8">
            <w:pPr>
              <w:spacing w:line="400" w:lineRule="exact"/>
              <w:ind w:left="520"/>
              <w:jc w:val="both"/>
              <w:rPr>
                <w:rFonts w:ascii="Book Antiqua" w:eastAsia="華康仿宋體W6" w:hAnsi="Book Antiqua"/>
                <w:color w:val="000000" w:themeColor="text1"/>
                <w:sz w:val="24"/>
              </w:rPr>
            </w:pPr>
          </w:p>
        </w:tc>
      </w:tr>
      <w:tr w:rsidR="00E224E9" w:rsidRPr="00E224E9" w14:paraId="03EE35DE" w14:textId="77777777" w:rsidTr="00022817">
        <w:tc>
          <w:tcPr>
            <w:tcW w:w="556" w:type="dxa"/>
          </w:tcPr>
          <w:p w14:paraId="4250B83C" w14:textId="14C60B02" w:rsidR="007F552A" w:rsidRPr="00E224E9" w:rsidRDefault="007F552A">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r w:rsidR="00E82E2F">
              <w:rPr>
                <w:rFonts w:ascii="Book Antiqua" w:eastAsia="華康仿宋體W6" w:hAnsi="Book Antiqua" w:hint="eastAsia"/>
                <w:color w:val="000000" w:themeColor="text1"/>
                <w:sz w:val="24"/>
              </w:rPr>
              <w:t>7</w:t>
            </w:r>
          </w:p>
        </w:tc>
        <w:tc>
          <w:tcPr>
            <w:tcW w:w="3828" w:type="dxa"/>
          </w:tcPr>
          <w:p w14:paraId="2DB8BE06" w14:textId="1080E249" w:rsidR="007F552A" w:rsidRPr="00E224E9" w:rsidRDefault="007F552A">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，「資本溯源」調整金額</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從</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扣除</w:t>
            </w:r>
          </w:p>
        </w:tc>
        <w:tc>
          <w:tcPr>
            <w:tcW w:w="5954" w:type="dxa"/>
            <w:vMerge/>
            <w:shd w:val="clear" w:color="auto" w:fill="FFFF99"/>
          </w:tcPr>
          <w:p w14:paraId="235EB90F" w14:textId="77777777" w:rsidR="007F552A" w:rsidRPr="00E224E9" w:rsidRDefault="007F552A" w:rsidP="00F36FD8">
            <w:pPr>
              <w:spacing w:line="400" w:lineRule="exact"/>
              <w:ind w:left="520"/>
              <w:jc w:val="both"/>
              <w:rPr>
                <w:rFonts w:ascii="Book Antiqua" w:eastAsia="華康仿宋體W6" w:hAnsi="Book Antiqua"/>
                <w:color w:val="000000" w:themeColor="text1"/>
                <w:sz w:val="24"/>
              </w:rPr>
            </w:pPr>
          </w:p>
        </w:tc>
      </w:tr>
      <w:tr w:rsidR="00E224E9" w:rsidRPr="00E224E9" w14:paraId="46E0473F" w14:textId="77777777" w:rsidTr="00285610">
        <w:tc>
          <w:tcPr>
            <w:tcW w:w="556" w:type="dxa"/>
            <w:shd w:val="clear" w:color="auto" w:fill="FFFFCC"/>
          </w:tcPr>
          <w:p w14:paraId="192AA15D" w14:textId="0CA111B7"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4</w:t>
            </w:r>
            <w:r w:rsidR="00E82E2F">
              <w:rPr>
                <w:rFonts w:ascii="Book Antiqua" w:eastAsia="華康仿宋體W6" w:hAnsi="Book Antiqua" w:hint="eastAsia"/>
                <w:color w:val="000000" w:themeColor="text1"/>
                <w:sz w:val="28"/>
                <w:szCs w:val="28"/>
              </w:rPr>
              <w:t>8</w:t>
            </w:r>
          </w:p>
        </w:tc>
        <w:tc>
          <w:tcPr>
            <w:tcW w:w="9782" w:type="dxa"/>
            <w:gridSpan w:val="2"/>
            <w:shd w:val="clear" w:color="auto" w:fill="FFFFCC"/>
          </w:tcPr>
          <w:p w14:paraId="137D3ED6"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「第二類資本」合計</w:t>
            </w:r>
            <w:r w:rsidRPr="00E224E9">
              <w:rPr>
                <w:rFonts w:ascii="Book Antiqua" w:eastAsia="華康仿宋體W6" w:hAnsi="Book Antiqua"/>
                <w:color w:val="000000" w:themeColor="text1"/>
                <w:sz w:val="28"/>
                <w:szCs w:val="28"/>
              </w:rPr>
              <w:t>_</w:t>
            </w:r>
            <w:r w:rsidRPr="00E224E9">
              <w:rPr>
                <w:rFonts w:ascii="Book Antiqua" w:eastAsia="華康仿宋體W6" w:hAnsi="Book Antiqua" w:hint="eastAsia"/>
                <w:color w:val="000000" w:themeColor="text1"/>
                <w:sz w:val="28"/>
                <w:szCs w:val="28"/>
              </w:rPr>
              <w:t>反映限額前</w:t>
            </w:r>
          </w:p>
        </w:tc>
      </w:tr>
      <w:tr w:rsidR="00E224E9" w:rsidRPr="00E224E9" w14:paraId="63ADD8F2" w14:textId="77777777" w:rsidTr="00285610">
        <w:tc>
          <w:tcPr>
            <w:tcW w:w="556" w:type="dxa"/>
            <w:shd w:val="clear" w:color="auto" w:fill="FFFFCC"/>
          </w:tcPr>
          <w:p w14:paraId="251A1BDF" w14:textId="1A313F9F"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4</w:t>
            </w:r>
            <w:r w:rsidR="00E82E2F">
              <w:rPr>
                <w:rFonts w:ascii="Book Antiqua" w:eastAsia="華康仿宋體W6" w:hAnsi="Book Antiqua" w:hint="eastAsia"/>
                <w:color w:val="000000" w:themeColor="text1"/>
                <w:sz w:val="28"/>
                <w:szCs w:val="28"/>
              </w:rPr>
              <w:t>9</w:t>
            </w:r>
          </w:p>
        </w:tc>
        <w:tc>
          <w:tcPr>
            <w:tcW w:w="9782" w:type="dxa"/>
            <w:gridSpan w:val="2"/>
            <w:shd w:val="clear" w:color="auto" w:fill="FFFFCC"/>
          </w:tcPr>
          <w:p w14:paraId="75AC07A2"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「第二類資本」合計</w:t>
            </w:r>
            <w:r w:rsidRPr="00E224E9">
              <w:rPr>
                <w:rFonts w:ascii="Book Antiqua" w:eastAsia="華康仿宋體W6" w:hAnsi="Book Antiqua"/>
                <w:color w:val="000000" w:themeColor="text1"/>
                <w:sz w:val="28"/>
                <w:szCs w:val="28"/>
              </w:rPr>
              <w:t>_</w:t>
            </w:r>
            <w:r w:rsidRPr="00E224E9">
              <w:rPr>
                <w:rFonts w:ascii="Book Antiqua" w:eastAsia="華康仿宋體W6" w:hAnsi="Book Antiqua" w:hint="eastAsia"/>
                <w:color w:val="000000" w:themeColor="text1"/>
                <w:sz w:val="28"/>
                <w:szCs w:val="28"/>
              </w:rPr>
              <w:t>反映限額後</w:t>
            </w:r>
          </w:p>
        </w:tc>
      </w:tr>
      <w:tr w:rsidR="00E224E9" w:rsidRPr="00E224E9" w14:paraId="7BEA826A" w14:textId="77777777" w:rsidTr="00285610">
        <w:tc>
          <w:tcPr>
            <w:tcW w:w="556" w:type="dxa"/>
            <w:shd w:val="clear" w:color="auto" w:fill="FFFFCC"/>
          </w:tcPr>
          <w:p w14:paraId="1F68A8F0" w14:textId="533039B3" w:rsidR="00B60299" w:rsidRPr="00E224E9" w:rsidRDefault="00E82E2F" w:rsidP="00285610">
            <w:pPr>
              <w:spacing w:line="400" w:lineRule="exact"/>
              <w:ind w:left="22"/>
              <w:jc w:val="both"/>
              <w:rPr>
                <w:rFonts w:ascii="Book Antiqua" w:eastAsia="華康仿宋體W6" w:hAnsi="Book Antiqua"/>
                <w:color w:val="000000" w:themeColor="text1"/>
                <w:sz w:val="28"/>
                <w:szCs w:val="28"/>
              </w:rPr>
            </w:pPr>
            <w:r>
              <w:rPr>
                <w:rFonts w:ascii="Book Antiqua" w:eastAsia="華康仿宋體W6" w:hAnsi="Book Antiqua" w:hint="eastAsia"/>
                <w:color w:val="000000" w:themeColor="text1"/>
                <w:sz w:val="28"/>
                <w:szCs w:val="28"/>
              </w:rPr>
              <w:t>50</w:t>
            </w:r>
          </w:p>
        </w:tc>
        <w:tc>
          <w:tcPr>
            <w:tcW w:w="9782" w:type="dxa"/>
            <w:gridSpan w:val="2"/>
            <w:shd w:val="clear" w:color="auto" w:fill="FFFFCC"/>
          </w:tcPr>
          <w:p w14:paraId="0D25BDAE"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「第二類資本」合計</w:t>
            </w:r>
            <w:r w:rsidRPr="00E224E9">
              <w:rPr>
                <w:rFonts w:ascii="Book Antiqua" w:eastAsia="華康仿宋體W6" w:hAnsi="Book Antiqua"/>
                <w:color w:val="000000" w:themeColor="text1"/>
                <w:sz w:val="28"/>
                <w:szCs w:val="28"/>
              </w:rPr>
              <w:t>_</w:t>
            </w:r>
            <w:r w:rsidRPr="00E224E9">
              <w:rPr>
                <w:rFonts w:ascii="Book Antiqua" w:eastAsia="華康仿宋體W6" w:hAnsi="Book Antiqua" w:hint="eastAsia"/>
                <w:color w:val="000000" w:themeColor="text1"/>
                <w:sz w:val="28"/>
                <w:szCs w:val="28"/>
              </w:rPr>
              <w:t>因限額排除數</w:t>
            </w:r>
          </w:p>
        </w:tc>
      </w:tr>
      <w:tr w:rsidR="00E224E9" w:rsidRPr="00E224E9" w14:paraId="6F993CCD" w14:textId="77777777" w:rsidTr="00285610">
        <w:tc>
          <w:tcPr>
            <w:tcW w:w="556" w:type="dxa"/>
            <w:shd w:val="clear" w:color="auto" w:fill="FFFFCC"/>
          </w:tcPr>
          <w:p w14:paraId="6E9A2446" w14:textId="7C22605D" w:rsidR="00B60299" w:rsidRPr="00E224E9" w:rsidRDefault="00AE6D04"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5</w:t>
            </w:r>
            <w:r w:rsidR="00E82E2F">
              <w:rPr>
                <w:rFonts w:ascii="Book Antiqua" w:eastAsia="華康仿宋體W6" w:hAnsi="Book Antiqua" w:hint="eastAsia"/>
                <w:color w:val="000000" w:themeColor="text1"/>
                <w:sz w:val="28"/>
                <w:szCs w:val="28"/>
              </w:rPr>
              <w:t>1</w:t>
            </w:r>
          </w:p>
        </w:tc>
        <w:tc>
          <w:tcPr>
            <w:tcW w:w="9782" w:type="dxa"/>
            <w:gridSpan w:val="2"/>
            <w:shd w:val="clear" w:color="auto" w:fill="FFFFCC"/>
          </w:tcPr>
          <w:p w14:paraId="2A6E96BB"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《調整後自有資本》總計</w:t>
            </w:r>
          </w:p>
        </w:tc>
      </w:tr>
      <w:tr w:rsidR="00E224E9" w:rsidRPr="00E224E9" w14:paraId="7B2E5B97" w14:textId="77777777" w:rsidTr="00285610">
        <w:tc>
          <w:tcPr>
            <w:tcW w:w="10338" w:type="dxa"/>
            <w:gridSpan w:val="3"/>
            <w:shd w:val="clear" w:color="auto" w:fill="2E74B5" w:themeFill="accent1" w:themeFillShade="BF"/>
          </w:tcPr>
          <w:p w14:paraId="64BE7F81" w14:textId="77777777" w:rsidR="00B60299" w:rsidRPr="00E224E9" w:rsidRDefault="00B60299" w:rsidP="00285610">
            <w:pPr>
              <w:tabs>
                <w:tab w:val="left" w:pos="2078"/>
              </w:tabs>
              <w:spacing w:line="400" w:lineRule="exact"/>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不動產增值利益相關項目：</w:t>
            </w:r>
          </w:p>
        </w:tc>
      </w:tr>
      <w:tr w:rsidR="00E224E9" w:rsidRPr="00E224E9" w14:paraId="0C004F25" w14:textId="77777777" w:rsidTr="00285610">
        <w:tc>
          <w:tcPr>
            <w:tcW w:w="556" w:type="dxa"/>
          </w:tcPr>
          <w:p w14:paraId="3C7CA6FE" w14:textId="4DD7D5E8" w:rsidR="00B60299" w:rsidRPr="00E224E9" w:rsidRDefault="007F552A"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lastRenderedPageBreak/>
              <w:t>5</w:t>
            </w:r>
            <w:r w:rsidR="00E82E2F">
              <w:rPr>
                <w:rFonts w:ascii="Book Antiqua" w:eastAsia="華康仿宋體W6" w:hAnsi="Book Antiqua" w:hint="eastAsia"/>
                <w:color w:val="000000" w:themeColor="text1"/>
                <w:sz w:val="24"/>
              </w:rPr>
              <w:t>2</w:t>
            </w:r>
          </w:p>
        </w:tc>
        <w:tc>
          <w:tcPr>
            <w:tcW w:w="3828" w:type="dxa"/>
          </w:tcPr>
          <w:p w14:paraId="151F30E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不動產投資評價調整數</w:t>
            </w:r>
          </w:p>
        </w:tc>
        <w:tc>
          <w:tcPr>
            <w:tcW w:w="5954" w:type="dxa"/>
          </w:tcPr>
          <w:p w14:paraId="68A48E9F" w14:textId="62E58A1B" w:rsidR="00B60299" w:rsidRPr="00E224E9" w:rsidRDefault="00361B4D"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30-7-3</w:t>
            </w:r>
            <w:r w:rsidRPr="00E224E9">
              <w:rPr>
                <w:rFonts w:ascii="Book Antiqua" w:eastAsia="華康仿宋體W6" w:hAnsi="Book Antiqua" w:hint="eastAsia"/>
                <w:color w:val="000000" w:themeColor="text1"/>
                <w:sz w:val="24"/>
              </w:rPr>
              <w:t>：不動產投資採市價評價計入自有資本調整計算表」第</w:t>
            </w:r>
            <w:r w:rsidRPr="00E224E9">
              <w:rPr>
                <w:rFonts w:ascii="Book Antiqua" w:eastAsia="華康仿宋體W6" w:hAnsi="Book Antiqua" w:hint="eastAsia"/>
                <w:color w:val="000000" w:themeColor="text1"/>
                <w:sz w:val="24"/>
              </w:rPr>
              <w:t>(3)</w:t>
            </w:r>
            <w:r w:rsidRPr="00E224E9">
              <w:rPr>
                <w:rFonts w:ascii="Book Antiqua" w:eastAsia="華康仿宋體W6" w:hAnsi="Book Antiqua" w:hint="eastAsia"/>
                <w:color w:val="000000" w:themeColor="text1"/>
                <w:sz w:val="24"/>
              </w:rPr>
              <w:t>欄第</w:t>
            </w:r>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列</w:t>
            </w:r>
          </w:p>
        </w:tc>
      </w:tr>
      <w:tr w:rsidR="00E224E9" w:rsidRPr="00E224E9" w14:paraId="34C01B41" w14:textId="77777777" w:rsidTr="00285610">
        <w:tc>
          <w:tcPr>
            <w:tcW w:w="556" w:type="dxa"/>
          </w:tcPr>
          <w:p w14:paraId="02E8E8B4" w14:textId="6C360483"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5</w:t>
            </w:r>
            <w:r w:rsidR="00E82E2F">
              <w:rPr>
                <w:rFonts w:ascii="Book Antiqua" w:eastAsia="華康仿宋體W6" w:hAnsi="Book Antiqua" w:hint="eastAsia"/>
                <w:color w:val="000000" w:themeColor="text1"/>
                <w:sz w:val="24"/>
              </w:rPr>
              <w:t>3</w:t>
            </w:r>
          </w:p>
        </w:tc>
        <w:tc>
          <w:tcPr>
            <w:tcW w:w="3828" w:type="dxa"/>
          </w:tcPr>
          <w:p w14:paraId="3C3405F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特別準備</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不動產增值利益</w:t>
            </w:r>
          </w:p>
        </w:tc>
        <w:tc>
          <w:tcPr>
            <w:tcW w:w="5954" w:type="dxa"/>
          </w:tcPr>
          <w:p w14:paraId="32D51CD6"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按「表</w:t>
            </w:r>
            <w:r w:rsidRPr="00E224E9">
              <w:rPr>
                <w:rFonts w:ascii="Book Antiqua" w:eastAsia="華康仿宋體W6" w:hAnsi="Book Antiqua" w:hint="eastAsia"/>
                <w:color w:val="000000" w:themeColor="text1"/>
                <w:sz w:val="24"/>
              </w:rPr>
              <w:t>30-7-3</w:t>
            </w:r>
            <w:r w:rsidRPr="00E224E9">
              <w:rPr>
                <w:rFonts w:ascii="Book Antiqua" w:eastAsia="華康仿宋體W6" w:hAnsi="Book Antiqua" w:hint="eastAsia"/>
                <w:color w:val="000000" w:themeColor="text1"/>
                <w:sz w:val="24"/>
              </w:rPr>
              <w:t>：不動產投資採公允價值評價計入自有資本調整計算表」第</w:t>
            </w:r>
            <w:r w:rsidRPr="00E224E9">
              <w:rPr>
                <w:rFonts w:ascii="Book Antiqua" w:eastAsia="華康仿宋體W6" w:hAnsi="Book Antiqua"/>
                <w:color w:val="000000" w:themeColor="text1"/>
                <w:sz w:val="24"/>
              </w:rPr>
              <w:t>(1)</w:t>
            </w:r>
            <w:r w:rsidRPr="00E224E9">
              <w:rPr>
                <w:rFonts w:ascii="Book Antiqua" w:eastAsia="華康仿宋體W6" w:hAnsi="Book Antiqua" w:hint="eastAsia"/>
                <w:color w:val="000000" w:themeColor="text1"/>
                <w:sz w:val="24"/>
              </w:rPr>
              <w:t>欄第</w:t>
            </w:r>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列，計入自有資本額加項。</w:t>
            </w:r>
          </w:p>
        </w:tc>
      </w:tr>
      <w:tr w:rsidR="00E224E9" w:rsidRPr="00E224E9" w14:paraId="748DBB6C" w14:textId="77777777" w:rsidTr="00285610">
        <w:tc>
          <w:tcPr>
            <w:tcW w:w="556" w:type="dxa"/>
          </w:tcPr>
          <w:p w14:paraId="48E25A77" w14:textId="6F58109F"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5</w:t>
            </w:r>
            <w:r w:rsidR="00E82E2F">
              <w:rPr>
                <w:rFonts w:ascii="Book Antiqua" w:eastAsia="華康仿宋體W6" w:hAnsi="Book Antiqua" w:hint="eastAsia"/>
                <w:color w:val="000000" w:themeColor="text1"/>
                <w:sz w:val="24"/>
              </w:rPr>
              <w:t>4</w:t>
            </w:r>
          </w:p>
        </w:tc>
        <w:tc>
          <w:tcPr>
            <w:tcW w:w="3828" w:type="dxa"/>
          </w:tcPr>
          <w:p w14:paraId="2EB55682"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特別盈餘公積</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不動產增值利益</w:t>
            </w:r>
          </w:p>
        </w:tc>
        <w:tc>
          <w:tcPr>
            <w:tcW w:w="5954" w:type="dxa"/>
          </w:tcPr>
          <w:p w14:paraId="7DC4737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30-7-3</w:t>
            </w:r>
            <w:r w:rsidRPr="00E224E9">
              <w:rPr>
                <w:rFonts w:ascii="Book Antiqua" w:eastAsia="華康仿宋體W6" w:hAnsi="Book Antiqua" w:hint="eastAsia"/>
                <w:color w:val="000000" w:themeColor="text1"/>
                <w:sz w:val="24"/>
              </w:rPr>
              <w:t>：不動產投資採市價評價計入自有資本調整計算表」第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欄第</w:t>
            </w:r>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列</w:t>
            </w:r>
          </w:p>
        </w:tc>
      </w:tr>
      <w:tr w:rsidR="00E224E9" w:rsidRPr="00E224E9" w14:paraId="2A219FCD" w14:textId="77777777" w:rsidTr="00285610">
        <w:tc>
          <w:tcPr>
            <w:tcW w:w="556" w:type="dxa"/>
            <w:shd w:val="clear" w:color="auto" w:fill="FFFFCC"/>
          </w:tcPr>
          <w:p w14:paraId="2CB90DC4" w14:textId="2082877E"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5</w:t>
            </w:r>
            <w:r w:rsidR="00E82E2F">
              <w:rPr>
                <w:rFonts w:ascii="Book Antiqua" w:eastAsia="華康仿宋體W6" w:hAnsi="Book Antiqua" w:hint="eastAsia"/>
                <w:color w:val="000000" w:themeColor="text1"/>
                <w:sz w:val="28"/>
                <w:szCs w:val="28"/>
              </w:rPr>
              <w:t>5</w:t>
            </w:r>
          </w:p>
        </w:tc>
        <w:tc>
          <w:tcPr>
            <w:tcW w:w="9782" w:type="dxa"/>
            <w:gridSpan w:val="2"/>
            <w:shd w:val="clear" w:color="auto" w:fill="FFFFCC"/>
          </w:tcPr>
          <w:p w14:paraId="5251E095"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不動產增值利益相關金額合計</w:t>
            </w:r>
          </w:p>
        </w:tc>
      </w:tr>
    </w:tbl>
    <w:p w14:paraId="66FC55FC" w14:textId="77777777" w:rsidR="00B60299" w:rsidRPr="00E224E9" w:rsidRDefault="00B60299" w:rsidP="00B60299">
      <w:pPr>
        <w:spacing w:line="440" w:lineRule="exact"/>
        <w:jc w:val="both"/>
        <w:rPr>
          <w:rFonts w:ascii="Book Antiqua" w:eastAsia="華康仿宋體W6" w:hAnsi="Book Antiqua"/>
          <w:color w:val="000000" w:themeColor="text1"/>
          <w:sz w:val="24"/>
        </w:rPr>
      </w:pPr>
    </w:p>
    <w:p w14:paraId="5F6048C2" w14:textId="77777777" w:rsidR="00E362AE" w:rsidRPr="00E224E9" w:rsidRDefault="00E362AE" w:rsidP="00B60299">
      <w:pPr>
        <w:spacing w:line="440" w:lineRule="exact"/>
        <w:jc w:val="both"/>
        <w:rPr>
          <w:rFonts w:ascii="Book Antiqua" w:eastAsia="華康仿宋體W6" w:hAnsi="Book Antiqua"/>
          <w:color w:val="000000" w:themeColor="text1"/>
          <w:sz w:val="24"/>
        </w:rPr>
      </w:pPr>
    </w:p>
    <w:p w14:paraId="797B8E91" w14:textId="4A94BD9F" w:rsidR="00B60299" w:rsidRPr="00E224E9" w:rsidRDefault="00B60299" w:rsidP="00B60299">
      <w:pPr>
        <w:spacing w:line="440" w:lineRule="exact"/>
        <w:ind w:leftChars="-285" w:left="-741"/>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w:t>
      </w:r>
      <w:r w:rsidRPr="004D5D28">
        <w:rPr>
          <w:rFonts w:ascii="Book Antiqua" w:eastAsia="華康仿宋體W6" w:hAnsi="Book Antiqua"/>
          <w:color w:val="EE0000"/>
          <w:sz w:val="24"/>
        </w:rPr>
        <w:t>1</w:t>
      </w:r>
      <w:r w:rsidR="00AB2052">
        <w:rPr>
          <w:rFonts w:ascii="Book Antiqua" w:eastAsia="華康仿宋體W6" w:hAnsi="Book Antiqua" w:hint="eastAsia"/>
          <w:color w:val="EE0000"/>
          <w:sz w:val="24"/>
        </w:rPr>
        <w:t>9</w:t>
      </w:r>
      <w:r w:rsidRPr="00E224E9">
        <w:rPr>
          <w:rFonts w:ascii="Book Antiqua" w:eastAsia="華康仿宋體W6" w:hAnsi="Book Antiqua" w:hint="eastAsia"/>
          <w:color w:val="000000" w:themeColor="text1"/>
          <w:sz w:val="24"/>
        </w:rPr>
        <w:t>列：</w:t>
      </w: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起，投資於關係人且屬於國外保險相關事業</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評價日帳面金額」範例說明</w:t>
      </w:r>
    </w:p>
    <w:tbl>
      <w:tblPr>
        <w:tblStyle w:val="aff5"/>
        <w:tblW w:w="10289" w:type="dxa"/>
        <w:tblInd w:w="-761" w:type="dxa"/>
        <w:tblLook w:val="04A0" w:firstRow="1" w:lastRow="0" w:firstColumn="1" w:lastColumn="0" w:noHBand="0" w:noVBand="1"/>
      </w:tblPr>
      <w:tblGrid>
        <w:gridCol w:w="472"/>
        <w:gridCol w:w="1844"/>
        <w:gridCol w:w="7973"/>
      </w:tblGrid>
      <w:tr w:rsidR="00E224E9" w:rsidRPr="00E224E9" w14:paraId="3822DE02" w14:textId="77777777" w:rsidTr="00285610">
        <w:trPr>
          <w:tblHeader/>
        </w:trPr>
        <w:tc>
          <w:tcPr>
            <w:tcW w:w="472" w:type="dxa"/>
            <w:shd w:val="clear" w:color="auto" w:fill="2E74B5" w:themeFill="accent1" w:themeFillShade="BF"/>
          </w:tcPr>
          <w:p w14:paraId="141951B5" w14:textId="77777777" w:rsidR="00B60299" w:rsidRPr="00E224E9" w:rsidRDefault="00B60299" w:rsidP="00285610">
            <w:pPr>
              <w:spacing w:line="400" w:lineRule="exact"/>
              <w:jc w:val="both"/>
              <w:rPr>
                <w:rFonts w:ascii="Book Antiqua" w:eastAsia="華康仿宋體W6" w:hAnsi="Book Antiqua"/>
                <w:b/>
                <w:bCs/>
                <w:color w:val="000000" w:themeColor="text1"/>
                <w:sz w:val="28"/>
                <w:szCs w:val="28"/>
              </w:rPr>
            </w:pPr>
          </w:p>
        </w:tc>
        <w:tc>
          <w:tcPr>
            <w:tcW w:w="1844" w:type="dxa"/>
            <w:shd w:val="clear" w:color="auto" w:fill="2E74B5" w:themeFill="accent1" w:themeFillShade="BF"/>
          </w:tcPr>
          <w:p w14:paraId="2A603824" w14:textId="77777777" w:rsidR="00B60299" w:rsidRPr="00E224E9" w:rsidRDefault="00B60299" w:rsidP="00285610">
            <w:pPr>
              <w:spacing w:line="400" w:lineRule="exact"/>
              <w:jc w:val="both"/>
              <w:rPr>
                <w:rFonts w:ascii="Book Antiqua" w:eastAsia="華康仿宋體W6" w:hAnsi="Book Antiqua"/>
                <w:b/>
                <w:bCs/>
                <w:color w:val="000000" w:themeColor="text1"/>
                <w:sz w:val="28"/>
                <w:szCs w:val="28"/>
              </w:rPr>
            </w:pPr>
            <w:r w:rsidRPr="00E224E9">
              <w:rPr>
                <w:rFonts w:ascii="Book Antiqua" w:eastAsia="華康仿宋體W6" w:hAnsi="Book Antiqua" w:hint="eastAsia"/>
                <w:b/>
                <w:bCs/>
                <w:color w:val="000000" w:themeColor="text1"/>
                <w:sz w:val="28"/>
                <w:szCs w:val="28"/>
              </w:rPr>
              <w:t>項目</w:t>
            </w:r>
          </w:p>
        </w:tc>
        <w:tc>
          <w:tcPr>
            <w:tcW w:w="7973" w:type="dxa"/>
            <w:shd w:val="clear" w:color="auto" w:fill="2E74B5" w:themeFill="accent1" w:themeFillShade="BF"/>
          </w:tcPr>
          <w:p w14:paraId="48567713" w14:textId="77777777" w:rsidR="00B60299" w:rsidRPr="00E224E9" w:rsidRDefault="00B60299" w:rsidP="00285610">
            <w:pPr>
              <w:spacing w:line="400" w:lineRule="exact"/>
              <w:jc w:val="both"/>
              <w:rPr>
                <w:rFonts w:ascii="Book Antiqua" w:eastAsia="華康仿宋體W6" w:hAnsi="Book Antiqua"/>
                <w:b/>
                <w:bCs/>
                <w:color w:val="000000" w:themeColor="text1"/>
                <w:sz w:val="28"/>
                <w:szCs w:val="28"/>
              </w:rPr>
            </w:pPr>
            <w:r w:rsidRPr="00E224E9">
              <w:rPr>
                <w:rFonts w:ascii="Book Antiqua" w:eastAsia="華康仿宋體W6" w:hAnsi="Book Antiqua" w:hint="eastAsia"/>
                <w:b/>
                <w:bCs/>
                <w:color w:val="000000" w:themeColor="text1"/>
                <w:sz w:val="28"/>
                <w:szCs w:val="28"/>
              </w:rPr>
              <w:t>範例</w:t>
            </w:r>
          </w:p>
        </w:tc>
      </w:tr>
      <w:tr w:rsidR="00E224E9" w:rsidRPr="00E224E9" w14:paraId="6176F751" w14:textId="77777777" w:rsidTr="00F36FD8">
        <w:tc>
          <w:tcPr>
            <w:tcW w:w="472" w:type="dxa"/>
          </w:tcPr>
          <w:p w14:paraId="2CABBEDB"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1</w:t>
            </w:r>
          </w:p>
        </w:tc>
        <w:tc>
          <w:tcPr>
            <w:tcW w:w="1844" w:type="dxa"/>
          </w:tcPr>
          <w:p w14:paraId="53C5A00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新增投資</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無既有部位</w:t>
            </w:r>
            <w:r w:rsidRPr="00E224E9">
              <w:rPr>
                <w:rFonts w:ascii="Book Antiqua" w:eastAsia="華康仿宋體W6" w:hAnsi="Book Antiqua" w:hint="eastAsia"/>
                <w:color w:val="000000" w:themeColor="text1"/>
                <w:sz w:val="24"/>
              </w:rPr>
              <w:t>)</w:t>
            </w:r>
          </w:p>
        </w:tc>
        <w:tc>
          <w:tcPr>
            <w:tcW w:w="7973" w:type="dxa"/>
          </w:tcPr>
          <w:p w14:paraId="5F9885BB"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甲保險公司於</w:t>
            </w:r>
            <w:r w:rsidRPr="00E224E9">
              <w:rPr>
                <w:rFonts w:ascii="Book Antiqua" w:eastAsia="華康仿宋體W6" w:hAnsi="Book Antiqua"/>
                <w:color w:val="000000" w:themeColor="text1"/>
                <w:sz w:val="24"/>
              </w:rPr>
              <w:t>113</w:t>
            </w:r>
            <w:r w:rsidRPr="00E224E9">
              <w:rPr>
                <w:rFonts w:ascii="Book Antiqua" w:eastAsia="華康仿宋體W6" w:hAnsi="Book Antiqua" w:hint="eastAsia"/>
                <w:color w:val="000000" w:themeColor="text1"/>
                <w:sz w:val="24"/>
              </w:rPr>
              <w:t>年</w:t>
            </w:r>
            <w:r w:rsidRPr="00E224E9">
              <w:rPr>
                <w:rFonts w:ascii="Book Antiqua" w:eastAsia="華康仿宋體W6" w:hAnsi="Book Antiqua"/>
                <w:color w:val="000000" w:themeColor="text1"/>
                <w:sz w:val="24"/>
              </w:rPr>
              <w:t>2</w:t>
            </w:r>
            <w:r w:rsidRPr="00E224E9">
              <w:rPr>
                <w:rFonts w:ascii="Book Antiqua" w:eastAsia="華康仿宋體W6" w:hAnsi="Book Antiqua" w:hint="eastAsia"/>
                <w:color w:val="000000" w:themeColor="text1"/>
                <w:sz w:val="24"/>
              </w:rPr>
              <w:t>月</w:t>
            </w:r>
            <w:r w:rsidRPr="00E224E9">
              <w:rPr>
                <w:rFonts w:ascii="Book Antiqua" w:eastAsia="華康仿宋體W6" w:hAnsi="Book Antiqua"/>
                <w:color w:val="000000" w:themeColor="text1"/>
                <w:sz w:val="24"/>
              </w:rPr>
              <w:t>6</w:t>
            </w:r>
            <w:r w:rsidRPr="00E224E9">
              <w:rPr>
                <w:rFonts w:ascii="Book Antiqua" w:eastAsia="華康仿宋體W6" w:hAnsi="Book Antiqua" w:hint="eastAsia"/>
                <w:color w:val="000000" w:themeColor="text1"/>
                <w:sz w:val="24"/>
              </w:rPr>
              <w:t>日對國外保險相關事業關係人乙公司新增投資，投資金額</w:t>
            </w:r>
            <w:r w:rsidRPr="00E224E9">
              <w:rPr>
                <w:rFonts w:ascii="Book Antiqua" w:eastAsia="華康仿宋體W6" w:hAnsi="Book Antiqua"/>
                <w:color w:val="000000" w:themeColor="text1"/>
                <w:sz w:val="24"/>
              </w:rPr>
              <w:t>100</w:t>
            </w:r>
            <w:r w:rsidRPr="00E224E9">
              <w:rPr>
                <w:rFonts w:ascii="Book Antiqua" w:eastAsia="華康仿宋體W6" w:hAnsi="Book Antiqua" w:hint="eastAsia"/>
                <w:color w:val="000000" w:themeColor="text1"/>
                <w:sz w:val="24"/>
              </w:rPr>
              <w:t>元。</w:t>
            </w:r>
          </w:p>
          <w:p w14:paraId="794F2D5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因</w:t>
            </w:r>
            <w:r w:rsidRPr="00E224E9">
              <w:rPr>
                <w:rFonts w:ascii="Book Antiqua" w:eastAsia="華康仿宋體W6" w:hAnsi="Book Antiqua"/>
                <w:color w:val="000000" w:themeColor="text1"/>
                <w:sz w:val="24"/>
              </w:rPr>
              <w:t>113</w:t>
            </w:r>
            <w:r w:rsidRPr="00E224E9">
              <w:rPr>
                <w:rFonts w:ascii="Book Antiqua" w:eastAsia="華康仿宋體W6" w:hAnsi="Book Antiqua" w:hint="eastAsia"/>
                <w:color w:val="000000" w:themeColor="text1"/>
                <w:sz w:val="24"/>
              </w:rPr>
              <w:t>年度起，保險公司對關係人投資之新增投資應由自有資本全數扣除，並以帳載金額基礎認定。以</w:t>
            </w:r>
            <w:r w:rsidRPr="00E224E9">
              <w:rPr>
                <w:rFonts w:ascii="Book Antiqua" w:eastAsia="華康仿宋體W6" w:hAnsi="Book Antiqua"/>
                <w:color w:val="000000" w:themeColor="text1"/>
                <w:sz w:val="24"/>
              </w:rPr>
              <w:t>113</w:t>
            </w:r>
            <w:r w:rsidRPr="00E224E9">
              <w:rPr>
                <w:rFonts w:ascii="Book Antiqua" w:eastAsia="華康仿宋體W6" w:hAnsi="Book Antiqua" w:hint="eastAsia"/>
                <w:color w:val="000000" w:themeColor="text1"/>
                <w:sz w:val="24"/>
              </w:rPr>
              <w:t>半年度檢查報表</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評價日</w:t>
            </w:r>
            <w:r w:rsidRPr="00E224E9">
              <w:rPr>
                <w:rFonts w:ascii="Book Antiqua" w:eastAsia="華康仿宋體W6" w:hAnsi="Book Antiqua"/>
                <w:color w:val="000000" w:themeColor="text1"/>
                <w:sz w:val="24"/>
              </w:rPr>
              <w:t xml:space="preserve">113.06.30) </w:t>
            </w:r>
            <w:r w:rsidRPr="00E224E9">
              <w:rPr>
                <w:rFonts w:ascii="Book Antiqua" w:eastAsia="華康仿宋體W6" w:hAnsi="Book Antiqua" w:hint="eastAsia"/>
                <w:color w:val="000000" w:themeColor="text1"/>
                <w:sz w:val="24"/>
              </w:rPr>
              <w:t>為例：</w:t>
            </w:r>
          </w:p>
          <w:p w14:paraId="6D8AB38C" w14:textId="77777777" w:rsidR="00B60299" w:rsidRPr="00E224E9" w:rsidRDefault="00B60299" w:rsidP="00285610">
            <w:pPr>
              <w:spacing w:line="400" w:lineRule="exact"/>
              <w:jc w:val="both"/>
              <w:rPr>
                <w:rFonts w:ascii="Book Antiqua" w:eastAsia="華康仿宋體W6" w:hAnsi="Book Antiqua"/>
                <w:color w:val="000000" w:themeColor="text1"/>
                <w:sz w:val="24"/>
              </w:rPr>
            </w:pPr>
          </w:p>
          <w:p w14:paraId="7D16FF5C" w14:textId="77777777" w:rsidR="00B60299" w:rsidRPr="00E224E9" w:rsidRDefault="00B60299" w:rsidP="004373AD">
            <w:pPr>
              <w:pStyle w:val="aff0"/>
              <w:numPr>
                <w:ilvl w:val="0"/>
                <w:numId w:val="41"/>
              </w:numPr>
              <w:spacing w:line="400" w:lineRule="exact"/>
              <w:ind w:leftChars="0" w:left="197" w:hangingChars="82" w:hanging="197"/>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若乙公司經營虧損：評價日乙公司於甲公司帳面金額下降為</w:t>
            </w:r>
            <w:r w:rsidRPr="00E224E9">
              <w:rPr>
                <w:rFonts w:ascii="Book Antiqua" w:eastAsia="華康仿宋體W6" w:hAnsi="Book Antiqua"/>
                <w:color w:val="000000" w:themeColor="text1"/>
              </w:rPr>
              <w:t>90</w:t>
            </w:r>
            <w:r w:rsidRPr="00E224E9">
              <w:rPr>
                <w:rFonts w:ascii="Book Antiqua" w:eastAsia="華康仿宋體W6" w:hAnsi="Book Antiqua" w:hint="eastAsia"/>
                <w:color w:val="000000" w:themeColor="text1"/>
              </w:rPr>
              <w:t>元，則甲公司自有資本扣除數為</w:t>
            </w:r>
            <w:r w:rsidRPr="00E224E9">
              <w:rPr>
                <w:rFonts w:ascii="Book Antiqua" w:eastAsia="華康仿宋體W6" w:hAnsi="Book Antiqua"/>
                <w:color w:val="000000" w:themeColor="text1"/>
              </w:rPr>
              <w:t>90</w:t>
            </w:r>
            <w:r w:rsidRPr="00E224E9">
              <w:rPr>
                <w:rFonts w:ascii="Book Antiqua" w:eastAsia="華康仿宋體W6" w:hAnsi="Book Antiqua" w:hint="eastAsia"/>
                <w:color w:val="000000" w:themeColor="text1"/>
              </w:rPr>
              <w:t>元（因</w:t>
            </w:r>
            <w:r w:rsidRPr="00E224E9">
              <w:rPr>
                <w:rFonts w:ascii="Book Antiqua" w:eastAsia="華康仿宋體W6" w:hAnsi="Book Antiqua"/>
                <w:color w:val="000000" w:themeColor="text1"/>
              </w:rPr>
              <w:t>10</w:t>
            </w:r>
            <w:r w:rsidRPr="00E224E9">
              <w:rPr>
                <w:rFonts w:ascii="Book Antiqua" w:eastAsia="華康仿宋體W6" w:hAnsi="Book Antiqua" w:hint="eastAsia"/>
                <w:color w:val="000000" w:themeColor="text1"/>
              </w:rPr>
              <w:t>元損失已在淨認許資產反映）。</w:t>
            </w:r>
          </w:p>
          <w:p w14:paraId="764F7636" w14:textId="77777777" w:rsidR="00B60299" w:rsidRPr="00E224E9" w:rsidRDefault="00B60299" w:rsidP="004373AD">
            <w:pPr>
              <w:pStyle w:val="aff0"/>
              <w:numPr>
                <w:ilvl w:val="0"/>
                <w:numId w:val="41"/>
              </w:numPr>
              <w:spacing w:line="400" w:lineRule="exact"/>
              <w:ind w:leftChars="0" w:left="168" w:hangingChars="70" w:hanging="168"/>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若乙公司經營獲利：評價日時乙公司於甲公司帳面金額上升為</w:t>
            </w:r>
            <w:r w:rsidRPr="00E224E9">
              <w:rPr>
                <w:rFonts w:ascii="Book Antiqua" w:eastAsia="華康仿宋體W6" w:hAnsi="Book Antiqua"/>
                <w:color w:val="000000" w:themeColor="text1"/>
              </w:rPr>
              <w:t>110</w:t>
            </w:r>
            <w:r w:rsidRPr="00E224E9">
              <w:rPr>
                <w:rFonts w:ascii="Book Antiqua" w:eastAsia="華康仿宋體W6" w:hAnsi="Book Antiqua" w:hint="eastAsia"/>
                <w:color w:val="000000" w:themeColor="text1"/>
              </w:rPr>
              <w:t>元，則甲公司自有資本扣除數為</w:t>
            </w:r>
            <w:r w:rsidRPr="00E224E9">
              <w:rPr>
                <w:rFonts w:ascii="Book Antiqua" w:eastAsia="華康仿宋體W6" w:hAnsi="Book Antiqua"/>
                <w:color w:val="000000" w:themeColor="text1"/>
              </w:rPr>
              <w:t>110</w:t>
            </w:r>
            <w:r w:rsidRPr="00E224E9">
              <w:rPr>
                <w:rFonts w:ascii="Book Antiqua" w:eastAsia="華康仿宋體W6" w:hAnsi="Book Antiqua" w:hint="eastAsia"/>
                <w:color w:val="000000" w:themeColor="text1"/>
              </w:rPr>
              <w:t>元。</w:t>
            </w:r>
          </w:p>
        </w:tc>
      </w:tr>
      <w:tr w:rsidR="00E224E9" w:rsidRPr="00E224E9" w14:paraId="2F982E60" w14:textId="77777777" w:rsidTr="00F36FD8">
        <w:tc>
          <w:tcPr>
            <w:tcW w:w="472" w:type="dxa"/>
          </w:tcPr>
          <w:p w14:paraId="2BFAC873" w14:textId="77777777" w:rsidR="00B60299" w:rsidRPr="00E224E9" w:rsidRDefault="00B60299" w:rsidP="00F36FD8">
            <w:pPr>
              <w:spacing w:line="440" w:lineRule="exact"/>
              <w:ind w:left="520"/>
              <w:jc w:val="both"/>
              <w:rPr>
                <w:rFonts w:ascii="Book Antiqua" w:eastAsia="華康仿宋體W6" w:hAnsi="Book Antiqua"/>
                <w:color w:val="000000" w:themeColor="text1"/>
                <w:sz w:val="24"/>
              </w:rPr>
            </w:pPr>
          </w:p>
        </w:tc>
        <w:tc>
          <w:tcPr>
            <w:tcW w:w="1844" w:type="dxa"/>
          </w:tcPr>
          <w:p w14:paraId="4EE8BE7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既有部位</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新增投資</w:t>
            </w:r>
          </w:p>
        </w:tc>
        <w:tc>
          <w:tcPr>
            <w:tcW w:w="7973" w:type="dxa"/>
          </w:tcPr>
          <w:p w14:paraId="51DEC6A6"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甲保險公司於</w:t>
            </w:r>
            <w:r w:rsidRPr="00E224E9">
              <w:rPr>
                <w:rFonts w:ascii="Book Antiqua" w:eastAsia="華康仿宋體W6" w:hAnsi="Book Antiqua" w:hint="eastAsia"/>
                <w:color w:val="000000" w:themeColor="text1"/>
                <w:sz w:val="24"/>
              </w:rPr>
              <w:t>113</w:t>
            </w:r>
            <w:r w:rsidRPr="00E224E9">
              <w:rPr>
                <w:rFonts w:ascii="Book Antiqua" w:eastAsia="華康仿宋體W6" w:hAnsi="Book Antiqua" w:hint="eastAsia"/>
                <w:color w:val="000000" w:themeColor="text1"/>
                <w:sz w:val="24"/>
              </w:rPr>
              <w:t>年前對國外保險相關事業關係人乙公司已有投資</w:t>
            </w:r>
            <w:r w:rsidRPr="00E224E9">
              <w:rPr>
                <w:rFonts w:ascii="Book Antiqua" w:eastAsia="華康仿宋體W6" w:hAnsi="Book Antiqua" w:hint="eastAsia"/>
                <w:color w:val="000000" w:themeColor="text1"/>
                <w:sz w:val="24"/>
              </w:rPr>
              <w:t>800</w:t>
            </w:r>
            <w:r w:rsidRPr="00E224E9">
              <w:rPr>
                <w:rFonts w:ascii="Book Antiqua" w:eastAsia="華康仿宋體W6" w:hAnsi="Book Antiqua" w:hint="eastAsia"/>
                <w:color w:val="000000" w:themeColor="text1"/>
                <w:sz w:val="24"/>
              </w:rPr>
              <w:t>元，</w:t>
            </w:r>
          </w:p>
          <w:p w14:paraId="6A77A0B9" w14:textId="77777777" w:rsidR="00B60299" w:rsidRPr="00E224E9" w:rsidRDefault="00B60299" w:rsidP="00F36FD8">
            <w:pPr>
              <w:spacing w:line="440" w:lineRule="exact"/>
              <w:ind w:left="520"/>
              <w:jc w:val="both"/>
              <w:rPr>
                <w:rFonts w:ascii="Book Antiqua" w:eastAsia="華康仿宋體W6" w:hAnsi="Book Antiqua"/>
                <w:color w:val="000000" w:themeColor="text1"/>
                <w:sz w:val="24"/>
              </w:rPr>
            </w:pPr>
          </w:p>
          <w:p w14:paraId="0A5DD1EC" w14:textId="77777777" w:rsidR="00B60299" w:rsidRPr="00E224E9" w:rsidRDefault="00B60299" w:rsidP="004373AD">
            <w:pPr>
              <w:pStyle w:val="aff0"/>
              <w:numPr>
                <w:ilvl w:val="0"/>
                <w:numId w:val="41"/>
              </w:numPr>
              <w:spacing w:line="400" w:lineRule="exact"/>
              <w:ind w:leftChars="0" w:left="178" w:hangingChars="74" w:hanging="178"/>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2</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日既有部位帳面金額：</w:t>
            </w:r>
            <w:r w:rsidRPr="00E224E9">
              <w:rPr>
                <w:rFonts w:ascii="Book Antiqua" w:eastAsia="華康仿宋體W6" w:hAnsi="Book Antiqua" w:hint="eastAsia"/>
                <w:color w:val="000000" w:themeColor="text1"/>
              </w:rPr>
              <w:t>900</w:t>
            </w:r>
            <w:r w:rsidRPr="00E224E9">
              <w:rPr>
                <w:rFonts w:ascii="Book Antiqua" w:eastAsia="華康仿宋體W6" w:hAnsi="Book Antiqua" w:hint="eastAsia"/>
                <w:color w:val="000000" w:themeColor="text1"/>
              </w:rPr>
              <w:t>元；再新增投資</w:t>
            </w:r>
            <w:r w:rsidRPr="00E224E9">
              <w:rPr>
                <w:rFonts w:ascii="Book Antiqua" w:eastAsia="華康仿宋體W6" w:hAnsi="Book Antiqua" w:hint="eastAsia"/>
                <w:color w:val="000000" w:themeColor="text1"/>
              </w:rPr>
              <w:t>100</w:t>
            </w:r>
            <w:r w:rsidRPr="00E224E9">
              <w:rPr>
                <w:rFonts w:ascii="Book Antiqua" w:eastAsia="華康仿宋體W6" w:hAnsi="Book Antiqua" w:hint="eastAsia"/>
                <w:color w:val="000000" w:themeColor="text1"/>
              </w:rPr>
              <w:t>元，即新增投資金額比例為</w:t>
            </w:r>
            <w:r w:rsidRPr="00E224E9">
              <w:rPr>
                <w:rFonts w:ascii="Book Antiqua" w:eastAsia="華康仿宋體W6" w:hAnsi="Book Antiqua" w:hint="eastAsia"/>
                <w:color w:val="000000" w:themeColor="text1"/>
              </w:rPr>
              <w:t>0.1(</w:t>
            </w:r>
            <w:r w:rsidRPr="00E224E9">
              <w:rPr>
                <w:rFonts w:ascii="Book Antiqua" w:eastAsia="華康仿宋體W6" w:hAnsi="Book Antiqua" w:hint="eastAsia"/>
                <w:color w:val="000000" w:themeColor="text1"/>
              </w:rPr>
              <w:t>以新增投資金額日的帳面金額基礎</w:t>
            </w:r>
            <w:r w:rsidRPr="00E224E9">
              <w:rPr>
                <w:rFonts w:ascii="Book Antiqua" w:eastAsia="華康仿宋體W6" w:hAnsi="Book Antiqua" w:hint="eastAsia"/>
                <w:color w:val="000000" w:themeColor="text1"/>
              </w:rPr>
              <w:t>)</w:t>
            </w:r>
          </w:p>
          <w:p w14:paraId="4C4AEFC0" w14:textId="77777777" w:rsidR="00B60299" w:rsidRPr="00E224E9" w:rsidRDefault="00B60299" w:rsidP="004373AD">
            <w:pPr>
              <w:pStyle w:val="aff0"/>
              <w:numPr>
                <w:ilvl w:val="0"/>
                <w:numId w:val="41"/>
              </w:numPr>
              <w:spacing w:line="400" w:lineRule="exact"/>
              <w:ind w:leftChars="0" w:left="178" w:hangingChars="74" w:hanging="178"/>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30</w:t>
            </w:r>
            <w:r w:rsidRPr="00E224E9">
              <w:rPr>
                <w:rFonts w:ascii="Book Antiqua" w:eastAsia="華康仿宋體W6" w:hAnsi="Book Antiqua" w:hint="eastAsia"/>
                <w:color w:val="000000" w:themeColor="text1"/>
              </w:rPr>
              <w:t>日時：若帳面金額為</w:t>
            </w:r>
            <w:r w:rsidRPr="00E224E9">
              <w:rPr>
                <w:rFonts w:ascii="Book Antiqua" w:eastAsia="華康仿宋體W6" w:hAnsi="Book Antiqua" w:hint="eastAsia"/>
                <w:color w:val="000000" w:themeColor="text1"/>
              </w:rPr>
              <w:t>900</w:t>
            </w:r>
            <w:r w:rsidRPr="00E224E9">
              <w:rPr>
                <w:rFonts w:ascii="Book Antiqua" w:eastAsia="華康仿宋體W6" w:hAnsi="Book Antiqua" w:hint="eastAsia"/>
                <w:color w:val="000000" w:themeColor="text1"/>
              </w:rPr>
              <w:t>元，甲公司自有資本扣除數為</w:t>
            </w:r>
            <w:r w:rsidRPr="00E224E9">
              <w:rPr>
                <w:rFonts w:ascii="Book Antiqua" w:eastAsia="華康仿宋體W6" w:hAnsi="Book Antiqua" w:hint="eastAsia"/>
                <w:color w:val="000000" w:themeColor="text1"/>
              </w:rPr>
              <w:t>90</w:t>
            </w:r>
            <w:r w:rsidRPr="00E224E9">
              <w:rPr>
                <w:rFonts w:ascii="Book Antiqua" w:eastAsia="華康仿宋體W6" w:hAnsi="Book Antiqua" w:hint="eastAsia"/>
                <w:color w:val="000000" w:themeColor="text1"/>
              </w:rPr>
              <w:t>元</w:t>
            </w:r>
            <w:r w:rsidRPr="00E224E9">
              <w:rPr>
                <w:rFonts w:ascii="Book Antiqua" w:eastAsia="華康仿宋體W6" w:hAnsi="Book Antiqua" w:hint="eastAsia"/>
                <w:color w:val="000000" w:themeColor="text1"/>
              </w:rPr>
              <w:t>(900 x 10%)</w:t>
            </w:r>
            <w:r w:rsidRPr="00E224E9">
              <w:rPr>
                <w:rFonts w:ascii="Book Antiqua" w:eastAsia="華康仿宋體W6" w:hAnsi="Book Antiqua" w:hint="eastAsia"/>
                <w:color w:val="000000" w:themeColor="text1"/>
              </w:rPr>
              <w:t>。</w:t>
            </w:r>
          </w:p>
          <w:p w14:paraId="71DC683F" w14:textId="77777777" w:rsidR="00B60299" w:rsidRPr="00E224E9" w:rsidRDefault="00B60299" w:rsidP="004373AD">
            <w:pPr>
              <w:pStyle w:val="aff0"/>
              <w:numPr>
                <w:ilvl w:val="0"/>
                <w:numId w:val="41"/>
              </w:numPr>
              <w:spacing w:line="400" w:lineRule="exact"/>
              <w:ind w:leftChars="0" w:left="178" w:hangingChars="74" w:hanging="178"/>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30</w:t>
            </w:r>
            <w:r w:rsidRPr="00E224E9">
              <w:rPr>
                <w:rFonts w:ascii="Book Antiqua" w:eastAsia="華康仿宋體W6" w:hAnsi="Book Antiqua" w:hint="eastAsia"/>
                <w:color w:val="000000" w:themeColor="text1"/>
              </w:rPr>
              <w:t>日時：若帳面金額為</w:t>
            </w:r>
            <w:r w:rsidRPr="00E224E9">
              <w:rPr>
                <w:rFonts w:ascii="Book Antiqua" w:eastAsia="華康仿宋體W6" w:hAnsi="Book Antiqua" w:hint="eastAsia"/>
                <w:color w:val="000000" w:themeColor="text1"/>
              </w:rPr>
              <w:t>1</w:t>
            </w:r>
            <w:r w:rsidRPr="00E224E9">
              <w:rPr>
                <w:rFonts w:ascii="Book Antiqua" w:eastAsia="華康仿宋體W6" w:hAnsi="Book Antiqua"/>
                <w:color w:val="000000" w:themeColor="text1"/>
              </w:rPr>
              <w:t>,</w:t>
            </w:r>
            <w:r w:rsidRPr="00E224E9">
              <w:rPr>
                <w:rFonts w:ascii="Book Antiqua" w:eastAsia="華康仿宋體W6" w:hAnsi="Book Antiqua" w:hint="eastAsia"/>
                <w:color w:val="000000" w:themeColor="text1"/>
              </w:rPr>
              <w:t>500</w:t>
            </w:r>
            <w:r w:rsidRPr="00E224E9">
              <w:rPr>
                <w:rFonts w:ascii="Book Antiqua" w:eastAsia="華康仿宋體W6" w:hAnsi="Book Antiqua" w:hint="eastAsia"/>
                <w:color w:val="000000" w:themeColor="text1"/>
              </w:rPr>
              <w:t>元，甲公司自有資本扣除數為</w:t>
            </w:r>
            <w:r w:rsidRPr="00E224E9">
              <w:rPr>
                <w:rFonts w:ascii="Book Antiqua" w:eastAsia="華康仿宋體W6" w:hAnsi="Book Antiqua" w:hint="eastAsia"/>
                <w:color w:val="000000" w:themeColor="text1"/>
              </w:rPr>
              <w:t>1</w:t>
            </w:r>
            <w:r w:rsidRPr="00E224E9">
              <w:rPr>
                <w:rFonts w:ascii="Book Antiqua" w:eastAsia="華康仿宋體W6" w:hAnsi="Book Antiqua"/>
                <w:color w:val="000000" w:themeColor="text1"/>
              </w:rPr>
              <w:t>50</w:t>
            </w:r>
            <w:r w:rsidRPr="00E224E9">
              <w:rPr>
                <w:rFonts w:ascii="Book Antiqua" w:eastAsia="華康仿宋體W6" w:hAnsi="Book Antiqua" w:hint="eastAsia"/>
                <w:color w:val="000000" w:themeColor="text1"/>
              </w:rPr>
              <w:t>元</w:t>
            </w:r>
            <w:r w:rsidRPr="00E224E9">
              <w:rPr>
                <w:rFonts w:ascii="Book Antiqua" w:eastAsia="華康仿宋體W6" w:hAnsi="Book Antiqua" w:hint="eastAsia"/>
                <w:color w:val="000000" w:themeColor="text1"/>
              </w:rPr>
              <w:t>(</w:t>
            </w:r>
            <w:r w:rsidRPr="00E224E9">
              <w:rPr>
                <w:rFonts w:ascii="Book Antiqua" w:eastAsia="華康仿宋體W6" w:hAnsi="Book Antiqua"/>
                <w:color w:val="000000" w:themeColor="text1"/>
              </w:rPr>
              <w:t>1</w:t>
            </w:r>
            <w:r w:rsidRPr="00E224E9">
              <w:rPr>
                <w:rFonts w:ascii="Book Antiqua" w:eastAsia="華康仿宋體W6" w:hAnsi="Book Antiqua" w:hint="eastAsia"/>
                <w:color w:val="000000" w:themeColor="text1"/>
              </w:rPr>
              <w:t>,</w:t>
            </w:r>
            <w:r w:rsidRPr="00E224E9">
              <w:rPr>
                <w:rFonts w:ascii="Book Antiqua" w:eastAsia="華康仿宋體W6" w:hAnsi="Book Antiqua"/>
                <w:color w:val="000000" w:themeColor="text1"/>
              </w:rPr>
              <w:t>500</w:t>
            </w:r>
            <w:r w:rsidRPr="00E224E9">
              <w:rPr>
                <w:rFonts w:ascii="Book Antiqua" w:eastAsia="華康仿宋體W6" w:hAnsi="Book Antiqua" w:hint="eastAsia"/>
                <w:color w:val="000000" w:themeColor="text1"/>
              </w:rPr>
              <w:t xml:space="preserve"> x 10%)</w:t>
            </w:r>
            <w:r w:rsidRPr="00E224E9">
              <w:rPr>
                <w:rFonts w:ascii="Book Antiqua" w:eastAsia="華康仿宋體W6" w:hAnsi="Book Antiqua" w:hint="eastAsia"/>
                <w:color w:val="000000" w:themeColor="text1"/>
              </w:rPr>
              <w:t>。</w:t>
            </w:r>
          </w:p>
        </w:tc>
      </w:tr>
      <w:tr w:rsidR="00E224E9" w:rsidRPr="00E224E9" w14:paraId="6A71DD04" w14:textId="77777777" w:rsidTr="00F36FD8">
        <w:tc>
          <w:tcPr>
            <w:tcW w:w="472" w:type="dxa"/>
          </w:tcPr>
          <w:p w14:paraId="7C37EB84"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p>
        </w:tc>
        <w:tc>
          <w:tcPr>
            <w:tcW w:w="1844" w:type="dxa"/>
          </w:tcPr>
          <w:p w14:paraId="08533492"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新增投資</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未上市、未上櫃股票，且無既有部位</w:t>
            </w:r>
            <w:r w:rsidRPr="00E224E9">
              <w:rPr>
                <w:rFonts w:ascii="Book Antiqua" w:eastAsia="華康仿宋體W6" w:hAnsi="Book Antiqua"/>
                <w:color w:val="000000" w:themeColor="text1"/>
                <w:sz w:val="24"/>
              </w:rPr>
              <w:t>)</w:t>
            </w:r>
          </w:p>
        </w:tc>
        <w:tc>
          <w:tcPr>
            <w:tcW w:w="7973" w:type="dxa"/>
          </w:tcPr>
          <w:p w14:paraId="7B14843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未上市、未上櫃股票在</w:t>
            </w:r>
            <w:r w:rsidRPr="00E224E9">
              <w:rPr>
                <w:rFonts w:ascii="Book Antiqua" w:eastAsia="華康仿宋體W6" w:hAnsi="Book Antiqua"/>
                <w:color w:val="000000" w:themeColor="text1"/>
                <w:sz w:val="24"/>
              </w:rPr>
              <w:t>RBC</w:t>
            </w:r>
            <w:r w:rsidRPr="00E224E9">
              <w:rPr>
                <w:rFonts w:ascii="Book Antiqua" w:eastAsia="華康仿宋體W6" w:hAnsi="Book Antiqua" w:hint="eastAsia"/>
                <w:color w:val="000000" w:themeColor="text1"/>
                <w:sz w:val="24"/>
              </w:rPr>
              <w:t>下以被投資公司每股平均淨值乘上持有股數之金額</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以下簡稱淨值</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與帳面金額孰低評價，故當</w:t>
            </w:r>
            <w:r w:rsidRPr="00E224E9">
              <w:rPr>
                <w:rFonts w:ascii="Book Antiqua" w:eastAsia="華康仿宋體W6" w:hAnsi="Book Antiqua"/>
                <w:color w:val="000000" w:themeColor="text1"/>
                <w:sz w:val="24"/>
              </w:rPr>
              <w:t>Min(</w:t>
            </w:r>
            <w:r w:rsidRPr="00E224E9">
              <w:rPr>
                <w:rFonts w:ascii="Book Antiqua" w:eastAsia="華康仿宋體W6" w:hAnsi="Book Antiqua" w:hint="eastAsia"/>
                <w:color w:val="000000" w:themeColor="text1"/>
                <w:sz w:val="24"/>
              </w:rPr>
              <w:t>帳面金額，淨值</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取到淨值時，扣除數以淨值金額計算。</w:t>
            </w:r>
          </w:p>
          <w:p w14:paraId="5D209D73" w14:textId="77777777" w:rsidR="00B60299" w:rsidRPr="00E224E9" w:rsidRDefault="00B60299" w:rsidP="00285610">
            <w:pPr>
              <w:spacing w:line="440" w:lineRule="exact"/>
              <w:ind w:left="16"/>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例：</w:t>
            </w:r>
          </w:p>
          <w:p w14:paraId="4745279C" w14:textId="77777777" w:rsidR="00B60299" w:rsidRPr="00E224E9" w:rsidRDefault="00B60299" w:rsidP="004373AD">
            <w:pPr>
              <w:pStyle w:val="aff0"/>
              <w:numPr>
                <w:ilvl w:val="0"/>
                <w:numId w:val="41"/>
              </w:numPr>
              <w:spacing w:line="440" w:lineRule="exact"/>
              <w:ind w:leftChars="0" w:left="272" w:hanging="272"/>
              <w:jc w:val="both"/>
              <w:rPr>
                <w:rFonts w:ascii="Book Antiqua" w:eastAsia="華康仿宋體W6" w:hAnsi="Book Antiqua"/>
                <w:color w:val="000000" w:themeColor="text1"/>
              </w:rPr>
            </w:pPr>
            <w:r w:rsidRPr="00E224E9">
              <w:rPr>
                <w:rFonts w:ascii="Book Antiqua" w:eastAsia="華康仿宋體W6" w:hAnsi="Book Antiqu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color w:val="000000" w:themeColor="text1"/>
              </w:rPr>
              <w:t>2</w:t>
            </w:r>
            <w:r w:rsidRPr="00E224E9">
              <w:rPr>
                <w:rFonts w:ascii="Book Antiqua" w:eastAsia="華康仿宋體W6" w:hAnsi="Book Antiqua" w:hint="eastAsia"/>
                <w:color w:val="000000" w:themeColor="text1"/>
              </w:rPr>
              <w:t>月</w:t>
            </w:r>
            <w:r w:rsidRPr="00E224E9">
              <w:rPr>
                <w:rFonts w:ascii="Book Antiqua" w:eastAsia="華康仿宋體W6" w:hAnsi="Book Antiqua"/>
                <w:color w:val="000000" w:themeColor="text1"/>
              </w:rPr>
              <w:t>6</w:t>
            </w:r>
            <w:r w:rsidRPr="00E224E9">
              <w:rPr>
                <w:rFonts w:ascii="Book Antiqua" w:eastAsia="華康仿宋體W6" w:hAnsi="Book Antiqua" w:hint="eastAsia"/>
                <w:color w:val="000000" w:themeColor="text1"/>
              </w:rPr>
              <w:t>日新增投資金額：</w:t>
            </w:r>
            <w:r w:rsidRPr="00E224E9">
              <w:rPr>
                <w:rFonts w:ascii="Book Antiqua" w:eastAsia="華康仿宋體W6" w:hAnsi="Book Antiqua"/>
                <w:color w:val="000000" w:themeColor="text1"/>
              </w:rPr>
              <w:t>100</w:t>
            </w:r>
            <w:r w:rsidRPr="00E224E9">
              <w:rPr>
                <w:rFonts w:ascii="Book Antiqua" w:eastAsia="華康仿宋體W6" w:hAnsi="Book Antiqua" w:hint="eastAsia"/>
                <w:color w:val="000000" w:themeColor="text1"/>
              </w:rPr>
              <w:t>元，淨值：</w:t>
            </w:r>
            <w:r w:rsidRPr="00E224E9">
              <w:rPr>
                <w:rFonts w:ascii="Book Antiqua" w:eastAsia="華康仿宋體W6" w:hAnsi="Book Antiqua"/>
                <w:color w:val="000000" w:themeColor="text1"/>
              </w:rPr>
              <w:t>95</w:t>
            </w:r>
            <w:r w:rsidRPr="00E224E9">
              <w:rPr>
                <w:rFonts w:ascii="Book Antiqua" w:eastAsia="華康仿宋體W6" w:hAnsi="Book Antiqua" w:hint="eastAsia"/>
                <w:color w:val="000000" w:themeColor="text1"/>
              </w:rPr>
              <w:t>元</w:t>
            </w:r>
          </w:p>
          <w:p w14:paraId="430D558D" w14:textId="77777777" w:rsidR="00B60299" w:rsidRPr="00E224E9" w:rsidRDefault="00B60299" w:rsidP="004373AD">
            <w:pPr>
              <w:pStyle w:val="aff0"/>
              <w:numPr>
                <w:ilvl w:val="0"/>
                <w:numId w:val="41"/>
              </w:numPr>
              <w:spacing w:line="440" w:lineRule="exact"/>
              <w:ind w:leftChars="0" w:left="272" w:hanging="272"/>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lastRenderedPageBreak/>
              <w:t>評價日</w:t>
            </w:r>
            <w:r w:rsidRPr="00E224E9">
              <w:rPr>
                <w:rFonts w:ascii="Book Antiqua" w:eastAsia="華康仿宋體W6" w:hAnsi="Book Antiqu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color w:val="000000" w:themeColor="text1"/>
              </w:rPr>
              <w:t>6</w:t>
            </w:r>
            <w:r w:rsidRPr="00E224E9">
              <w:rPr>
                <w:rFonts w:ascii="Book Antiqua" w:eastAsia="華康仿宋體W6" w:hAnsi="Book Antiqua" w:hint="eastAsia"/>
                <w:color w:val="000000" w:themeColor="text1"/>
              </w:rPr>
              <w:t>月</w:t>
            </w:r>
            <w:r w:rsidRPr="00E224E9">
              <w:rPr>
                <w:rFonts w:ascii="Book Antiqua" w:eastAsia="華康仿宋體W6" w:hAnsi="Book Antiqua"/>
                <w:color w:val="000000" w:themeColor="text1"/>
              </w:rPr>
              <w:t>30</w:t>
            </w:r>
            <w:r w:rsidRPr="00E224E9">
              <w:rPr>
                <w:rFonts w:ascii="Book Antiqua" w:eastAsia="華康仿宋體W6" w:hAnsi="Book Antiqua" w:hint="eastAsia"/>
                <w:color w:val="000000" w:themeColor="text1"/>
              </w:rPr>
              <w:t>日時：</w:t>
            </w:r>
          </w:p>
          <w:p w14:paraId="7197DFCE" w14:textId="77777777" w:rsidR="00B60299" w:rsidRPr="00E224E9" w:rsidRDefault="00B60299" w:rsidP="00F36FD8">
            <w:pPr>
              <w:spacing w:line="440" w:lineRule="exact"/>
              <w:ind w:leftChars="90" w:left="234"/>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若帳面金額為</w:t>
            </w:r>
            <w:r w:rsidRPr="00E224E9">
              <w:rPr>
                <w:rFonts w:ascii="Book Antiqua" w:eastAsia="華康仿宋體W6" w:hAnsi="Book Antiqua"/>
                <w:color w:val="000000" w:themeColor="text1"/>
                <w:sz w:val="24"/>
              </w:rPr>
              <w:t>90</w:t>
            </w:r>
            <w:r w:rsidRPr="00E224E9">
              <w:rPr>
                <w:rFonts w:ascii="Book Antiqua" w:eastAsia="華康仿宋體W6" w:hAnsi="Book Antiqua" w:hint="eastAsia"/>
                <w:color w:val="000000" w:themeColor="text1"/>
                <w:sz w:val="24"/>
              </w:rPr>
              <w:t>元，淨值為</w:t>
            </w:r>
            <w:r w:rsidRPr="00E224E9">
              <w:rPr>
                <w:rFonts w:ascii="Book Antiqua" w:eastAsia="華康仿宋體W6" w:hAnsi="Book Antiqua"/>
                <w:color w:val="000000" w:themeColor="text1"/>
                <w:sz w:val="24"/>
              </w:rPr>
              <w:t>85</w:t>
            </w:r>
            <w:r w:rsidRPr="00E224E9">
              <w:rPr>
                <w:rFonts w:ascii="Book Antiqua" w:eastAsia="華康仿宋體W6" w:hAnsi="Book Antiqua" w:hint="eastAsia"/>
                <w:color w:val="000000" w:themeColor="text1"/>
                <w:sz w:val="24"/>
              </w:rPr>
              <w:t>元，自有資本扣除數為</w:t>
            </w:r>
            <w:r w:rsidRPr="00E224E9">
              <w:rPr>
                <w:rFonts w:ascii="Book Antiqua" w:eastAsia="華康仿宋體W6" w:hAnsi="Book Antiqua"/>
                <w:color w:val="000000" w:themeColor="text1"/>
                <w:sz w:val="24"/>
              </w:rPr>
              <w:t>85</w:t>
            </w:r>
            <w:r w:rsidRPr="00E224E9">
              <w:rPr>
                <w:rFonts w:ascii="Book Antiqua" w:eastAsia="華康仿宋體W6" w:hAnsi="Book Antiqua" w:hint="eastAsia"/>
                <w:color w:val="000000" w:themeColor="text1"/>
                <w:sz w:val="24"/>
              </w:rPr>
              <w:t>元【因帳面金額與「</w:t>
            </w:r>
            <w:r w:rsidRPr="00E224E9">
              <w:rPr>
                <w:rFonts w:ascii="Book Antiqua" w:eastAsia="華康仿宋體W6" w:hAnsi="Book Antiqua"/>
                <w:color w:val="000000" w:themeColor="text1"/>
                <w:sz w:val="24"/>
              </w:rPr>
              <w:t>Min(</w:t>
            </w:r>
            <w:r w:rsidRPr="00E224E9">
              <w:rPr>
                <w:rFonts w:ascii="Book Antiqua" w:eastAsia="華康仿宋體W6" w:hAnsi="Book Antiqua" w:hint="eastAsia"/>
                <w:color w:val="000000" w:themeColor="text1"/>
                <w:sz w:val="24"/>
              </w:rPr>
              <w:t>帳面金額，淨值</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」差異數已由淨認許資產扣除，故只需再扣除「</w:t>
            </w:r>
            <w:r w:rsidRPr="00E224E9">
              <w:rPr>
                <w:rFonts w:ascii="Book Antiqua" w:eastAsia="華康仿宋體W6" w:hAnsi="Book Antiqua"/>
                <w:color w:val="000000" w:themeColor="text1"/>
                <w:sz w:val="24"/>
              </w:rPr>
              <w:t>Min(</w:t>
            </w:r>
            <w:r w:rsidRPr="00E224E9">
              <w:rPr>
                <w:rFonts w:ascii="Book Antiqua" w:eastAsia="華康仿宋體W6" w:hAnsi="Book Antiqua" w:hint="eastAsia"/>
                <w:color w:val="000000" w:themeColor="text1"/>
                <w:sz w:val="24"/>
              </w:rPr>
              <w:t>帳面金額，淨值</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w:t>
            </w:r>
          </w:p>
        </w:tc>
      </w:tr>
      <w:tr w:rsidR="00E224E9" w:rsidRPr="00E224E9" w14:paraId="3AE5313F" w14:textId="77777777" w:rsidTr="00F36FD8">
        <w:tc>
          <w:tcPr>
            <w:tcW w:w="472" w:type="dxa"/>
          </w:tcPr>
          <w:p w14:paraId="2D38D3F9"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lastRenderedPageBreak/>
              <w:t>4</w:t>
            </w:r>
          </w:p>
        </w:tc>
        <w:tc>
          <w:tcPr>
            <w:tcW w:w="1844" w:type="dxa"/>
          </w:tcPr>
          <w:p w14:paraId="7828B20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多次新增金額</w:t>
            </w:r>
          </w:p>
        </w:tc>
        <w:tc>
          <w:tcPr>
            <w:tcW w:w="7973" w:type="dxa"/>
          </w:tcPr>
          <w:p w14:paraId="4C437836" w14:textId="77777777" w:rsidR="00B60299" w:rsidRPr="00E224E9" w:rsidRDefault="00B60299" w:rsidP="004373AD">
            <w:pPr>
              <w:pStyle w:val="aff0"/>
              <w:numPr>
                <w:ilvl w:val="0"/>
                <w:numId w:val="42"/>
              </w:numPr>
              <w:spacing w:line="400" w:lineRule="exact"/>
              <w:ind w:leftChars="0" w:left="182" w:hangingChars="76" w:hanging="182"/>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若</w:t>
            </w:r>
            <w:r w:rsidRPr="00E224E9">
              <w:rPr>
                <w:rFonts w:ascii="Book Antiqua" w:eastAsia="華康仿宋體W6" w:hAnsi="Book Antiqu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color w:val="000000" w:themeColor="text1"/>
              </w:rPr>
              <w:t>1</w:t>
            </w:r>
            <w:r w:rsidRPr="00E224E9">
              <w:rPr>
                <w:rFonts w:ascii="Book Antiqua" w:eastAsia="華康仿宋體W6" w:hAnsi="Book Antiqua" w:hint="eastAsia"/>
                <w:color w:val="000000" w:themeColor="text1"/>
              </w:rPr>
              <w:t>月</w:t>
            </w:r>
            <w:r w:rsidRPr="00E224E9">
              <w:rPr>
                <w:rFonts w:ascii="Book Antiqua" w:eastAsia="華康仿宋體W6" w:hAnsi="Book Antiqua"/>
                <w:color w:val="000000" w:themeColor="text1"/>
              </w:rPr>
              <w:t>1</w:t>
            </w:r>
            <w:r w:rsidRPr="00E224E9">
              <w:rPr>
                <w:rFonts w:ascii="Book Antiqua" w:eastAsia="華康仿宋體W6" w:hAnsi="Book Antiqua" w:hint="eastAsia"/>
                <w:color w:val="000000" w:themeColor="text1"/>
              </w:rPr>
              <w:t>日起，有多次新增金額，皆以最後新增投資日的帳面金額重新計算比例。</w:t>
            </w:r>
          </w:p>
          <w:p w14:paraId="53678137" w14:textId="77777777" w:rsidR="00B60299" w:rsidRPr="00E224E9" w:rsidRDefault="00B60299" w:rsidP="004373AD">
            <w:pPr>
              <w:pStyle w:val="aff0"/>
              <w:numPr>
                <w:ilvl w:val="0"/>
                <w:numId w:val="42"/>
              </w:numPr>
              <w:spacing w:line="400" w:lineRule="exact"/>
              <w:ind w:leftChars="0" w:left="240" w:hangingChars="100" w:hanging="24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2</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日：</w:t>
            </w:r>
          </w:p>
          <w:p w14:paraId="44D4ED67" w14:textId="77777777" w:rsidR="00B60299" w:rsidRPr="00E224E9" w:rsidRDefault="00B60299" w:rsidP="004373AD">
            <w:pPr>
              <w:pStyle w:val="aff0"/>
              <w:numPr>
                <w:ilvl w:val="0"/>
                <w:numId w:val="43"/>
              </w:numPr>
              <w:spacing w:line="400" w:lineRule="exact"/>
              <w:ind w:leftChars="97" w:left="252" w:firstLine="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1</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1</w:t>
            </w:r>
            <w:r w:rsidRPr="00E224E9">
              <w:rPr>
                <w:rFonts w:ascii="Book Antiqua" w:eastAsia="華康仿宋體W6" w:hAnsi="Book Antiqua" w:hint="eastAsia"/>
                <w:color w:val="000000" w:themeColor="text1"/>
              </w:rPr>
              <w:t>日前的既有部位帳面金額：</w:t>
            </w:r>
            <w:r w:rsidRPr="00E224E9">
              <w:rPr>
                <w:rFonts w:ascii="Book Antiqua" w:eastAsia="華康仿宋體W6" w:hAnsi="Book Antiqua" w:hint="eastAsia"/>
                <w:color w:val="000000" w:themeColor="text1"/>
              </w:rPr>
              <w:t>100</w:t>
            </w:r>
            <w:r w:rsidRPr="00E224E9">
              <w:rPr>
                <w:rFonts w:ascii="Book Antiqua" w:eastAsia="華康仿宋體W6" w:hAnsi="Book Antiqua" w:hint="eastAsia"/>
                <w:color w:val="000000" w:themeColor="text1"/>
              </w:rPr>
              <w:t>元</w:t>
            </w:r>
          </w:p>
          <w:p w14:paraId="37A45AC4" w14:textId="77777777" w:rsidR="00B60299" w:rsidRPr="00E224E9" w:rsidRDefault="00B60299" w:rsidP="004373AD">
            <w:pPr>
              <w:pStyle w:val="aff0"/>
              <w:numPr>
                <w:ilvl w:val="0"/>
                <w:numId w:val="43"/>
              </w:numPr>
              <w:spacing w:line="400" w:lineRule="exact"/>
              <w:ind w:leftChars="92" w:left="239" w:firstLine="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2</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日新增投資：</w:t>
            </w:r>
            <w:r w:rsidRPr="00E224E9">
              <w:rPr>
                <w:rFonts w:ascii="Book Antiqua" w:eastAsia="華康仿宋體W6" w:hAnsi="Book Antiqua" w:hint="eastAsia"/>
                <w:color w:val="000000" w:themeColor="text1"/>
              </w:rPr>
              <w:t>200</w:t>
            </w:r>
            <w:r w:rsidRPr="00E224E9">
              <w:rPr>
                <w:rFonts w:ascii="Book Antiqua" w:eastAsia="華康仿宋體W6" w:hAnsi="Book Antiqua" w:hint="eastAsia"/>
                <w:color w:val="000000" w:themeColor="text1"/>
              </w:rPr>
              <w:t>元：</w:t>
            </w:r>
          </w:p>
          <w:p w14:paraId="373ADC95" w14:textId="77777777" w:rsidR="00B60299" w:rsidRPr="00E224E9" w:rsidRDefault="00B60299" w:rsidP="004373AD">
            <w:pPr>
              <w:pStyle w:val="aff0"/>
              <w:numPr>
                <w:ilvl w:val="0"/>
                <w:numId w:val="43"/>
              </w:numPr>
              <w:spacing w:line="400" w:lineRule="exact"/>
              <w:ind w:leftChars="92" w:left="239" w:firstLine="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年後新增投資比例：</w:t>
            </w:r>
            <w:r w:rsidRPr="00E224E9">
              <w:rPr>
                <w:rFonts w:ascii="Book Antiqua" w:eastAsia="華康仿宋體W6" w:hAnsi="Book Antiqua" w:hint="eastAsia"/>
                <w:color w:val="000000" w:themeColor="text1"/>
              </w:rPr>
              <w:t>200/300</w:t>
            </w:r>
            <w:r w:rsidRPr="00E224E9">
              <w:rPr>
                <w:rFonts w:ascii="Book Antiqua" w:eastAsia="華康仿宋體W6" w:hAnsi="Book Antiqua" w:hint="eastAsia"/>
                <w:color w:val="000000" w:themeColor="text1"/>
              </w:rPr>
              <w:t>。</w:t>
            </w:r>
          </w:p>
          <w:p w14:paraId="682D0FA0" w14:textId="77777777" w:rsidR="00B60299" w:rsidRPr="00E224E9" w:rsidRDefault="00B60299" w:rsidP="004373AD">
            <w:pPr>
              <w:pStyle w:val="aff0"/>
              <w:numPr>
                <w:ilvl w:val="0"/>
                <w:numId w:val="42"/>
              </w:numPr>
              <w:spacing w:line="400" w:lineRule="exact"/>
              <w:ind w:leftChars="0" w:left="240" w:hangingChars="100" w:hanging="24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9</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日：</w:t>
            </w:r>
          </w:p>
          <w:p w14:paraId="23BD629D" w14:textId="77777777" w:rsidR="00B60299" w:rsidRPr="00E224E9" w:rsidRDefault="00B60299" w:rsidP="004373AD">
            <w:pPr>
              <w:pStyle w:val="aff0"/>
              <w:numPr>
                <w:ilvl w:val="0"/>
                <w:numId w:val="43"/>
              </w:numPr>
              <w:spacing w:line="400" w:lineRule="exact"/>
              <w:ind w:leftChars="92" w:left="239" w:firstLine="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w:t>
            </w: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1</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1</w:t>
            </w:r>
            <w:r w:rsidRPr="00E224E9">
              <w:rPr>
                <w:rFonts w:ascii="Book Antiqua" w:eastAsia="華康仿宋體W6" w:hAnsi="Book Antiqua" w:hint="eastAsia"/>
                <w:color w:val="000000" w:themeColor="text1"/>
              </w:rPr>
              <w:t>日前</w:t>
            </w: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2</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日」投資帳面金額：</w:t>
            </w:r>
            <w:r w:rsidRPr="00E224E9">
              <w:rPr>
                <w:rFonts w:ascii="Book Antiqua" w:eastAsia="華康仿宋體W6" w:hAnsi="Book Antiqua" w:hint="eastAsia"/>
                <w:color w:val="000000" w:themeColor="text1"/>
              </w:rPr>
              <w:t>400</w:t>
            </w:r>
            <w:r w:rsidRPr="00E224E9">
              <w:rPr>
                <w:rFonts w:ascii="Book Antiqua" w:eastAsia="華康仿宋體W6" w:hAnsi="Book Antiqua" w:hint="eastAsia"/>
                <w:color w:val="000000" w:themeColor="text1"/>
              </w:rPr>
              <w:t>元。</w:t>
            </w:r>
          </w:p>
          <w:p w14:paraId="337CF3AF" w14:textId="77777777" w:rsidR="00B60299" w:rsidRPr="00E224E9" w:rsidRDefault="00B60299" w:rsidP="004373AD">
            <w:pPr>
              <w:pStyle w:val="aff0"/>
              <w:numPr>
                <w:ilvl w:val="0"/>
                <w:numId w:val="43"/>
              </w:numPr>
              <w:spacing w:line="400" w:lineRule="exact"/>
              <w:ind w:leftChars="92" w:left="239" w:firstLine="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9</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日新增投資：</w:t>
            </w:r>
            <w:r w:rsidRPr="00E224E9">
              <w:rPr>
                <w:rFonts w:ascii="Book Antiqua" w:eastAsia="華康仿宋體W6" w:hAnsi="Book Antiqua" w:hint="eastAsia"/>
                <w:color w:val="000000" w:themeColor="text1"/>
              </w:rPr>
              <w:t>600</w:t>
            </w:r>
            <w:r w:rsidRPr="00E224E9">
              <w:rPr>
                <w:rFonts w:ascii="Book Antiqua" w:eastAsia="華康仿宋體W6" w:hAnsi="Book Antiqua" w:hint="eastAsia"/>
                <w:color w:val="000000" w:themeColor="text1"/>
              </w:rPr>
              <w:t>元。</w:t>
            </w:r>
          </w:p>
          <w:p w14:paraId="5B9D4176" w14:textId="77777777" w:rsidR="00B60299" w:rsidRPr="00E224E9" w:rsidRDefault="00B60299" w:rsidP="004373AD">
            <w:pPr>
              <w:pStyle w:val="aff0"/>
              <w:numPr>
                <w:ilvl w:val="0"/>
                <w:numId w:val="43"/>
              </w:numPr>
              <w:spacing w:line="400" w:lineRule="exact"/>
              <w:ind w:leftChars="92" w:left="239" w:firstLine="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年後新增投資比例：【</w:t>
            </w:r>
            <w:r w:rsidRPr="00E224E9">
              <w:rPr>
                <w:rFonts w:ascii="Book Antiqua" w:eastAsia="華康仿宋體W6" w:hAnsi="Book Antiqua" w:hint="eastAsia"/>
                <w:color w:val="000000" w:themeColor="text1"/>
              </w:rPr>
              <w:t>400*(200/300)+600</w:t>
            </w:r>
            <w:r w:rsidRPr="00E224E9">
              <w:rPr>
                <w:rFonts w:ascii="Book Antiqua" w:eastAsia="華康仿宋體W6" w:hAnsi="Book Antiqua" w:hint="eastAsia"/>
                <w:color w:val="000000" w:themeColor="text1"/>
              </w:rPr>
              <w:t>】</w:t>
            </w:r>
            <w:r w:rsidRPr="00E224E9">
              <w:rPr>
                <w:rFonts w:ascii="Book Antiqua" w:eastAsia="華康仿宋體W6" w:hAnsi="Book Antiqua" w:hint="eastAsia"/>
                <w:color w:val="000000" w:themeColor="text1"/>
              </w:rPr>
              <w:t>/1000</w:t>
            </w:r>
            <w:r w:rsidRPr="00E224E9">
              <w:rPr>
                <w:rFonts w:ascii="Book Antiqua" w:eastAsia="華康仿宋體W6" w:hAnsi="Book Antiqua" w:hint="eastAsia"/>
                <w:color w:val="000000" w:themeColor="text1"/>
              </w:rPr>
              <w:t>。即鎖住該比例做為</w:t>
            </w: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12</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R</w:t>
            </w:r>
            <w:r w:rsidRPr="00E224E9">
              <w:rPr>
                <w:rFonts w:ascii="Book Antiqua" w:eastAsia="華康仿宋體W6" w:hAnsi="Book Antiqua"/>
                <w:color w:val="000000" w:themeColor="text1"/>
              </w:rPr>
              <w:t>BC</w:t>
            </w:r>
            <w:r w:rsidRPr="00E224E9">
              <w:rPr>
                <w:rFonts w:ascii="Book Antiqua" w:eastAsia="華康仿宋體W6" w:hAnsi="Book Antiqua" w:hint="eastAsia"/>
                <w:color w:val="000000" w:themeColor="text1"/>
              </w:rPr>
              <w:t>填報的扣除基礎。</w:t>
            </w:r>
          </w:p>
        </w:tc>
      </w:tr>
    </w:tbl>
    <w:p w14:paraId="059F0E83" w14:textId="77777777" w:rsidR="00B60299" w:rsidRPr="00E224E9" w:rsidRDefault="00B60299" w:rsidP="00B60299">
      <w:pPr>
        <w:rPr>
          <w:color w:val="000000" w:themeColor="text1"/>
        </w:rPr>
      </w:pPr>
    </w:p>
    <w:p w14:paraId="6AEE6131" w14:textId="77777777" w:rsidR="008E2DE4" w:rsidRPr="00E224E9" w:rsidRDefault="008E2DE4" w:rsidP="008E2DE4">
      <w:pPr>
        <w:spacing w:line="440" w:lineRule="exact"/>
        <w:jc w:val="both"/>
        <w:rPr>
          <w:rFonts w:ascii="Book Antiqua" w:eastAsia="華康仿宋體W6" w:hAnsi="Book Antiqua"/>
          <w:color w:val="000000" w:themeColor="text1"/>
        </w:rPr>
      </w:pPr>
    </w:p>
    <w:p w14:paraId="12A8D018" w14:textId="77777777" w:rsidR="008E2DE4" w:rsidRPr="00E224E9" w:rsidRDefault="008E2DE4" w:rsidP="008E2DE4">
      <w:pPr>
        <w:spacing w:line="440" w:lineRule="exact"/>
        <w:jc w:val="both"/>
        <w:rPr>
          <w:rFonts w:ascii="Book Antiqua" w:eastAsia="華康仿宋體W6" w:hAnsi="Book Antiqua"/>
          <w:color w:val="000000" w:themeColor="text1"/>
          <w:sz w:val="24"/>
        </w:rPr>
      </w:pPr>
    </w:p>
    <w:p w14:paraId="07B08C54" w14:textId="77777777" w:rsidR="006C4E27" w:rsidRPr="00E224E9" w:rsidRDefault="006C4E27" w:rsidP="008E2DE4">
      <w:pPr>
        <w:spacing w:line="440" w:lineRule="exact"/>
        <w:jc w:val="both"/>
        <w:rPr>
          <w:rFonts w:ascii="Book Antiqua" w:eastAsia="華康仿宋體W6" w:hAnsi="Book Antiqua"/>
          <w:color w:val="000000" w:themeColor="text1"/>
          <w:sz w:val="24"/>
        </w:rPr>
      </w:pPr>
    </w:p>
    <w:p w14:paraId="7750970F" w14:textId="77777777" w:rsidR="008E2DE4" w:rsidRPr="00E224E9" w:rsidRDefault="008E2DE4" w:rsidP="008E2DE4">
      <w:pPr>
        <w:spacing w:line="440" w:lineRule="exact"/>
        <w:jc w:val="both"/>
        <w:rPr>
          <w:rFonts w:ascii="Book Antiqua" w:eastAsia="華康仿宋體W6" w:hAnsi="Book Antiqua"/>
          <w:color w:val="000000" w:themeColor="text1"/>
          <w:sz w:val="24"/>
        </w:rPr>
      </w:pPr>
    </w:p>
    <w:p w14:paraId="24F6A2E3" w14:textId="77777777" w:rsidR="008E2DE4" w:rsidRPr="00E224E9" w:rsidRDefault="008E2DE4" w:rsidP="008E2DE4">
      <w:pPr>
        <w:spacing w:line="440" w:lineRule="exact"/>
        <w:jc w:val="both"/>
        <w:rPr>
          <w:rFonts w:ascii="Book Antiqua" w:eastAsia="華康仿宋體W6" w:hAnsi="Book Antiqua"/>
          <w:color w:val="000000" w:themeColor="text1"/>
          <w:sz w:val="24"/>
        </w:rPr>
      </w:pPr>
    </w:p>
    <w:p w14:paraId="123CC329" w14:textId="77777777" w:rsidR="008E2DE4" w:rsidRPr="00E224E9" w:rsidRDefault="008E2DE4" w:rsidP="00285610">
      <w:pPr>
        <w:spacing w:line="440" w:lineRule="exact"/>
        <w:jc w:val="both"/>
        <w:rPr>
          <w:rFonts w:ascii="Book Antiqua" w:eastAsia="華康仿宋體W6" w:hAnsi="Book Antiqua"/>
          <w:color w:val="000000" w:themeColor="text1"/>
          <w:sz w:val="24"/>
        </w:rPr>
      </w:pPr>
    </w:p>
    <w:p w14:paraId="1B041FDA" w14:textId="77777777" w:rsidR="00065C53" w:rsidRPr="00E224E9" w:rsidRDefault="00127CA4" w:rsidP="00D2616E">
      <w:pPr>
        <w:pStyle w:val="1"/>
        <w:spacing w:afterLines="0" w:line="440" w:lineRule="exact"/>
        <w:jc w:val="both"/>
        <w:rPr>
          <w:color w:val="000000" w:themeColor="text1"/>
        </w:rPr>
      </w:pPr>
      <w:r w:rsidRPr="00E224E9">
        <w:rPr>
          <w:color w:val="000000" w:themeColor="text1"/>
          <w:sz w:val="24"/>
        </w:rPr>
        <w:br w:type="page"/>
      </w:r>
      <w:bookmarkStart w:id="170" w:name="_Toc219262260"/>
      <w:bookmarkStart w:id="171" w:name="_Toc200468561"/>
      <w:r w:rsidR="00065C53" w:rsidRPr="00E224E9">
        <w:rPr>
          <w:color w:val="000000" w:themeColor="text1"/>
        </w:rPr>
        <w:lastRenderedPageBreak/>
        <w:t>表30-7-1&amp;表30-7-2：發行負債型特別股或具資本性質債券明細表</w:t>
      </w:r>
      <w:bookmarkEnd w:id="170"/>
      <w:bookmarkEnd w:id="171"/>
    </w:p>
    <w:p w14:paraId="08469D8E" w14:textId="77777777" w:rsidR="00065C53" w:rsidRPr="00E224E9" w:rsidRDefault="00065C53">
      <w:pPr>
        <w:pStyle w:val="aff"/>
        <w:snapToGrid w:val="0"/>
        <w:spacing w:afterLines="0" w:line="400" w:lineRule="exact"/>
        <w:ind w:leftChars="-45" w:left="171" w:hangingChars="120" w:hanging="288"/>
        <w:rPr>
          <w:rFonts w:ascii="Book Antiqua" w:eastAsia="華康仿宋體W6" w:hAnsi="Book Antiqua"/>
          <w:color w:val="000000" w:themeColor="text1"/>
        </w:rPr>
      </w:pPr>
      <w:r w:rsidRPr="00E224E9">
        <w:rPr>
          <w:rFonts w:ascii="Book Antiqua" w:eastAsia="華康仿宋體W6" w:hAnsi="Book Antiqua"/>
          <w:color w:val="000000" w:themeColor="text1"/>
        </w:rPr>
        <w:t>1</w:t>
      </w:r>
      <w:r w:rsidRPr="00E224E9">
        <w:rPr>
          <w:rFonts w:ascii="Book Antiqua" w:eastAsia="華康仿宋體W6" w:hAnsi="Book Antiqua"/>
          <w:color w:val="000000" w:themeColor="text1"/>
        </w:rPr>
        <w:t>、可列為自有資本的基本條件：</w:t>
      </w:r>
    </w:p>
    <w:p w14:paraId="1816FC46"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(1)</w:t>
      </w:r>
      <w:r w:rsidRPr="00E224E9">
        <w:rPr>
          <w:rFonts w:ascii="Book Antiqua" w:eastAsia="華康仿宋體W6" w:hAnsi="Book Antiqua"/>
          <w:color w:val="000000" w:themeColor="text1"/>
        </w:rPr>
        <w:t>發行具資本性質債券或負債型特別股需經主管機關核准。</w:t>
      </w:r>
    </w:p>
    <w:p w14:paraId="44D8B8EF"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(2)</w:t>
      </w:r>
      <w:r w:rsidRPr="00E224E9">
        <w:rPr>
          <w:rFonts w:ascii="Book Antiqua" w:eastAsia="華康仿宋體W6" w:hAnsi="Book Antiqua"/>
          <w:color w:val="000000" w:themeColor="text1"/>
        </w:rPr>
        <w:t>其受償順位次於要保人、受益人及其他一般債權人。</w:t>
      </w:r>
    </w:p>
    <w:p w14:paraId="493B88CF"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(3)</w:t>
      </w:r>
      <w:r w:rsidRPr="00E224E9">
        <w:rPr>
          <w:rFonts w:ascii="Book Antiqua" w:eastAsia="華康仿宋體W6" w:hAnsi="Book Antiqua"/>
          <w:color w:val="000000" w:themeColor="text1"/>
        </w:rPr>
        <w:t>發行期限五年以上。若附有贖回條件，其贖回權係屬發行之保險公司，且在發行五年後，經主管機關許可，始得贖回。</w:t>
      </w:r>
    </w:p>
    <w:p w14:paraId="0BFC3AD4"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(4)</w:t>
      </w:r>
      <w:r w:rsidRPr="00E224E9">
        <w:rPr>
          <w:rFonts w:ascii="Book Antiqua" w:eastAsia="華康仿宋體W6" w:hAnsi="Book Antiqua"/>
          <w:color w:val="000000" w:themeColor="text1"/>
        </w:rPr>
        <w:t>需定期向主管機關申報發行狀況及購買持有者等資料。</w:t>
      </w:r>
    </w:p>
    <w:p w14:paraId="66699162" w14:textId="77777777" w:rsidR="00E93104" w:rsidRPr="00E224E9" w:rsidRDefault="00E93104" w:rsidP="00E93104">
      <w:pPr>
        <w:pStyle w:val="aff"/>
        <w:snapToGrid w:val="0"/>
        <w:spacing w:afterLines="0" w:line="400" w:lineRule="exact"/>
        <w:ind w:leftChars="-45" w:left="152" w:hangingChars="112" w:hanging="269"/>
        <w:rPr>
          <w:rFonts w:ascii="Book Antiqua" w:eastAsia="華康仿宋體W6" w:hAnsi="Book Antiqua"/>
          <w:color w:val="000000" w:themeColor="text1"/>
        </w:rPr>
      </w:pPr>
      <w:r w:rsidRPr="00E224E9">
        <w:rPr>
          <w:rFonts w:ascii="Book Antiqua" w:eastAsia="華康仿宋體W6" w:hAnsi="Book Antiqua"/>
          <w:color w:val="000000" w:themeColor="text1"/>
        </w:rPr>
        <w:t>(</w:t>
      </w:r>
      <w:r w:rsidRPr="00E224E9">
        <w:rPr>
          <w:rFonts w:ascii="Book Antiqua" w:eastAsia="華康仿宋體W6" w:hAnsi="Book Antiqua" w:hint="eastAsia"/>
          <w:color w:val="000000" w:themeColor="text1"/>
        </w:rPr>
        <w:t>5</w:t>
      </w:r>
      <w:r w:rsidRPr="00E224E9">
        <w:rPr>
          <w:rFonts w:ascii="Book Antiqua" w:eastAsia="華康仿宋體W6" w:hAnsi="Book Antiqua"/>
          <w:color w:val="000000" w:themeColor="text1"/>
        </w:rPr>
        <w:t>)</w:t>
      </w:r>
      <w:r w:rsidRPr="00E224E9">
        <w:rPr>
          <w:rFonts w:ascii="Book Antiqua" w:eastAsia="華康仿宋體W6" w:hAnsi="Book Antiqua" w:hint="eastAsia"/>
          <w:color w:val="000000" w:themeColor="text1"/>
        </w:rPr>
        <w:t>其應無利率加碼條件或其他提前贖回之誘因</w:t>
      </w:r>
      <w:r w:rsidR="00A03C71" w:rsidRPr="00E224E9">
        <w:rPr>
          <w:rFonts w:ascii="Book Antiqua" w:eastAsia="華康仿宋體W6" w:hAnsi="Book Antiqua" w:hint="eastAsia"/>
          <w:color w:val="000000" w:themeColor="text1"/>
        </w:rPr>
        <w:t>(</w:t>
      </w:r>
      <w:r w:rsidR="00A03C71" w:rsidRPr="00E224E9">
        <w:rPr>
          <w:rFonts w:ascii="Book Antiqua" w:eastAsia="華康仿宋體W6" w:hAnsi="Book Antiqua" w:hint="eastAsia"/>
          <w:color w:val="000000" w:themeColor="text1"/>
        </w:rPr>
        <w:t>自</w:t>
      </w:r>
      <w:r w:rsidR="00A03C71" w:rsidRPr="00E224E9">
        <w:rPr>
          <w:rFonts w:ascii="Book Antiqua" w:eastAsia="華康仿宋體W6" w:hAnsi="Book Antiqua" w:hint="eastAsia"/>
          <w:color w:val="000000" w:themeColor="text1"/>
        </w:rPr>
        <w:t>108</w:t>
      </w:r>
      <w:r w:rsidR="00A03C71" w:rsidRPr="00E224E9">
        <w:rPr>
          <w:rFonts w:ascii="Book Antiqua" w:eastAsia="華康仿宋體W6" w:hAnsi="Book Antiqua" w:hint="eastAsia"/>
          <w:color w:val="000000" w:themeColor="text1"/>
        </w:rPr>
        <w:t>年</w:t>
      </w:r>
      <w:r w:rsidR="00A03C71" w:rsidRPr="00E224E9">
        <w:rPr>
          <w:rFonts w:ascii="Book Antiqua" w:eastAsia="華康仿宋體W6" w:hAnsi="Book Antiqua" w:hint="eastAsia"/>
          <w:color w:val="000000" w:themeColor="text1"/>
        </w:rPr>
        <w:t>5</w:t>
      </w:r>
      <w:r w:rsidR="00A03C71" w:rsidRPr="00E224E9">
        <w:rPr>
          <w:rFonts w:ascii="Book Antiqua" w:eastAsia="華康仿宋體W6" w:hAnsi="Book Antiqua" w:hint="eastAsia"/>
          <w:color w:val="000000" w:themeColor="text1"/>
        </w:rPr>
        <w:t>月</w:t>
      </w:r>
      <w:r w:rsidR="00A03C71" w:rsidRPr="00E224E9">
        <w:rPr>
          <w:rFonts w:ascii="Book Antiqua" w:eastAsia="華康仿宋體W6" w:hAnsi="Book Antiqua" w:hint="eastAsia"/>
          <w:color w:val="000000" w:themeColor="text1"/>
        </w:rPr>
        <w:t>3</w:t>
      </w:r>
      <w:r w:rsidR="00A03C71" w:rsidRPr="00E224E9">
        <w:rPr>
          <w:rFonts w:ascii="Book Antiqua" w:eastAsia="華康仿宋體W6" w:hAnsi="Book Antiqua" w:hint="eastAsia"/>
          <w:color w:val="000000" w:themeColor="text1"/>
        </w:rPr>
        <w:t>日起發行者</w:t>
      </w:r>
      <w:r w:rsidR="00A03C71" w:rsidRPr="00E224E9">
        <w:rPr>
          <w:rFonts w:ascii="Book Antiqua" w:eastAsia="華康仿宋體W6" w:hAnsi="Book Antiqua" w:hint="eastAsia"/>
          <w:color w:val="000000" w:themeColor="text1"/>
        </w:rPr>
        <w:t>)</w:t>
      </w:r>
      <w:r w:rsidRPr="00E224E9">
        <w:rPr>
          <w:rFonts w:ascii="Book Antiqua" w:eastAsia="華康仿宋體W6" w:hAnsi="Book Antiqua" w:hint="eastAsia"/>
          <w:color w:val="000000" w:themeColor="text1"/>
        </w:rPr>
        <w:t>。</w:t>
      </w:r>
    </w:p>
    <w:p w14:paraId="7AFB498B" w14:textId="246938C2" w:rsidR="00D941F7" w:rsidRPr="00E224E9" w:rsidRDefault="00D941F7">
      <w:pPr>
        <w:pStyle w:val="aff"/>
        <w:snapToGrid w:val="0"/>
        <w:spacing w:afterLines="0" w:line="400" w:lineRule="exact"/>
        <w:ind w:leftChars="-30" w:left="-6" w:hangingChars="30" w:hanging="72"/>
        <w:rPr>
          <w:rFonts w:ascii="Book Antiqua" w:eastAsia="華康仿宋體W6" w:hAnsi="Book Antiqua"/>
          <w:color w:val="000000" w:themeColor="text1"/>
        </w:rPr>
      </w:pPr>
    </w:p>
    <w:p w14:paraId="15415DBF" w14:textId="77777777" w:rsidR="00065C53" w:rsidRPr="00E224E9" w:rsidRDefault="00065C53">
      <w:pPr>
        <w:pStyle w:val="aff"/>
        <w:snapToGrid w:val="0"/>
        <w:spacing w:afterLines="0" w:line="400" w:lineRule="exact"/>
        <w:ind w:leftChars="-30" w:left="-6" w:hangingChars="30" w:hanging="72"/>
        <w:rPr>
          <w:rFonts w:ascii="Book Antiqua" w:eastAsia="華康仿宋體W6" w:hAnsi="Book Antiqua"/>
          <w:color w:val="000000" w:themeColor="text1"/>
        </w:rPr>
      </w:pPr>
      <w:r w:rsidRPr="00E224E9">
        <w:rPr>
          <w:rFonts w:ascii="Book Antiqua" w:eastAsia="華康仿宋體W6" w:hAnsi="Book Antiqua"/>
          <w:color w:val="000000" w:themeColor="text1"/>
        </w:rPr>
        <w:t>2</w:t>
      </w:r>
      <w:r w:rsidRPr="00E224E9">
        <w:rPr>
          <w:rFonts w:ascii="Book Antiqua" w:eastAsia="華康仿宋體W6" w:hAnsi="Book Antiqua"/>
          <w:color w:val="000000" w:themeColor="text1"/>
        </w:rPr>
        <w:t>、得計入自有資本之總額限制：</w:t>
      </w:r>
    </w:p>
    <w:p w14:paraId="07B632CB"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 xml:space="preserve">(1) </w:t>
      </w:r>
      <w:r w:rsidRPr="00E224E9">
        <w:rPr>
          <w:rFonts w:ascii="Book Antiqua" w:eastAsia="華康仿宋體W6" w:hAnsi="Book Antiqua"/>
          <w:color w:val="000000" w:themeColor="text1"/>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E224E9" w:rsidRPr="00E224E9" w14:paraId="417028F0" w14:textId="77777777">
        <w:tc>
          <w:tcPr>
            <w:tcW w:w="4319" w:type="dxa"/>
          </w:tcPr>
          <w:p w14:paraId="73C75761" w14:textId="77777777" w:rsidR="00065C53" w:rsidRPr="00E224E9" w:rsidRDefault="00065C53">
            <w:pPr>
              <w:pStyle w:val="aff"/>
              <w:snapToGrid w:val="0"/>
              <w:spacing w:afterLines="0" w:line="400" w:lineRule="exact"/>
              <w:ind w:firstLine="0"/>
              <w:rPr>
                <w:rFonts w:ascii="Book Antiqua" w:eastAsia="華康仿宋體W6" w:hAnsi="Book Antiqua"/>
                <w:color w:val="000000" w:themeColor="text1"/>
              </w:rPr>
            </w:pPr>
            <w:r w:rsidRPr="00E224E9">
              <w:rPr>
                <w:rFonts w:ascii="Book Antiqua" w:eastAsia="華康仿宋體W6" w:hAnsi="Book Antiqua"/>
                <w:color w:val="000000" w:themeColor="text1"/>
              </w:rPr>
              <w:t>距到期日</w:t>
            </w:r>
            <w:r w:rsidRPr="00E224E9">
              <w:rPr>
                <w:rFonts w:ascii="Book Antiqua" w:eastAsia="華康仿宋體W6" w:hAnsi="Book Antiqua"/>
                <w:color w:val="000000" w:themeColor="text1"/>
              </w:rPr>
              <w:t>5</w:t>
            </w:r>
            <w:r w:rsidRPr="00E224E9">
              <w:rPr>
                <w:rFonts w:ascii="Book Antiqua" w:eastAsia="華康仿宋體W6" w:hAnsi="Book Antiqua"/>
                <w:color w:val="000000" w:themeColor="text1"/>
              </w:rPr>
              <w:t>年以上之本金金額</w:t>
            </w:r>
            <w:r w:rsidRPr="00E224E9">
              <w:rPr>
                <w:rFonts w:ascii="Book Antiqua" w:eastAsia="華康仿宋體W6" w:hAnsi="Book Antiqua"/>
                <w:color w:val="000000" w:themeColor="text1"/>
              </w:rPr>
              <w:t>*100%</w:t>
            </w:r>
          </w:p>
        </w:tc>
      </w:tr>
      <w:tr w:rsidR="00E224E9" w:rsidRPr="00E224E9" w14:paraId="3F9B47E8" w14:textId="77777777">
        <w:tc>
          <w:tcPr>
            <w:tcW w:w="4319" w:type="dxa"/>
          </w:tcPr>
          <w:p w14:paraId="06DF4D0B" w14:textId="77777777" w:rsidR="00065C53" w:rsidRPr="00E224E9" w:rsidRDefault="00065C53">
            <w:pPr>
              <w:pStyle w:val="aff"/>
              <w:snapToGrid w:val="0"/>
              <w:spacing w:afterLines="0" w:line="400" w:lineRule="exact"/>
              <w:ind w:firstLine="0"/>
              <w:rPr>
                <w:rFonts w:ascii="Book Antiqua" w:eastAsia="華康仿宋體W6" w:hAnsi="Book Antiqua"/>
                <w:color w:val="000000" w:themeColor="text1"/>
              </w:rPr>
            </w:pPr>
            <w:r w:rsidRPr="00E224E9">
              <w:rPr>
                <w:rFonts w:ascii="Book Antiqua" w:eastAsia="華康仿宋體W6" w:hAnsi="Book Antiqua"/>
                <w:color w:val="000000" w:themeColor="text1"/>
              </w:rPr>
              <w:t>距到期日</w:t>
            </w:r>
            <w:r w:rsidRPr="00E224E9">
              <w:rPr>
                <w:rFonts w:ascii="Book Antiqua" w:eastAsia="華康仿宋體W6" w:hAnsi="Book Antiqua"/>
                <w:color w:val="000000" w:themeColor="text1"/>
              </w:rPr>
              <w:t>4~5</w:t>
            </w:r>
            <w:r w:rsidRPr="00E224E9">
              <w:rPr>
                <w:rFonts w:ascii="Book Antiqua" w:eastAsia="華康仿宋體W6" w:hAnsi="Book Antiqua"/>
                <w:color w:val="000000" w:themeColor="text1"/>
              </w:rPr>
              <w:t>年內之本金金額</w:t>
            </w:r>
            <w:r w:rsidRPr="00E224E9">
              <w:rPr>
                <w:rFonts w:ascii="Book Antiqua" w:eastAsia="華康仿宋體W6" w:hAnsi="Book Antiqua"/>
                <w:color w:val="000000" w:themeColor="text1"/>
              </w:rPr>
              <w:t>*80%</w:t>
            </w:r>
          </w:p>
        </w:tc>
      </w:tr>
      <w:tr w:rsidR="00E224E9" w:rsidRPr="00E224E9" w14:paraId="1B2A504C" w14:textId="77777777">
        <w:tc>
          <w:tcPr>
            <w:tcW w:w="4319" w:type="dxa"/>
          </w:tcPr>
          <w:p w14:paraId="43226FDD" w14:textId="77777777" w:rsidR="00065C53" w:rsidRPr="00E224E9" w:rsidRDefault="00065C53">
            <w:pPr>
              <w:pStyle w:val="aff"/>
              <w:snapToGrid w:val="0"/>
              <w:spacing w:afterLines="0" w:line="400" w:lineRule="exact"/>
              <w:ind w:firstLine="0"/>
              <w:rPr>
                <w:rFonts w:ascii="Book Antiqua" w:eastAsia="華康仿宋體W6" w:hAnsi="Book Antiqua"/>
                <w:color w:val="000000" w:themeColor="text1"/>
              </w:rPr>
            </w:pPr>
            <w:r w:rsidRPr="00E224E9">
              <w:rPr>
                <w:rFonts w:ascii="Book Antiqua" w:eastAsia="華康仿宋體W6" w:hAnsi="Book Antiqua"/>
                <w:color w:val="000000" w:themeColor="text1"/>
              </w:rPr>
              <w:t>距到期日</w:t>
            </w:r>
            <w:r w:rsidRPr="00E224E9">
              <w:rPr>
                <w:rFonts w:ascii="Book Antiqua" w:eastAsia="華康仿宋體W6" w:hAnsi="Book Antiqua"/>
                <w:color w:val="000000" w:themeColor="text1"/>
              </w:rPr>
              <w:t>3~4</w:t>
            </w:r>
            <w:r w:rsidRPr="00E224E9">
              <w:rPr>
                <w:rFonts w:ascii="Book Antiqua" w:eastAsia="華康仿宋體W6" w:hAnsi="Book Antiqua"/>
                <w:color w:val="000000" w:themeColor="text1"/>
              </w:rPr>
              <w:t>年內之本金金額</w:t>
            </w:r>
            <w:r w:rsidRPr="00E224E9">
              <w:rPr>
                <w:rFonts w:ascii="Book Antiqua" w:eastAsia="華康仿宋體W6" w:hAnsi="Book Antiqua"/>
                <w:color w:val="000000" w:themeColor="text1"/>
              </w:rPr>
              <w:t>*60%</w:t>
            </w:r>
          </w:p>
        </w:tc>
      </w:tr>
      <w:tr w:rsidR="00E224E9" w:rsidRPr="00E224E9" w14:paraId="495AB374" w14:textId="77777777">
        <w:tc>
          <w:tcPr>
            <w:tcW w:w="4319" w:type="dxa"/>
          </w:tcPr>
          <w:p w14:paraId="41573360" w14:textId="77777777" w:rsidR="00065C53" w:rsidRPr="00E224E9" w:rsidRDefault="00065C53">
            <w:pPr>
              <w:pStyle w:val="aff"/>
              <w:snapToGrid w:val="0"/>
              <w:spacing w:afterLines="0" w:line="400" w:lineRule="exact"/>
              <w:ind w:firstLine="0"/>
              <w:rPr>
                <w:rFonts w:ascii="Book Antiqua" w:eastAsia="華康仿宋體W6" w:hAnsi="Book Antiqua"/>
                <w:color w:val="000000" w:themeColor="text1"/>
              </w:rPr>
            </w:pPr>
            <w:r w:rsidRPr="00E224E9">
              <w:rPr>
                <w:rFonts w:ascii="Book Antiqua" w:eastAsia="華康仿宋體W6" w:hAnsi="Book Antiqua"/>
                <w:color w:val="000000" w:themeColor="text1"/>
              </w:rPr>
              <w:t>距到期日</w:t>
            </w:r>
            <w:r w:rsidRPr="00E224E9">
              <w:rPr>
                <w:rFonts w:ascii="Book Antiqua" w:eastAsia="華康仿宋體W6" w:hAnsi="Book Antiqua"/>
                <w:color w:val="000000" w:themeColor="text1"/>
              </w:rPr>
              <w:t>2~3</w:t>
            </w:r>
            <w:r w:rsidRPr="00E224E9">
              <w:rPr>
                <w:rFonts w:ascii="Book Antiqua" w:eastAsia="華康仿宋體W6" w:hAnsi="Book Antiqua"/>
                <w:color w:val="000000" w:themeColor="text1"/>
              </w:rPr>
              <w:t>年內之本金金額</w:t>
            </w:r>
            <w:r w:rsidRPr="00E224E9">
              <w:rPr>
                <w:rFonts w:ascii="Book Antiqua" w:eastAsia="華康仿宋體W6" w:hAnsi="Book Antiqua"/>
                <w:color w:val="000000" w:themeColor="text1"/>
              </w:rPr>
              <w:t>*40%</w:t>
            </w:r>
          </w:p>
        </w:tc>
      </w:tr>
      <w:tr w:rsidR="00E224E9" w:rsidRPr="00E224E9" w14:paraId="0F6F9049" w14:textId="77777777">
        <w:tc>
          <w:tcPr>
            <w:tcW w:w="4319" w:type="dxa"/>
          </w:tcPr>
          <w:p w14:paraId="37A35138" w14:textId="77777777" w:rsidR="00065C53" w:rsidRPr="00E224E9" w:rsidRDefault="00065C53">
            <w:pPr>
              <w:pStyle w:val="aff"/>
              <w:snapToGrid w:val="0"/>
              <w:spacing w:afterLines="0" w:line="400" w:lineRule="exact"/>
              <w:ind w:firstLine="0"/>
              <w:rPr>
                <w:rFonts w:ascii="Book Antiqua" w:eastAsia="華康仿宋體W6" w:hAnsi="Book Antiqua"/>
                <w:color w:val="000000" w:themeColor="text1"/>
              </w:rPr>
            </w:pPr>
            <w:r w:rsidRPr="00E224E9">
              <w:rPr>
                <w:rFonts w:ascii="Book Antiqua" w:eastAsia="華康仿宋體W6" w:hAnsi="Book Antiqua"/>
                <w:color w:val="000000" w:themeColor="text1"/>
              </w:rPr>
              <w:t>距到期日</w:t>
            </w:r>
            <w:r w:rsidRPr="00E224E9">
              <w:rPr>
                <w:rFonts w:ascii="Book Antiqua" w:eastAsia="華康仿宋體W6" w:hAnsi="Book Antiqua"/>
                <w:color w:val="000000" w:themeColor="text1"/>
              </w:rPr>
              <w:t>1~2</w:t>
            </w:r>
            <w:r w:rsidRPr="00E224E9">
              <w:rPr>
                <w:rFonts w:ascii="Book Antiqua" w:eastAsia="華康仿宋體W6" w:hAnsi="Book Antiqua"/>
                <w:color w:val="000000" w:themeColor="text1"/>
              </w:rPr>
              <w:t>年內之本金金額</w:t>
            </w:r>
            <w:r w:rsidRPr="00E224E9">
              <w:rPr>
                <w:rFonts w:ascii="Book Antiqua" w:eastAsia="華康仿宋體W6" w:hAnsi="Book Antiqua"/>
                <w:color w:val="000000" w:themeColor="text1"/>
              </w:rPr>
              <w:t>*20%</w:t>
            </w:r>
          </w:p>
        </w:tc>
      </w:tr>
      <w:tr w:rsidR="00E224E9" w:rsidRPr="00E224E9" w14:paraId="64362907" w14:textId="77777777">
        <w:tc>
          <w:tcPr>
            <w:tcW w:w="4319" w:type="dxa"/>
          </w:tcPr>
          <w:p w14:paraId="45FF0A2D" w14:textId="77777777" w:rsidR="00065C53" w:rsidRPr="00E224E9" w:rsidRDefault="00065C53">
            <w:pPr>
              <w:pStyle w:val="aff"/>
              <w:snapToGrid w:val="0"/>
              <w:spacing w:afterLines="0" w:line="400" w:lineRule="exact"/>
              <w:ind w:firstLine="0"/>
              <w:rPr>
                <w:rFonts w:ascii="Book Antiqua" w:eastAsia="華康仿宋體W6" w:hAnsi="Book Antiqua"/>
                <w:color w:val="000000" w:themeColor="text1"/>
              </w:rPr>
            </w:pPr>
            <w:r w:rsidRPr="00E224E9">
              <w:rPr>
                <w:rFonts w:ascii="Book Antiqua" w:eastAsia="華康仿宋體W6" w:hAnsi="Book Antiqua"/>
                <w:color w:val="000000" w:themeColor="text1"/>
              </w:rPr>
              <w:t>距到期日</w:t>
            </w:r>
            <w:r w:rsidRPr="00E224E9">
              <w:rPr>
                <w:rFonts w:ascii="Book Antiqua" w:eastAsia="華康仿宋體W6" w:hAnsi="Book Antiqua"/>
                <w:color w:val="000000" w:themeColor="text1"/>
              </w:rPr>
              <w:t>0~1</w:t>
            </w:r>
            <w:r w:rsidRPr="00E224E9">
              <w:rPr>
                <w:rFonts w:ascii="Book Antiqua" w:eastAsia="華康仿宋體W6" w:hAnsi="Book Antiqua"/>
                <w:color w:val="000000" w:themeColor="text1"/>
              </w:rPr>
              <w:t>年內之本金金額</w:t>
            </w:r>
            <w:r w:rsidRPr="00E224E9">
              <w:rPr>
                <w:rFonts w:ascii="Book Antiqua" w:eastAsia="華康仿宋體W6" w:hAnsi="Book Antiqua"/>
                <w:color w:val="000000" w:themeColor="text1"/>
              </w:rPr>
              <w:t>*0%</w:t>
            </w:r>
          </w:p>
        </w:tc>
      </w:tr>
    </w:tbl>
    <w:p w14:paraId="0CD0D2BA" w14:textId="77777777" w:rsidR="00065C53" w:rsidRPr="00E224E9" w:rsidRDefault="00065C53" w:rsidP="00A03C71">
      <w:pPr>
        <w:pStyle w:val="aff"/>
        <w:snapToGrid w:val="0"/>
        <w:spacing w:afterLines="0"/>
        <w:ind w:leftChars="255" w:left="103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shd w:val="pct15" w:color="auto" w:fill="FFFFFF"/>
        </w:rPr>
        <w:t>註：上述本金金額</w:t>
      </w:r>
      <w:r w:rsidRPr="00E224E9">
        <w:rPr>
          <w:rFonts w:ascii="Book Antiqua" w:eastAsia="華康仿宋體W6" w:hAnsi="Book Antiqua"/>
          <w:color w:val="000000" w:themeColor="text1"/>
          <w:shd w:val="pct15" w:color="auto" w:fill="FFFFFF"/>
        </w:rPr>
        <w:t>*</w:t>
      </w:r>
      <w:r w:rsidRPr="00E224E9">
        <w:rPr>
          <w:rFonts w:ascii="Book Antiqua" w:eastAsia="華康仿宋體W6" w:hAnsi="Book Antiqua"/>
          <w:color w:val="000000" w:themeColor="text1"/>
          <w:shd w:val="pct15" w:color="auto" w:fill="FFFFFF"/>
        </w:rPr>
        <w:t>可計入自有資本額度比率</w:t>
      </w:r>
      <w:r w:rsidRPr="00E224E9">
        <w:rPr>
          <w:rFonts w:ascii="Book Antiqua" w:eastAsia="華康仿宋體W6" w:hAnsi="Book Antiqua"/>
          <w:color w:val="000000" w:themeColor="text1"/>
          <w:shd w:val="pct15" w:color="auto" w:fill="FFFFFF"/>
        </w:rPr>
        <w:t>(0%~100%)</w:t>
      </w:r>
      <w:r w:rsidRPr="00E224E9">
        <w:rPr>
          <w:rFonts w:ascii="Book Antiqua" w:eastAsia="華康仿宋體W6" w:hAnsi="Book Antiqua"/>
          <w:color w:val="000000" w:themeColor="text1"/>
          <w:shd w:val="pct15" w:color="auto" w:fill="FFFFFF"/>
        </w:rPr>
        <w:t>，該項比率在距離到期日前的遞減效果不適用於強制轉換為普通股之可轉換公司債。</w:t>
      </w:r>
    </w:p>
    <w:p w14:paraId="6AFE201A" w14:textId="77777777" w:rsidR="003F318C" w:rsidRPr="00E224E9" w:rsidRDefault="003F318C">
      <w:pPr>
        <w:pStyle w:val="aff"/>
        <w:snapToGrid w:val="0"/>
        <w:spacing w:afterLines="0" w:line="400" w:lineRule="exact"/>
        <w:ind w:leftChars="-45" w:left="255" w:hangingChars="155" w:hanging="372"/>
        <w:rPr>
          <w:rFonts w:ascii="Book Antiqua" w:eastAsia="華康仿宋體W6" w:hAnsi="Book Antiqua"/>
          <w:color w:val="000000" w:themeColor="text1"/>
        </w:rPr>
      </w:pPr>
    </w:p>
    <w:p w14:paraId="32227863"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3</w:t>
      </w:r>
      <w:r w:rsidRPr="00E224E9">
        <w:rPr>
          <w:rFonts w:ascii="Book Antiqua" w:eastAsia="華康仿宋體W6" w:hAnsi="Book Antiqua"/>
          <w:color w:val="000000" w:themeColor="text1"/>
        </w:rPr>
        <w:t>、其他限制：</w:t>
      </w:r>
    </w:p>
    <w:p w14:paraId="6F713A04"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(1)</w:t>
      </w:r>
      <w:r w:rsidR="00A03C71" w:rsidRPr="00E224E9">
        <w:rPr>
          <w:rFonts w:ascii="Book Antiqua" w:eastAsia="華康仿宋體W6" w:hAnsi="Book Antiqua" w:hint="eastAsia"/>
          <w:color w:val="000000" w:themeColor="text1"/>
        </w:rPr>
        <w:t xml:space="preserve"> </w:t>
      </w:r>
      <w:r w:rsidRPr="00E224E9">
        <w:rPr>
          <w:rFonts w:ascii="Book Antiqua" w:eastAsia="華康仿宋體W6" w:hAnsi="Book Antiqua"/>
          <w:color w:val="000000" w:themeColor="text1"/>
        </w:rPr>
        <w:t>需提出具體之償債計畫。</w:t>
      </w:r>
    </w:p>
    <w:p w14:paraId="65CB934D"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(2)</w:t>
      </w:r>
      <w:r w:rsidR="00D2616E" w:rsidRPr="00E224E9">
        <w:rPr>
          <w:rFonts w:hint="eastAsia"/>
          <w:color w:val="000000" w:themeColor="text1"/>
        </w:rPr>
        <w:t xml:space="preserve"> </w:t>
      </w:r>
      <w:r w:rsidR="00D2616E" w:rsidRPr="00E224E9">
        <w:rPr>
          <w:rFonts w:ascii="Book Antiqua" w:eastAsia="華康仿宋體W6" w:hAnsi="Book Antiqua" w:hint="eastAsia"/>
          <w:color w:val="000000" w:themeColor="text1"/>
        </w:rPr>
        <w:t>於償債計畫期間，股東紅利的分派需以自有資本無計入負債型特別股及具有資本性質債券之下，所計算的資本適足率符合法定規定始可進行分派。</w:t>
      </w:r>
    </w:p>
    <w:p w14:paraId="4DDEE7E2"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(3)</w:t>
      </w:r>
      <w:r w:rsidR="00A03C71" w:rsidRPr="00E224E9">
        <w:rPr>
          <w:rFonts w:ascii="Book Antiqua" w:eastAsia="華康仿宋體W6" w:hAnsi="Book Antiqua" w:hint="eastAsia"/>
          <w:color w:val="000000" w:themeColor="text1"/>
        </w:rPr>
        <w:t xml:space="preserve"> </w:t>
      </w:r>
      <w:r w:rsidRPr="00E224E9">
        <w:rPr>
          <w:rFonts w:ascii="Book Antiqua" w:eastAsia="華康仿宋體W6" w:hAnsi="Book Antiqua"/>
          <w:color w:val="000000" w:themeColor="text1"/>
        </w:rPr>
        <w:t>未落實執行償債計畫者，則負債型特別股及具有資本性質債券的認列標準與計算應適用現行制度。</w:t>
      </w:r>
    </w:p>
    <w:p w14:paraId="7B72AD0D" w14:textId="77777777" w:rsidR="00065C53" w:rsidRPr="00E224E9" w:rsidRDefault="00065C53">
      <w:pPr>
        <w:pStyle w:val="aff"/>
        <w:snapToGrid w:val="0"/>
        <w:spacing w:afterLines="0" w:line="400" w:lineRule="exact"/>
        <w:ind w:leftChars="-45" w:left="255" w:hangingChars="155" w:hanging="372"/>
        <w:rPr>
          <w:b/>
          <w:bCs/>
          <w:color w:val="000000" w:themeColor="text1"/>
        </w:rPr>
      </w:pPr>
    </w:p>
    <w:p w14:paraId="7965D7C3" w14:textId="77777777" w:rsidR="00065C53" w:rsidRPr="00E224E9" w:rsidRDefault="00065C53">
      <w:pPr>
        <w:outlineLvl w:val="0"/>
        <w:rPr>
          <w:rFonts w:ascii="標楷體" w:hAnsi="標楷體"/>
          <w:b/>
          <w:bCs/>
          <w:color w:val="000000" w:themeColor="text1"/>
          <w:sz w:val="40"/>
          <w:szCs w:val="52"/>
        </w:rPr>
      </w:pPr>
      <w:r w:rsidRPr="00E224E9">
        <w:rPr>
          <w:rFonts w:ascii="標楷體" w:hAnsi="標楷體"/>
          <w:b/>
          <w:color w:val="000000" w:themeColor="text1"/>
          <w:sz w:val="32"/>
          <w:szCs w:val="32"/>
        </w:rPr>
        <w:br w:type="page"/>
      </w:r>
      <w:bookmarkStart w:id="172" w:name="_Toc200468562"/>
      <w:r w:rsidRPr="00E224E9">
        <w:rPr>
          <w:rFonts w:ascii="標楷體" w:hAnsi="標楷體"/>
          <w:b/>
          <w:bCs/>
          <w:color w:val="000000" w:themeColor="text1"/>
          <w:sz w:val="40"/>
          <w:szCs w:val="52"/>
        </w:rPr>
        <w:lastRenderedPageBreak/>
        <w:t>表30-7-3：不動產投資採</w:t>
      </w:r>
      <w:r w:rsidR="00A65DB4" w:rsidRPr="00E224E9">
        <w:rPr>
          <w:rFonts w:ascii="標楷體" w:hAnsi="標楷體"/>
          <w:b/>
          <w:bCs/>
          <w:color w:val="000000" w:themeColor="text1"/>
          <w:sz w:val="40"/>
          <w:szCs w:val="52"/>
        </w:rPr>
        <w:t>公允價值</w:t>
      </w:r>
      <w:r w:rsidRPr="00E224E9">
        <w:rPr>
          <w:rFonts w:ascii="標楷體" w:hAnsi="標楷體"/>
          <w:b/>
          <w:bCs/>
          <w:color w:val="000000" w:themeColor="text1"/>
          <w:sz w:val="40"/>
          <w:szCs w:val="52"/>
        </w:rPr>
        <w:t>評價計入自有資本調整計算表</w:t>
      </w:r>
      <w:bookmarkEnd w:id="172"/>
    </w:p>
    <w:p w14:paraId="53134069" w14:textId="77777777" w:rsidR="00065C53" w:rsidRPr="00E224E9" w:rsidRDefault="00065C53" w:rsidP="00C32AAC">
      <w:pPr>
        <w:pStyle w:val="aff"/>
        <w:spacing w:beforeLines="100" w:before="240" w:afterLines="100" w:after="240" w:line="400" w:lineRule="exact"/>
        <w:ind w:leftChars="-42" w:left="781" w:hanging="890"/>
        <w:rPr>
          <w:rFonts w:ascii="Book Antiqua" w:eastAsia="華康仿宋體W6" w:hAnsi="Book Antiqua"/>
          <w:color w:val="000000" w:themeColor="text1"/>
        </w:rPr>
      </w:pPr>
      <w:r w:rsidRPr="00E224E9">
        <w:rPr>
          <w:rFonts w:ascii="Book Antiqua" w:eastAsia="華康仿宋體W6" w:hAnsi="Book Antiqua"/>
          <w:color w:val="000000" w:themeColor="text1"/>
        </w:rPr>
        <w:t>一、適用範圍：</w:t>
      </w:r>
    </w:p>
    <w:p w14:paraId="249ADDA1" w14:textId="77777777" w:rsidR="001A434E" w:rsidRPr="00E224E9" w:rsidRDefault="001A434E" w:rsidP="001A434E">
      <w:pPr>
        <w:spacing w:line="360" w:lineRule="auto"/>
        <w:ind w:left="732" w:rightChars="-48" w:right="-125" w:hangingChars="305" w:hanging="732"/>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一</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以已完成建物之投資</w:t>
      </w:r>
      <w:r w:rsidR="003064C1" w:rsidRPr="00E224E9">
        <w:rPr>
          <w:rFonts w:ascii="Book Antiqua" w:eastAsia="華康仿宋體W6" w:hAnsi="Book Antiqua"/>
          <w:color w:val="000000" w:themeColor="text1"/>
          <w:sz w:val="24"/>
        </w:rPr>
        <w:t>性</w:t>
      </w:r>
      <w:r w:rsidR="00065C53" w:rsidRPr="00E224E9">
        <w:rPr>
          <w:rFonts w:ascii="Book Antiqua" w:eastAsia="華康仿宋體W6" w:hAnsi="Book Antiqua"/>
          <w:color w:val="000000" w:themeColor="text1"/>
          <w:sz w:val="24"/>
        </w:rPr>
        <w:t>不動產為限。</w:t>
      </w:r>
    </w:p>
    <w:p w14:paraId="64352907" w14:textId="77777777" w:rsidR="00065C53" w:rsidRPr="00E224E9" w:rsidRDefault="001A434E">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二</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保險業選定以</w:t>
      </w:r>
      <w:r w:rsidR="003064C1" w:rsidRPr="00E224E9">
        <w:rPr>
          <w:rFonts w:ascii="Book Antiqua" w:eastAsia="華康仿宋體W6" w:hAnsi="Book Antiqua"/>
          <w:color w:val="000000" w:themeColor="text1"/>
          <w:sz w:val="24"/>
        </w:rPr>
        <w:t>投資性不動產</w:t>
      </w:r>
      <w:r w:rsidR="00065C53" w:rsidRPr="00E224E9">
        <w:rPr>
          <w:rFonts w:ascii="Book Antiqua" w:eastAsia="華康仿宋體W6" w:hAnsi="Book Antiqua"/>
          <w:color w:val="000000" w:themeColor="text1"/>
          <w:sz w:val="24"/>
        </w:rPr>
        <w:t>採</w:t>
      </w:r>
      <w:r w:rsidR="00A65DB4" w:rsidRPr="00E224E9">
        <w:rPr>
          <w:rFonts w:ascii="Book Antiqua" w:eastAsia="華康仿宋體W6" w:hAnsi="Book Antiqua"/>
          <w:color w:val="000000" w:themeColor="text1"/>
          <w:sz w:val="24"/>
        </w:rPr>
        <w:t>公允價值</w:t>
      </w:r>
      <w:r w:rsidR="00065C53" w:rsidRPr="00E224E9">
        <w:rPr>
          <w:rFonts w:ascii="Book Antiqua" w:eastAsia="華康仿宋體W6" w:hAnsi="Book Antiqua"/>
          <w:color w:val="000000" w:themeColor="text1"/>
          <w:sz w:val="24"/>
        </w:rPr>
        <w:t>評價計算資本適足率者，應將所有</w:t>
      </w:r>
      <w:r w:rsidR="003064C1" w:rsidRPr="00E224E9">
        <w:rPr>
          <w:rFonts w:ascii="Book Antiqua" w:eastAsia="華康仿宋體W6" w:hAnsi="Book Antiqua"/>
          <w:color w:val="000000" w:themeColor="text1"/>
          <w:sz w:val="24"/>
        </w:rPr>
        <w:t>投資性不動產</w:t>
      </w:r>
      <w:r w:rsidR="003865D4" w:rsidRPr="00E224E9">
        <w:rPr>
          <w:rFonts w:ascii="Book Antiqua" w:eastAsia="華康仿宋體W6" w:hAnsi="Book Antiqua" w:hint="eastAsia"/>
          <w:color w:val="000000" w:themeColor="text1"/>
          <w:sz w:val="24"/>
        </w:rPr>
        <w:t>均列入</w:t>
      </w:r>
      <w:r w:rsidR="00065C53" w:rsidRPr="00E224E9">
        <w:rPr>
          <w:rFonts w:ascii="Book Antiqua" w:eastAsia="華康仿宋體W6" w:hAnsi="Book Antiqua"/>
          <w:color w:val="000000" w:themeColor="text1"/>
          <w:sz w:val="24"/>
        </w:rPr>
        <w:t>評價，不得有部分選擇性適用之情形</w:t>
      </w:r>
      <w:r w:rsidR="003865D4" w:rsidRPr="00E224E9">
        <w:rPr>
          <w:rFonts w:ascii="Book Antiqua" w:eastAsia="華康仿宋體W6" w:hAnsi="Book Antiqua" w:hint="eastAsia"/>
          <w:color w:val="000000" w:themeColor="text1"/>
          <w:sz w:val="24"/>
        </w:rPr>
        <w:t>。</w:t>
      </w:r>
    </w:p>
    <w:p w14:paraId="6673CC94" w14:textId="7500CB5B" w:rsidR="00065C53" w:rsidRPr="00E224E9" w:rsidRDefault="001A434E">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三</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自選定採用之時起，每次計算資本適足率時，皆須就符合</w:t>
      </w:r>
      <w:r w:rsidR="00D156A8" w:rsidRPr="00E224E9">
        <w:rPr>
          <w:rFonts w:ascii="Book Antiqua" w:eastAsia="華康仿宋體W6" w:hAnsi="Book Antiqua" w:hint="eastAsia"/>
          <w:color w:val="000000" w:themeColor="text1"/>
          <w:sz w:val="24"/>
        </w:rPr>
        <w:t>本適用範圍</w:t>
      </w:r>
      <w:r w:rsidR="00065C53" w:rsidRPr="00E224E9">
        <w:rPr>
          <w:rFonts w:ascii="Book Antiqua" w:eastAsia="華康仿宋體W6" w:hAnsi="Book Antiqua"/>
          <w:color w:val="000000" w:themeColor="text1"/>
          <w:sz w:val="24"/>
        </w:rPr>
        <w:t>之</w:t>
      </w:r>
      <w:r w:rsidR="003064C1" w:rsidRPr="00E224E9">
        <w:rPr>
          <w:rFonts w:ascii="Book Antiqua" w:eastAsia="華康仿宋體W6" w:hAnsi="Book Antiqua"/>
          <w:color w:val="000000" w:themeColor="text1"/>
          <w:sz w:val="24"/>
        </w:rPr>
        <w:t>投資性不動產</w:t>
      </w:r>
      <w:r w:rsidR="00065C53" w:rsidRPr="00E224E9">
        <w:rPr>
          <w:rFonts w:ascii="Book Antiqua" w:eastAsia="華康仿宋體W6" w:hAnsi="Book Antiqua"/>
          <w:color w:val="000000" w:themeColor="text1"/>
          <w:sz w:val="24"/>
        </w:rPr>
        <w:t>逐筆進行評價後，依</w:t>
      </w:r>
      <w:r w:rsidR="00D156A8" w:rsidRPr="00E224E9">
        <w:rPr>
          <w:rFonts w:ascii="Book Antiqua" w:eastAsia="華康仿宋體W6" w:hAnsi="Book Antiqua" w:hint="eastAsia"/>
          <w:color w:val="000000" w:themeColor="text1"/>
          <w:sz w:val="24"/>
        </w:rPr>
        <w:t>相關規定</w:t>
      </w:r>
      <w:r w:rsidR="00065C53" w:rsidRPr="00E224E9">
        <w:rPr>
          <w:rFonts w:ascii="Book Antiqua" w:eastAsia="華康仿宋體W6" w:hAnsi="Book Antiqua"/>
          <w:color w:val="000000" w:themeColor="text1"/>
          <w:sz w:val="24"/>
        </w:rPr>
        <w:t>辦理；另採用之</w:t>
      </w:r>
      <w:r w:rsidR="00A65DB4" w:rsidRPr="00E224E9">
        <w:rPr>
          <w:rFonts w:ascii="Book Antiqua" w:eastAsia="華康仿宋體W6" w:hAnsi="Book Antiqua"/>
          <w:color w:val="000000" w:themeColor="text1"/>
          <w:sz w:val="24"/>
        </w:rPr>
        <w:t>公允價值</w:t>
      </w:r>
      <w:r w:rsidR="00065C53" w:rsidRPr="00E224E9">
        <w:rPr>
          <w:rFonts w:ascii="Book Antiqua" w:eastAsia="華康仿宋體W6" w:hAnsi="Book Antiqua"/>
          <w:color w:val="000000" w:themeColor="text1"/>
          <w:sz w:val="24"/>
        </w:rPr>
        <w:t>必須為最近三個月內之鑑價結果。</w:t>
      </w:r>
    </w:p>
    <w:p w14:paraId="31A3E673" w14:textId="5CEAEDCF" w:rsidR="00E03C87" w:rsidRPr="00E224E9" w:rsidRDefault="00E03C87">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四</w:t>
      </w:r>
      <w:r w:rsidRPr="00E224E9">
        <w:rPr>
          <w:rFonts w:ascii="Book Antiqua" w:eastAsia="華康仿宋體W6" w:hAnsi="Book Antiqua" w:hint="eastAsia"/>
          <w:color w:val="000000" w:themeColor="text1"/>
          <w:sz w:val="24"/>
        </w:rPr>
        <w:t xml:space="preserve">)  </w:t>
      </w:r>
      <w:r w:rsidR="002D623E" w:rsidRPr="00E224E9">
        <w:rPr>
          <w:rFonts w:ascii="Book Antiqua" w:eastAsia="華康仿宋體W6" w:hAnsi="Book Antiqua" w:hint="eastAsia"/>
          <w:color w:val="000000" w:themeColor="text1"/>
          <w:sz w:val="24"/>
        </w:rPr>
        <w:t>若投資性不動產後續衡量於財務報告採成本模式者，須符合即時利用並有收益認定基準。若不符合即時利用並有收益認定基準，自</w:t>
      </w:r>
      <w:r w:rsidR="002D623E" w:rsidRPr="00E224E9">
        <w:rPr>
          <w:rFonts w:ascii="Book Antiqua" w:eastAsia="華康仿宋體W6" w:hAnsi="Book Antiqua" w:hint="eastAsia"/>
          <w:color w:val="000000" w:themeColor="text1"/>
          <w:sz w:val="24"/>
        </w:rPr>
        <w:t>114</w:t>
      </w:r>
      <w:r w:rsidR="002D623E" w:rsidRPr="00E224E9">
        <w:rPr>
          <w:rFonts w:ascii="Book Antiqua" w:eastAsia="華康仿宋體W6" w:hAnsi="Book Antiqua" w:hint="eastAsia"/>
          <w:color w:val="000000" w:themeColor="text1"/>
          <w:sz w:val="24"/>
        </w:rPr>
        <w:t>年</w:t>
      </w:r>
      <w:r w:rsidR="002D623E" w:rsidRPr="00E224E9">
        <w:rPr>
          <w:rFonts w:ascii="Book Antiqua" w:eastAsia="華康仿宋體W6" w:hAnsi="Book Antiqua" w:hint="eastAsia"/>
          <w:color w:val="000000" w:themeColor="text1"/>
          <w:sz w:val="24"/>
        </w:rPr>
        <w:t>1</w:t>
      </w:r>
      <w:r w:rsidR="002D623E" w:rsidRPr="00E224E9">
        <w:rPr>
          <w:rFonts w:ascii="Book Antiqua" w:eastAsia="華康仿宋體W6" w:hAnsi="Book Antiqua" w:hint="eastAsia"/>
          <w:color w:val="000000" w:themeColor="text1"/>
          <w:sz w:val="24"/>
        </w:rPr>
        <w:t>月</w:t>
      </w:r>
      <w:r w:rsidR="002D623E" w:rsidRPr="00E224E9">
        <w:rPr>
          <w:rFonts w:ascii="Book Antiqua" w:eastAsia="華康仿宋體W6" w:hAnsi="Book Antiqua" w:hint="eastAsia"/>
          <w:color w:val="000000" w:themeColor="text1"/>
          <w:sz w:val="24"/>
        </w:rPr>
        <w:t>1</w:t>
      </w:r>
      <w:r w:rsidR="002D623E" w:rsidRPr="00E224E9">
        <w:rPr>
          <w:rFonts w:ascii="Book Antiqua" w:eastAsia="華康仿宋體W6" w:hAnsi="Book Antiqua" w:hint="eastAsia"/>
          <w:color w:val="000000" w:themeColor="text1"/>
          <w:sz w:val="24"/>
        </w:rPr>
        <w:t>日起，不再符合適用範圍。</w:t>
      </w:r>
    </w:p>
    <w:p w14:paraId="037C3E35" w14:textId="77777777" w:rsidR="00065C53" w:rsidRPr="00E224E9" w:rsidRDefault="00065C53" w:rsidP="00C32AAC">
      <w:pPr>
        <w:pStyle w:val="aff"/>
        <w:spacing w:beforeLines="100" w:before="240" w:afterLines="100" w:after="240" w:line="400" w:lineRule="exact"/>
        <w:ind w:leftChars="-42" w:left="781" w:hanging="890"/>
        <w:rPr>
          <w:rFonts w:ascii="Book Antiqua" w:eastAsia="華康仿宋體W6" w:hAnsi="Book Antiqua"/>
          <w:color w:val="000000" w:themeColor="text1"/>
        </w:rPr>
      </w:pPr>
      <w:r w:rsidRPr="00E224E9">
        <w:rPr>
          <w:rFonts w:ascii="Book Antiqua" w:eastAsia="華康仿宋體W6" w:hAnsi="Book Antiqua"/>
          <w:color w:val="000000" w:themeColor="text1"/>
        </w:rPr>
        <w:t>二、資本適足率</w:t>
      </w:r>
      <w:r w:rsidR="001A434E" w:rsidRPr="00E224E9">
        <w:rPr>
          <w:rFonts w:ascii="Book Antiqua" w:eastAsia="華康仿宋體W6" w:hAnsi="Book Antiqua"/>
          <w:color w:val="000000" w:themeColor="text1"/>
        </w:rPr>
        <w:t>(</w:t>
      </w:r>
      <w:r w:rsidRPr="00E224E9">
        <w:rPr>
          <w:rFonts w:ascii="Book Antiqua" w:eastAsia="華康仿宋體W6" w:hAnsi="Book Antiqua"/>
          <w:color w:val="000000" w:themeColor="text1"/>
        </w:rPr>
        <w:t>自有資本與風險資本之比率</w:t>
      </w:r>
      <w:r w:rsidR="001A434E" w:rsidRPr="00E224E9">
        <w:rPr>
          <w:rFonts w:ascii="Book Antiqua" w:eastAsia="華康仿宋體W6" w:hAnsi="Book Antiqua"/>
          <w:color w:val="000000" w:themeColor="text1"/>
        </w:rPr>
        <w:t>)</w:t>
      </w:r>
      <w:r w:rsidRPr="00E224E9">
        <w:rPr>
          <w:rFonts w:ascii="Book Antiqua" w:eastAsia="華康仿宋體W6" w:hAnsi="Book Antiqua"/>
          <w:color w:val="000000" w:themeColor="text1"/>
        </w:rPr>
        <w:t>計算調整方式：</w:t>
      </w:r>
    </w:p>
    <w:p w14:paraId="506B3512" w14:textId="77777777" w:rsidR="002F3AF6" w:rsidRPr="00E224E9" w:rsidRDefault="002F3AF6">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一</w:t>
      </w:r>
      <w:r w:rsidRPr="00E224E9">
        <w:rPr>
          <w:rFonts w:ascii="Book Antiqua" w:eastAsia="華康仿宋體W6" w:hAnsi="Book Antiqua"/>
          <w:color w:val="000000" w:themeColor="text1"/>
          <w:sz w:val="24"/>
        </w:rPr>
        <w:t xml:space="preserve">)  </w:t>
      </w:r>
      <w:r w:rsidRPr="00E224E9">
        <w:rPr>
          <w:rFonts w:ascii="Book Antiqua" w:eastAsia="華康仿宋體W6" w:hAnsi="Book Antiqua" w:hint="eastAsia"/>
          <w:color w:val="000000" w:themeColor="text1"/>
          <w:sz w:val="24"/>
        </w:rPr>
        <w:t>財務報表針對投資性不動產之後續衡量採公允價值模式之保險公司，其</w:t>
      </w:r>
      <w:r w:rsidRPr="00E224E9">
        <w:rPr>
          <w:rFonts w:ascii="Book Antiqua" w:eastAsia="華康仿宋體W6" w:hAnsi="Book Antiqua"/>
          <w:color w:val="000000" w:themeColor="text1"/>
          <w:sz w:val="24"/>
        </w:rPr>
        <w:t>投資性不動產應單筆分別計算，</w:t>
      </w:r>
      <w:r w:rsidR="00E33CAC" w:rsidRPr="00E224E9">
        <w:rPr>
          <w:rFonts w:ascii="Book Antiqua" w:eastAsia="華康仿宋體W6" w:hAnsi="Book Antiqua" w:hint="eastAsia"/>
          <w:color w:val="000000" w:themeColor="text1"/>
          <w:sz w:val="24"/>
        </w:rPr>
        <w:t>於中華民國</w:t>
      </w:r>
      <w:r w:rsidR="000042D7" w:rsidRPr="00E224E9">
        <w:rPr>
          <w:rFonts w:ascii="Book Antiqua" w:eastAsia="華康仿宋體W6" w:hAnsi="Book Antiqua" w:hint="eastAsia"/>
          <w:color w:val="000000" w:themeColor="text1"/>
          <w:sz w:val="24"/>
        </w:rPr>
        <w:t>109</w:t>
      </w:r>
      <w:r w:rsidR="00E33CAC" w:rsidRPr="00E224E9">
        <w:rPr>
          <w:rFonts w:ascii="Book Antiqua" w:eastAsia="華康仿宋體W6" w:hAnsi="Book Antiqua" w:hint="eastAsia"/>
          <w:color w:val="000000" w:themeColor="text1"/>
          <w:sz w:val="24"/>
        </w:rPr>
        <w:t>年</w:t>
      </w:r>
      <w:r w:rsidR="000042D7" w:rsidRPr="00E224E9">
        <w:rPr>
          <w:rFonts w:ascii="Book Antiqua" w:eastAsia="華康仿宋體W6" w:hAnsi="Book Antiqua" w:hint="eastAsia"/>
          <w:color w:val="000000" w:themeColor="text1"/>
          <w:sz w:val="24"/>
        </w:rPr>
        <w:t>5</w:t>
      </w:r>
      <w:r w:rsidR="00E33CAC" w:rsidRPr="00E224E9">
        <w:rPr>
          <w:rFonts w:ascii="Book Antiqua" w:eastAsia="華康仿宋體W6" w:hAnsi="Book Antiqua" w:hint="eastAsia"/>
          <w:color w:val="000000" w:themeColor="text1"/>
          <w:sz w:val="24"/>
        </w:rPr>
        <w:t>月</w:t>
      </w:r>
      <w:r w:rsidR="000042D7" w:rsidRPr="00E224E9">
        <w:rPr>
          <w:rFonts w:ascii="Book Antiqua" w:eastAsia="華康仿宋體W6" w:hAnsi="Book Antiqua" w:hint="eastAsia"/>
          <w:color w:val="000000" w:themeColor="text1"/>
          <w:sz w:val="24"/>
        </w:rPr>
        <w:t>11</w:t>
      </w:r>
      <w:r w:rsidR="00E33CAC" w:rsidRPr="00E224E9">
        <w:rPr>
          <w:rFonts w:ascii="Book Antiqua" w:eastAsia="華康仿宋體W6" w:hAnsi="Book Antiqua" w:hint="eastAsia"/>
          <w:color w:val="000000" w:themeColor="text1"/>
          <w:sz w:val="24"/>
        </w:rPr>
        <w:t>日</w:t>
      </w:r>
      <w:r w:rsidR="00507989" w:rsidRPr="00E224E9">
        <w:rPr>
          <w:rFonts w:ascii="Book Antiqua" w:eastAsia="華康仿宋體W6" w:hAnsi="Book Antiqua" w:hint="eastAsia"/>
          <w:color w:val="000000" w:themeColor="text1"/>
          <w:sz w:val="24"/>
        </w:rPr>
        <w:t>保險業財務報告編製準則</w:t>
      </w:r>
      <w:r w:rsidR="00E33CAC" w:rsidRPr="00E224E9">
        <w:rPr>
          <w:rFonts w:ascii="Book Antiqua" w:eastAsia="華康仿宋體W6" w:hAnsi="Book Antiqua" w:hint="eastAsia"/>
          <w:color w:val="000000" w:themeColor="text1"/>
          <w:sz w:val="24"/>
        </w:rPr>
        <w:t>修正發布前，原帳列投資性不動產之後續衡量已採用公允價值模式者，</w:t>
      </w:r>
      <w:r w:rsidRPr="00E224E9">
        <w:rPr>
          <w:rFonts w:ascii="Book Antiqua" w:eastAsia="華康仿宋體W6" w:hAnsi="Book Antiqua"/>
          <w:color w:val="000000" w:themeColor="text1"/>
          <w:sz w:val="24"/>
        </w:rPr>
        <w:t>如公允價值高於帳面價值</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前述帳面價值係指後續衡量採用成本模式計算，其會計處理應依國際會計準則第四十號規定辦理</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，則以稅後增值金額之</w:t>
      </w:r>
      <w:r w:rsidRPr="00E224E9">
        <w:rPr>
          <w:rFonts w:ascii="Book Antiqua" w:eastAsia="華康仿宋體W6" w:hAnsi="Book Antiqua" w:hint="eastAsia"/>
          <w:color w:val="000000" w:themeColor="text1"/>
          <w:sz w:val="24"/>
        </w:rPr>
        <w:t>8</w:t>
      </w:r>
      <w:r w:rsidRPr="00E224E9">
        <w:rPr>
          <w:rFonts w:ascii="Book Antiqua" w:eastAsia="華康仿宋體W6" w:hAnsi="Book Antiqua"/>
          <w:color w:val="000000" w:themeColor="text1"/>
          <w:sz w:val="24"/>
        </w:rPr>
        <w:t>5%</w:t>
      </w:r>
      <w:r w:rsidRPr="00E224E9">
        <w:rPr>
          <w:rFonts w:ascii="Book Antiqua" w:eastAsia="華康仿宋體W6" w:hAnsi="Book Antiqua"/>
          <w:color w:val="000000" w:themeColor="text1"/>
          <w:sz w:val="24"/>
        </w:rPr>
        <w:t>列入資本適足率之自有資本</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以下稱自有資本</w:t>
      </w:r>
      <w:r w:rsidRPr="00E224E9">
        <w:rPr>
          <w:rFonts w:ascii="Book Antiqua" w:eastAsia="華康仿宋體W6" w:hAnsi="Book Antiqua"/>
          <w:color w:val="000000" w:themeColor="text1"/>
          <w:sz w:val="24"/>
        </w:rPr>
        <w:t>)</w:t>
      </w:r>
      <w:r w:rsidR="00DA6F0E" w:rsidRPr="00E224E9">
        <w:rPr>
          <w:rFonts w:ascii="Book Antiqua" w:eastAsia="華康仿宋體W6" w:hAnsi="Book Antiqua" w:hint="eastAsia"/>
          <w:color w:val="000000" w:themeColor="text1"/>
          <w:sz w:val="24"/>
        </w:rPr>
        <w:t>；</w:t>
      </w:r>
      <w:r w:rsidR="000E490E" w:rsidRPr="00E224E9">
        <w:rPr>
          <w:rFonts w:ascii="Book Antiqua" w:eastAsia="華康仿宋體W6" w:hAnsi="Book Antiqua" w:hint="eastAsia"/>
          <w:color w:val="000000" w:themeColor="text1"/>
          <w:sz w:val="24"/>
        </w:rPr>
        <w:t>前述修正發布後採用公允價值模式者，以稅後增值</w:t>
      </w:r>
      <w:r w:rsidR="003A3C88" w:rsidRPr="00E224E9">
        <w:rPr>
          <w:rFonts w:ascii="Book Antiqua" w:eastAsia="華康仿宋體W6" w:hAnsi="Book Antiqua" w:hint="eastAsia"/>
          <w:color w:val="000000" w:themeColor="text1"/>
          <w:sz w:val="24"/>
        </w:rPr>
        <w:t>金額</w:t>
      </w:r>
      <w:r w:rsidR="000E490E" w:rsidRPr="00E224E9">
        <w:rPr>
          <w:rFonts w:ascii="Book Antiqua" w:eastAsia="華康仿宋體W6" w:hAnsi="Book Antiqua" w:hint="eastAsia"/>
          <w:color w:val="000000" w:themeColor="text1"/>
          <w:sz w:val="24"/>
        </w:rPr>
        <w:t>之</w:t>
      </w:r>
      <w:r w:rsidR="003A3C88" w:rsidRPr="00E224E9">
        <w:rPr>
          <w:rFonts w:ascii="Book Antiqua" w:hAnsi="標楷體" w:hint="eastAsia"/>
          <w:color w:val="000000" w:themeColor="text1"/>
          <w:sz w:val="24"/>
        </w:rPr>
        <w:t>100%</w:t>
      </w:r>
      <w:r w:rsidR="000E490E" w:rsidRPr="00E224E9">
        <w:rPr>
          <w:rFonts w:ascii="Book Antiqua" w:eastAsia="華康仿宋體W6" w:hAnsi="Book Antiqua" w:hint="eastAsia"/>
          <w:color w:val="000000" w:themeColor="text1"/>
          <w:sz w:val="24"/>
        </w:rPr>
        <w:t>列入自有資本</w:t>
      </w:r>
      <w:r w:rsidR="00E33CAC" w:rsidRPr="00E224E9">
        <w:rPr>
          <w:rFonts w:ascii="Book Antiqua" w:eastAsia="華康仿宋體W6" w:hAnsi="Book Antiqua" w:hint="eastAsia"/>
          <w:color w:val="000000" w:themeColor="text1"/>
          <w:sz w:val="24"/>
        </w:rPr>
        <w:t>。</w:t>
      </w:r>
      <w:r w:rsidRPr="00E224E9">
        <w:rPr>
          <w:rFonts w:ascii="Book Antiqua" w:eastAsia="華康仿宋體W6" w:hAnsi="Book Antiqua"/>
          <w:color w:val="000000" w:themeColor="text1"/>
          <w:sz w:val="24"/>
        </w:rPr>
        <w:t>如公允價值低於帳面價值，且未經會計師以減損認列者，則以稅後減少金額之</w:t>
      </w:r>
      <w:r w:rsidRPr="00E224E9">
        <w:rPr>
          <w:rFonts w:ascii="Book Antiqua" w:eastAsia="華康仿宋體W6" w:hAnsi="Book Antiqua"/>
          <w:color w:val="000000" w:themeColor="text1"/>
          <w:sz w:val="24"/>
        </w:rPr>
        <w:t>100%</w:t>
      </w:r>
      <w:r w:rsidRPr="00E224E9">
        <w:rPr>
          <w:rFonts w:ascii="Book Antiqua" w:eastAsia="華康仿宋體W6" w:hAnsi="Book Antiqua"/>
          <w:color w:val="000000" w:themeColor="text1"/>
          <w:sz w:val="24"/>
        </w:rPr>
        <w:t>由自有資本扣除。</w:t>
      </w:r>
    </w:p>
    <w:p w14:paraId="3BDFC7C2" w14:textId="15C8CFAF" w:rsidR="00065C53" w:rsidRPr="00E224E9" w:rsidRDefault="001A434E">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2F3AF6" w:rsidRPr="00E224E9">
        <w:rPr>
          <w:rFonts w:ascii="Book Antiqua" w:eastAsia="華康仿宋體W6" w:hAnsi="Book Antiqua" w:hint="eastAsia"/>
          <w:color w:val="000000" w:themeColor="text1"/>
          <w:sz w:val="24"/>
        </w:rPr>
        <w:t>二</w:t>
      </w:r>
      <w:r w:rsidRPr="00E224E9">
        <w:rPr>
          <w:rFonts w:ascii="Book Antiqua" w:eastAsia="華康仿宋體W6" w:hAnsi="Book Antiqua"/>
          <w:color w:val="000000" w:themeColor="text1"/>
          <w:sz w:val="24"/>
        </w:rPr>
        <w:t xml:space="preserve">)  </w:t>
      </w:r>
      <w:r w:rsidR="002D623E" w:rsidRPr="00E224E9">
        <w:rPr>
          <w:rFonts w:ascii="Book Antiqua" w:eastAsia="華康仿宋體W6" w:hAnsi="Book Antiqua" w:hint="eastAsia"/>
          <w:color w:val="000000" w:themeColor="text1"/>
          <w:sz w:val="24"/>
        </w:rPr>
        <w:t>財務報表針對投資性不動產之後續衡量採成本模式之保險公司，其</w:t>
      </w:r>
      <w:r w:rsidR="003064C1" w:rsidRPr="00E224E9">
        <w:rPr>
          <w:rFonts w:ascii="Book Antiqua" w:eastAsia="華康仿宋體W6" w:hAnsi="Book Antiqua"/>
          <w:color w:val="000000" w:themeColor="text1"/>
          <w:sz w:val="24"/>
        </w:rPr>
        <w:t>投資性不動產</w:t>
      </w:r>
      <w:r w:rsidR="00065C53" w:rsidRPr="00E224E9">
        <w:rPr>
          <w:rFonts w:ascii="Book Antiqua" w:eastAsia="華康仿宋體W6" w:hAnsi="Book Antiqua"/>
          <w:color w:val="000000" w:themeColor="text1"/>
          <w:sz w:val="24"/>
        </w:rPr>
        <w:t>應單筆分別計算，如</w:t>
      </w:r>
      <w:r w:rsidR="00A65DB4" w:rsidRPr="00E224E9">
        <w:rPr>
          <w:rFonts w:ascii="Book Antiqua" w:eastAsia="華康仿宋體W6" w:hAnsi="Book Antiqua"/>
          <w:color w:val="000000" w:themeColor="text1"/>
          <w:sz w:val="24"/>
        </w:rPr>
        <w:t>公允價值</w:t>
      </w:r>
      <w:r w:rsidR="002D623E" w:rsidRPr="00E224E9">
        <w:rPr>
          <w:rFonts w:ascii="Book Antiqua" w:eastAsia="華康仿宋體W6" w:hAnsi="Book Antiqua" w:hint="eastAsia"/>
          <w:color w:val="000000" w:themeColor="text1"/>
          <w:sz w:val="24"/>
        </w:rPr>
        <w:t>(</w:t>
      </w:r>
      <w:r w:rsidR="002D623E" w:rsidRPr="00E224E9">
        <w:rPr>
          <w:rFonts w:ascii="Book Antiqua" w:eastAsia="華康仿宋體W6" w:hAnsi="Book Antiqua" w:hint="eastAsia"/>
          <w:color w:val="000000" w:themeColor="text1"/>
          <w:sz w:val="24"/>
        </w:rPr>
        <w:t>「公允價值之評價方式」</w:t>
      </w:r>
      <w:r w:rsidR="002D623E" w:rsidRPr="00E224E9">
        <w:rPr>
          <w:rFonts w:ascii="Book Antiqua" w:eastAsia="華康仿宋體W6" w:hAnsi="Book Antiqua" w:hint="eastAsia"/>
          <w:color w:val="000000" w:themeColor="text1"/>
          <w:sz w:val="24"/>
        </w:rPr>
        <w:t>)</w:t>
      </w:r>
      <w:r w:rsidR="00065C53" w:rsidRPr="00E224E9">
        <w:rPr>
          <w:rFonts w:ascii="Book Antiqua" w:eastAsia="華康仿宋體W6" w:hAnsi="Book Antiqua"/>
          <w:color w:val="000000" w:themeColor="text1"/>
          <w:sz w:val="24"/>
        </w:rPr>
        <w:t>高於帳面價值</w:t>
      </w:r>
      <w:r w:rsidR="00872CDF" w:rsidRPr="00E224E9">
        <w:rPr>
          <w:rFonts w:ascii="Book Antiqua" w:eastAsia="華康仿宋體W6" w:hAnsi="Book Antiqua"/>
          <w:color w:val="000000" w:themeColor="text1"/>
          <w:sz w:val="24"/>
        </w:rPr>
        <w:t>(</w:t>
      </w:r>
      <w:r w:rsidR="00872CDF" w:rsidRPr="00E224E9">
        <w:rPr>
          <w:rFonts w:ascii="Book Antiqua" w:eastAsia="華康仿宋體W6" w:hAnsi="Book Antiqua"/>
          <w:color w:val="000000" w:themeColor="text1"/>
          <w:sz w:val="24"/>
        </w:rPr>
        <w:t>前述帳面價值係指後續衡量採用成本模式計算，其會計處理應依國際會計準則第四十號規定辦理</w:t>
      </w:r>
      <w:r w:rsidR="00872CDF"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，則以稅後增值金額之</w:t>
      </w:r>
      <w:r w:rsidR="002D623E" w:rsidRPr="00E224E9">
        <w:rPr>
          <w:rFonts w:ascii="Book Antiqua" w:eastAsia="華康仿宋體W6" w:hAnsi="Book Antiqua"/>
          <w:color w:val="000000" w:themeColor="text1"/>
          <w:sz w:val="24"/>
        </w:rPr>
        <w:t>x%</w:t>
      </w:r>
      <w:r w:rsidR="00065C53" w:rsidRPr="00E224E9">
        <w:rPr>
          <w:rFonts w:ascii="Book Antiqua" w:eastAsia="華康仿宋體W6" w:hAnsi="Book Antiqua"/>
          <w:color w:val="000000" w:themeColor="text1"/>
          <w:sz w:val="24"/>
        </w:rPr>
        <w:t>列入資本適足率之自有資本，如</w:t>
      </w:r>
      <w:r w:rsidR="00A65DB4" w:rsidRPr="00E224E9">
        <w:rPr>
          <w:rFonts w:ascii="Book Antiqua" w:eastAsia="華康仿宋體W6" w:hAnsi="Book Antiqua"/>
          <w:color w:val="000000" w:themeColor="text1"/>
          <w:sz w:val="24"/>
        </w:rPr>
        <w:t>公允價值</w:t>
      </w:r>
      <w:r w:rsidR="00065C53" w:rsidRPr="00E224E9">
        <w:rPr>
          <w:rFonts w:ascii="Book Antiqua" w:eastAsia="華康仿宋體W6" w:hAnsi="Book Antiqua"/>
          <w:color w:val="000000" w:themeColor="text1"/>
          <w:sz w:val="24"/>
        </w:rPr>
        <w:t>低於帳面價值，且未經會計師以減損認列者，則以稅後減少金額之</w:t>
      </w:r>
      <w:r w:rsidR="00065C53" w:rsidRPr="00E224E9">
        <w:rPr>
          <w:rFonts w:ascii="Book Antiqua" w:eastAsia="華康仿宋體W6" w:hAnsi="Book Antiqua"/>
          <w:color w:val="000000" w:themeColor="text1"/>
          <w:sz w:val="24"/>
        </w:rPr>
        <w:t>100%</w:t>
      </w:r>
      <w:r w:rsidR="00065C53" w:rsidRPr="00E224E9">
        <w:rPr>
          <w:rFonts w:ascii="Book Antiqua" w:eastAsia="華康仿宋體W6" w:hAnsi="Book Antiqua"/>
          <w:color w:val="000000" w:themeColor="text1"/>
          <w:sz w:val="24"/>
        </w:rPr>
        <w:t>由自有資本扣除</w:t>
      </w:r>
      <w:r w:rsidR="002D623E" w:rsidRPr="00E224E9">
        <w:rPr>
          <w:rFonts w:ascii="Book Antiqua" w:eastAsia="華康仿宋體W6" w:hAnsi="Book Antiqua" w:hint="eastAsia"/>
          <w:color w:val="000000" w:themeColor="text1"/>
          <w:sz w:val="24"/>
        </w:rPr>
        <w:t>，其中上述「公允價值之評價方式」與</w:t>
      </w:r>
      <w:r w:rsidR="002D623E" w:rsidRPr="00E224E9">
        <w:rPr>
          <w:rFonts w:ascii="Book Antiqua" w:eastAsia="華康仿宋體W6" w:hAnsi="Book Antiqua" w:hint="eastAsia"/>
          <w:color w:val="000000" w:themeColor="text1"/>
          <w:sz w:val="24"/>
        </w:rPr>
        <w:t>x%</w:t>
      </w:r>
      <w:r w:rsidR="002D623E" w:rsidRPr="00E224E9">
        <w:rPr>
          <w:rFonts w:ascii="Book Antiqua" w:eastAsia="華康仿宋體W6" w:hAnsi="Book Antiqua" w:hint="eastAsia"/>
          <w:color w:val="000000" w:themeColor="text1"/>
          <w:sz w:val="24"/>
        </w:rPr>
        <w:t>詳下表：</w:t>
      </w:r>
    </w:p>
    <w:p w14:paraId="53D43075" w14:textId="0E53E813" w:rsidR="002D623E" w:rsidRPr="00E224E9" w:rsidRDefault="002D623E">
      <w:pPr>
        <w:spacing w:line="360" w:lineRule="auto"/>
        <w:ind w:left="720" w:rightChars="-48" w:right="-125" w:hangingChars="300" w:hanging="720"/>
        <w:jc w:val="both"/>
        <w:rPr>
          <w:rFonts w:ascii="Book Antiqua" w:eastAsia="華康仿宋體W6" w:hAnsi="Book Antiqua"/>
          <w:color w:val="000000" w:themeColor="text1"/>
          <w:sz w:val="24"/>
        </w:rPr>
      </w:pPr>
    </w:p>
    <w:p w14:paraId="43FAE623" w14:textId="0B5BA043" w:rsidR="002D623E" w:rsidRPr="00E224E9" w:rsidRDefault="002D623E">
      <w:pPr>
        <w:spacing w:line="360" w:lineRule="auto"/>
        <w:ind w:left="720" w:rightChars="-48" w:right="-125" w:hangingChars="300" w:hanging="720"/>
        <w:jc w:val="both"/>
        <w:rPr>
          <w:rFonts w:ascii="Book Antiqua" w:eastAsia="華康仿宋體W6" w:hAnsi="Book Antiqua"/>
          <w:color w:val="000000" w:themeColor="text1"/>
          <w:sz w:val="24"/>
        </w:rPr>
      </w:pPr>
    </w:p>
    <w:tbl>
      <w:tblPr>
        <w:tblStyle w:val="aff5"/>
        <w:tblW w:w="8930" w:type="dxa"/>
        <w:tblInd w:w="279" w:type="dxa"/>
        <w:tblLayout w:type="fixed"/>
        <w:tblLook w:val="04A0" w:firstRow="1" w:lastRow="0" w:firstColumn="1" w:lastColumn="0" w:noHBand="0" w:noVBand="1"/>
      </w:tblPr>
      <w:tblGrid>
        <w:gridCol w:w="1417"/>
        <w:gridCol w:w="3544"/>
        <w:gridCol w:w="3969"/>
      </w:tblGrid>
      <w:tr w:rsidR="00E224E9" w:rsidRPr="00E224E9" w14:paraId="134F76B0" w14:textId="77777777" w:rsidTr="00E205AC">
        <w:trPr>
          <w:trHeight w:val="388"/>
        </w:trPr>
        <w:tc>
          <w:tcPr>
            <w:tcW w:w="1417" w:type="dxa"/>
          </w:tcPr>
          <w:p w14:paraId="0A2F0D39" w14:textId="77777777" w:rsidR="002D623E" w:rsidRPr="00E224E9" w:rsidRDefault="002D623E" w:rsidP="004640E8">
            <w:pPr>
              <w:spacing w:line="400" w:lineRule="exact"/>
              <w:ind w:left="720" w:rightChars="-48" w:right="-125" w:hangingChars="300" w:hanging="720"/>
              <w:jc w:val="both"/>
              <w:rPr>
                <w:rFonts w:ascii="Book Antiqua" w:eastAsia="華康仿宋體W6" w:hAnsi="Book Antiqua"/>
                <w:color w:val="000000" w:themeColor="text1"/>
                <w:sz w:val="24"/>
              </w:rPr>
            </w:pPr>
          </w:p>
        </w:tc>
        <w:tc>
          <w:tcPr>
            <w:tcW w:w="3544" w:type="dxa"/>
          </w:tcPr>
          <w:p w14:paraId="4A1AF7EF" w14:textId="77777777" w:rsidR="002D623E" w:rsidRPr="00E224E9" w:rsidRDefault="002D623E" w:rsidP="004640E8">
            <w:pPr>
              <w:spacing w:line="400" w:lineRule="exact"/>
              <w:ind w:left="2" w:rightChars="-48" w:right="-125"/>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符合即時利用並有收益認定基準</w:t>
            </w:r>
          </w:p>
        </w:tc>
        <w:tc>
          <w:tcPr>
            <w:tcW w:w="3969" w:type="dxa"/>
          </w:tcPr>
          <w:p w14:paraId="07A65675" w14:textId="77777777" w:rsidR="002D623E" w:rsidRPr="00E224E9" w:rsidRDefault="002D623E" w:rsidP="004640E8">
            <w:pPr>
              <w:spacing w:line="400" w:lineRule="exact"/>
              <w:ind w:left="-27" w:rightChars="-48" w:right="-125"/>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不符合即時利用並有收益認定基準</w:t>
            </w:r>
          </w:p>
        </w:tc>
      </w:tr>
      <w:tr w:rsidR="00E224E9" w:rsidRPr="00E224E9" w14:paraId="75520F7F" w14:textId="77777777" w:rsidTr="00E205AC">
        <w:trPr>
          <w:trHeight w:val="692"/>
        </w:trPr>
        <w:tc>
          <w:tcPr>
            <w:tcW w:w="1417" w:type="dxa"/>
          </w:tcPr>
          <w:p w14:paraId="6A88E98B" w14:textId="257D112E" w:rsidR="002D623E" w:rsidRPr="00E224E9" w:rsidRDefault="00FB498D" w:rsidP="004640E8">
            <w:pPr>
              <w:spacing w:line="400" w:lineRule="exact"/>
              <w:ind w:leftChars="-11" w:left="-29" w:rightChars="-48" w:right="-125" w:firstLineChars="11" w:firstLine="26"/>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公允價值之評價方式</w:t>
            </w:r>
            <w:r w:rsidR="00C07142" w:rsidRPr="00E224E9">
              <w:rPr>
                <w:rFonts w:ascii="Book Antiqua" w:eastAsia="華康仿宋體W6" w:hAnsi="Book Antiqua" w:hint="eastAsia"/>
                <w:color w:val="000000" w:themeColor="text1"/>
                <w:sz w:val="24"/>
              </w:rPr>
              <w:t>(</w:t>
            </w:r>
            <w:r w:rsidR="00C07142" w:rsidRPr="00E224E9">
              <w:rPr>
                <w:rFonts w:ascii="Book Antiqua" w:eastAsia="華康仿宋體W6" w:hAnsi="Book Antiqua" w:hint="eastAsia"/>
                <w:color w:val="000000" w:themeColor="text1"/>
                <w:sz w:val="24"/>
              </w:rPr>
              <w:t>註</w:t>
            </w:r>
            <w:r w:rsidR="00C07142" w:rsidRPr="00E224E9">
              <w:rPr>
                <w:rFonts w:ascii="Book Antiqua" w:eastAsia="華康仿宋體W6" w:hAnsi="Book Antiqua" w:hint="eastAsia"/>
                <w:color w:val="000000" w:themeColor="text1"/>
                <w:sz w:val="24"/>
              </w:rPr>
              <w:t>1</w:t>
            </w:r>
            <w:r w:rsidR="00C07142" w:rsidRPr="00E224E9">
              <w:rPr>
                <w:rFonts w:ascii="Book Antiqua" w:eastAsia="華康仿宋體W6" w:hAnsi="Book Antiqua"/>
                <w:color w:val="000000" w:themeColor="text1"/>
                <w:sz w:val="24"/>
              </w:rPr>
              <w:t>)</w:t>
            </w:r>
          </w:p>
        </w:tc>
        <w:tc>
          <w:tcPr>
            <w:tcW w:w="3544" w:type="dxa"/>
          </w:tcPr>
          <w:p w14:paraId="0AC9EC96" w14:textId="69A061A2" w:rsidR="002D623E" w:rsidRPr="00E224E9" w:rsidRDefault="002D623E" w:rsidP="003A5F20">
            <w:pPr>
              <w:spacing w:line="400" w:lineRule="exact"/>
              <w:ind w:rightChars="-48" w:right="-125"/>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僅可採收益法</w:t>
            </w:r>
            <w:r w:rsidR="003A5F20" w:rsidRPr="00E224E9">
              <w:rPr>
                <w:rFonts w:ascii="Book Antiqua" w:eastAsia="華康仿宋體W6" w:hAnsi="Book Antiqua" w:hint="eastAsia"/>
                <w:color w:val="000000" w:themeColor="text1"/>
                <w:sz w:val="24"/>
              </w:rPr>
              <w:t>(</w:t>
            </w:r>
            <w:r w:rsidR="003A5F20" w:rsidRPr="00E224E9">
              <w:rPr>
                <w:rFonts w:ascii="Book Antiqua" w:eastAsia="華康仿宋體W6" w:hAnsi="Book Antiqua" w:hint="eastAsia"/>
                <w:color w:val="000000" w:themeColor="text1"/>
                <w:sz w:val="24"/>
              </w:rPr>
              <w:t>未訂定超過一年以上租賃契約或契約終止、解除、失效等已超過一年以上者才可採用成本法評價公允價值</w:t>
            </w:r>
            <w:r w:rsidR="003A5F20" w:rsidRPr="00E224E9">
              <w:rPr>
                <w:rFonts w:ascii="Book Antiqua" w:eastAsia="華康仿宋體W6" w:hAnsi="Book Antiqua" w:hint="eastAsia"/>
                <w:color w:val="000000" w:themeColor="text1"/>
                <w:sz w:val="24"/>
              </w:rPr>
              <w:t>)</w:t>
            </w:r>
          </w:p>
        </w:tc>
        <w:tc>
          <w:tcPr>
            <w:tcW w:w="3969" w:type="dxa"/>
          </w:tcPr>
          <w:p w14:paraId="7F85DD60" w14:textId="27C32C83" w:rsidR="002D623E" w:rsidRPr="00E224E9" w:rsidRDefault="002D623E" w:rsidP="004640E8">
            <w:pPr>
              <w:spacing w:line="400" w:lineRule="exact"/>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未指定</w:t>
            </w:r>
          </w:p>
          <w:p w14:paraId="5A5B22C7" w14:textId="77777777" w:rsidR="002D623E" w:rsidRPr="00E224E9" w:rsidRDefault="002D623E" w:rsidP="004640E8">
            <w:pPr>
              <w:spacing w:line="400" w:lineRule="exact"/>
              <w:ind w:left="720" w:rightChars="-48" w:right="-125" w:hangingChars="300" w:hanging="720"/>
              <w:jc w:val="both"/>
              <w:rPr>
                <w:rFonts w:ascii="Book Antiqua" w:eastAsia="華康仿宋體W6" w:hAnsi="Book Antiqua"/>
                <w:color w:val="000000" w:themeColor="text1"/>
                <w:sz w:val="24"/>
              </w:rPr>
            </w:pPr>
          </w:p>
        </w:tc>
      </w:tr>
      <w:tr w:rsidR="00E224E9" w:rsidRPr="00E224E9" w14:paraId="105BF56A" w14:textId="77777777" w:rsidTr="00E205AC">
        <w:trPr>
          <w:trHeight w:val="1108"/>
        </w:trPr>
        <w:tc>
          <w:tcPr>
            <w:tcW w:w="1417" w:type="dxa"/>
          </w:tcPr>
          <w:p w14:paraId="5B161FA2" w14:textId="2B647EB1" w:rsidR="00FB498D" w:rsidRPr="00E224E9" w:rsidRDefault="00FB498D" w:rsidP="00FB498D">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x%</w:t>
            </w:r>
          </w:p>
        </w:tc>
        <w:tc>
          <w:tcPr>
            <w:tcW w:w="3544" w:type="dxa"/>
          </w:tcPr>
          <w:p w14:paraId="7AC86F00" w14:textId="2092AB1D" w:rsidR="00FB498D" w:rsidRPr="00E224E9" w:rsidRDefault="00FB498D" w:rsidP="00FB498D">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100%</w:t>
            </w:r>
          </w:p>
        </w:tc>
        <w:tc>
          <w:tcPr>
            <w:tcW w:w="3969" w:type="dxa"/>
          </w:tcPr>
          <w:tbl>
            <w:tblPr>
              <w:tblStyle w:val="aff5"/>
              <w:tblpPr w:leftFromText="180" w:rightFromText="180" w:vertAnchor="text" w:horzAnchor="margin" w:tblpY="11"/>
              <w:tblOverlap w:val="never"/>
              <w:tblW w:w="3681" w:type="dxa"/>
              <w:tblLayout w:type="fixed"/>
              <w:tblLook w:val="04A0" w:firstRow="1" w:lastRow="0" w:firstColumn="1" w:lastColumn="0" w:noHBand="0" w:noVBand="1"/>
            </w:tblPr>
            <w:tblGrid>
              <w:gridCol w:w="736"/>
              <w:gridCol w:w="736"/>
              <w:gridCol w:w="736"/>
              <w:gridCol w:w="736"/>
              <w:gridCol w:w="737"/>
            </w:tblGrid>
            <w:tr w:rsidR="00E224E9" w:rsidRPr="00E224E9" w14:paraId="5F1EE1CD" w14:textId="77777777" w:rsidTr="00E205AC">
              <w:trPr>
                <w:trHeight w:val="510"/>
              </w:trPr>
              <w:tc>
                <w:tcPr>
                  <w:tcW w:w="736" w:type="dxa"/>
                </w:tcPr>
                <w:p w14:paraId="4886AACD" w14:textId="77777777" w:rsidR="00FB498D" w:rsidRPr="00E224E9" w:rsidRDefault="00FB498D" w:rsidP="00FB498D">
                  <w:pPr>
                    <w:spacing w:line="360" w:lineRule="auto"/>
                    <w:ind w:leftChars="-9" w:left="577"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hint="eastAsia"/>
                      <w:color w:val="000000" w:themeColor="text1"/>
                      <w:sz w:val="20"/>
                      <w:szCs w:val="20"/>
                    </w:rPr>
                    <w:t>評價年</w:t>
                  </w:r>
                </w:p>
              </w:tc>
              <w:tc>
                <w:tcPr>
                  <w:tcW w:w="736" w:type="dxa"/>
                </w:tcPr>
                <w:p w14:paraId="7153477F"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111</w:t>
                  </w:r>
                  <w:r w:rsidRPr="00E224E9">
                    <w:rPr>
                      <w:rFonts w:ascii="Book Antiqua" w:eastAsia="華康仿宋體W6" w:hAnsi="Book Antiqua"/>
                      <w:color w:val="000000" w:themeColor="text1"/>
                      <w:sz w:val="20"/>
                      <w:szCs w:val="20"/>
                    </w:rPr>
                    <w:t>年</w:t>
                  </w:r>
                </w:p>
              </w:tc>
              <w:tc>
                <w:tcPr>
                  <w:tcW w:w="736" w:type="dxa"/>
                </w:tcPr>
                <w:p w14:paraId="22EAC8DA"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112</w:t>
                  </w:r>
                  <w:r w:rsidRPr="00E224E9">
                    <w:rPr>
                      <w:rFonts w:ascii="Book Antiqua" w:eastAsia="華康仿宋體W6" w:hAnsi="Book Antiqua" w:hint="eastAsia"/>
                      <w:color w:val="000000" w:themeColor="text1"/>
                      <w:sz w:val="20"/>
                      <w:szCs w:val="20"/>
                    </w:rPr>
                    <w:t>年</w:t>
                  </w:r>
                </w:p>
              </w:tc>
              <w:tc>
                <w:tcPr>
                  <w:tcW w:w="736" w:type="dxa"/>
                </w:tcPr>
                <w:p w14:paraId="24281476"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113</w:t>
                  </w:r>
                  <w:r w:rsidRPr="00E224E9">
                    <w:rPr>
                      <w:rFonts w:ascii="Book Antiqua" w:eastAsia="華康仿宋體W6" w:hAnsi="Book Antiqua" w:hint="eastAsia"/>
                      <w:color w:val="000000" w:themeColor="text1"/>
                      <w:sz w:val="20"/>
                      <w:szCs w:val="20"/>
                    </w:rPr>
                    <w:t>年</w:t>
                  </w:r>
                </w:p>
              </w:tc>
              <w:tc>
                <w:tcPr>
                  <w:tcW w:w="737" w:type="dxa"/>
                </w:tcPr>
                <w:p w14:paraId="30A5AE5D"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114</w:t>
                  </w:r>
                  <w:r w:rsidRPr="00E224E9">
                    <w:rPr>
                      <w:rFonts w:ascii="Book Antiqua" w:eastAsia="華康仿宋體W6" w:hAnsi="Book Antiqua" w:hint="eastAsia"/>
                      <w:color w:val="000000" w:themeColor="text1"/>
                      <w:sz w:val="20"/>
                      <w:szCs w:val="20"/>
                    </w:rPr>
                    <w:t>年</w:t>
                  </w:r>
                </w:p>
              </w:tc>
            </w:tr>
            <w:tr w:rsidR="00E224E9" w:rsidRPr="00E224E9" w14:paraId="196C2145" w14:textId="77777777" w:rsidTr="00E205AC">
              <w:trPr>
                <w:trHeight w:val="495"/>
              </w:trPr>
              <w:tc>
                <w:tcPr>
                  <w:tcW w:w="736" w:type="dxa"/>
                </w:tcPr>
                <w:p w14:paraId="3EC96245"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x%</w:t>
                  </w:r>
                </w:p>
              </w:tc>
              <w:tc>
                <w:tcPr>
                  <w:tcW w:w="736" w:type="dxa"/>
                </w:tcPr>
                <w:p w14:paraId="4ECBC104"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75%</w:t>
                  </w:r>
                </w:p>
              </w:tc>
              <w:tc>
                <w:tcPr>
                  <w:tcW w:w="736" w:type="dxa"/>
                </w:tcPr>
                <w:p w14:paraId="79B88905"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50%</w:t>
                  </w:r>
                </w:p>
              </w:tc>
              <w:tc>
                <w:tcPr>
                  <w:tcW w:w="736" w:type="dxa"/>
                </w:tcPr>
                <w:p w14:paraId="376D8B77"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25%</w:t>
                  </w:r>
                </w:p>
              </w:tc>
              <w:tc>
                <w:tcPr>
                  <w:tcW w:w="737" w:type="dxa"/>
                </w:tcPr>
                <w:p w14:paraId="008C1772"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0%</w:t>
                  </w:r>
                </w:p>
              </w:tc>
            </w:tr>
          </w:tbl>
          <w:p w14:paraId="76575B71" w14:textId="77777777" w:rsidR="00FB498D" w:rsidRPr="00E224E9" w:rsidRDefault="00FB498D" w:rsidP="00FB498D">
            <w:pPr>
              <w:spacing w:line="360" w:lineRule="auto"/>
              <w:ind w:left="720" w:rightChars="-48" w:right="-125" w:hangingChars="300" w:hanging="720"/>
              <w:jc w:val="both"/>
              <w:rPr>
                <w:rFonts w:ascii="Book Antiqua" w:eastAsia="華康仿宋體W6" w:hAnsi="Book Antiqua"/>
                <w:color w:val="000000" w:themeColor="text1"/>
                <w:sz w:val="24"/>
              </w:rPr>
            </w:pPr>
          </w:p>
        </w:tc>
      </w:tr>
    </w:tbl>
    <w:p w14:paraId="27BD92DB" w14:textId="03D6F35A" w:rsidR="00BB317B" w:rsidRPr="00E224E9" w:rsidRDefault="00C07142" w:rsidP="00BB317B">
      <w:pPr>
        <w:spacing w:line="360" w:lineRule="auto"/>
        <w:ind w:leftChars="102" w:left="923" w:rightChars="-48" w:right="-125" w:hangingChars="274" w:hanging="658"/>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註</w:t>
      </w:r>
      <w:r w:rsidRPr="00E224E9">
        <w:rPr>
          <w:rFonts w:ascii="Book Antiqua" w:eastAsia="華康仿宋體W6" w:hAnsi="Book Antiqua" w:hint="eastAsia"/>
          <w:color w:val="000000" w:themeColor="text1"/>
          <w:sz w:val="24"/>
        </w:rPr>
        <w:t>1</w:t>
      </w:r>
      <w:r w:rsidR="00BB317B" w:rsidRPr="00E224E9">
        <w:rPr>
          <w:rFonts w:ascii="Book Antiqua" w:eastAsia="華康仿宋體W6" w:hAnsi="Book Antiqua" w:hint="eastAsia"/>
          <w:color w:val="000000" w:themeColor="text1"/>
          <w:sz w:val="24"/>
        </w:rPr>
        <w:t>：上表為</w:t>
      </w:r>
      <w:r w:rsidR="00BB317B" w:rsidRPr="00E224E9">
        <w:rPr>
          <w:rFonts w:ascii="Book Antiqua" w:eastAsia="華康仿宋體W6" w:hAnsi="Book Antiqua" w:hint="eastAsia"/>
          <w:color w:val="000000" w:themeColor="text1"/>
          <w:sz w:val="24"/>
        </w:rPr>
        <w:t>111</w:t>
      </w:r>
      <w:r w:rsidR="00BB317B" w:rsidRPr="00E224E9">
        <w:rPr>
          <w:rFonts w:ascii="Book Antiqua" w:eastAsia="華康仿宋體W6" w:hAnsi="Book Antiqua" w:hint="eastAsia"/>
          <w:color w:val="000000" w:themeColor="text1"/>
          <w:sz w:val="24"/>
        </w:rPr>
        <w:t>年</w:t>
      </w:r>
      <w:r w:rsidR="00BB317B" w:rsidRPr="00E224E9">
        <w:rPr>
          <w:rFonts w:ascii="Book Antiqua" w:eastAsia="華康仿宋體W6" w:hAnsi="Book Antiqua" w:hint="eastAsia"/>
          <w:color w:val="000000" w:themeColor="text1"/>
          <w:sz w:val="24"/>
        </w:rPr>
        <w:t>12</w:t>
      </w:r>
      <w:r w:rsidR="00BB317B" w:rsidRPr="00E224E9">
        <w:rPr>
          <w:rFonts w:ascii="Book Antiqua" w:eastAsia="華康仿宋體W6" w:hAnsi="Book Antiqua" w:hint="eastAsia"/>
          <w:color w:val="000000" w:themeColor="text1"/>
          <w:sz w:val="24"/>
        </w:rPr>
        <w:t>月新增，對於「符合即時利用並有收益認定基準」之不動產「公允價值之評價方式」僅</w:t>
      </w:r>
      <w:r w:rsidRPr="00E224E9">
        <w:rPr>
          <w:rFonts w:ascii="Book Antiqua" w:eastAsia="華康仿宋體W6" w:hAnsi="Book Antiqua" w:hint="eastAsia"/>
          <w:color w:val="000000" w:themeColor="text1"/>
          <w:sz w:val="24"/>
        </w:rPr>
        <w:t>將</w:t>
      </w:r>
      <w:r w:rsidR="00BB317B" w:rsidRPr="00E224E9">
        <w:rPr>
          <w:rFonts w:ascii="Book Antiqua" w:eastAsia="華康仿宋體W6" w:hAnsi="Book Antiqua" w:hint="eastAsia"/>
          <w:color w:val="000000" w:themeColor="text1"/>
          <w:sz w:val="24"/>
        </w:rPr>
        <w:t>「未指定」更改為「僅可採收益法」</w:t>
      </w:r>
      <w:r w:rsidR="00BB317B" w:rsidRPr="00E224E9">
        <w:rPr>
          <w:rFonts w:ascii="Book Antiqua" w:eastAsia="華康仿宋體W6" w:hAnsi="Book Antiqua" w:hint="eastAsia"/>
          <w:color w:val="000000" w:themeColor="text1"/>
          <w:sz w:val="24"/>
        </w:rPr>
        <w:t>(</w:t>
      </w:r>
      <w:r w:rsidR="00BB317B" w:rsidRPr="00E224E9">
        <w:rPr>
          <w:rFonts w:ascii="Book Antiqua" w:eastAsia="華康仿宋體W6" w:hAnsi="Book Antiqua" w:hint="eastAsia"/>
          <w:color w:val="000000" w:themeColor="text1"/>
          <w:sz w:val="24"/>
        </w:rPr>
        <w:t>即，不動產公允價值鑑價報告相關規定，仍參考</w:t>
      </w:r>
      <w:r w:rsidR="008D3025" w:rsidRPr="00E224E9">
        <w:rPr>
          <w:rFonts w:ascii="Book Antiqua" w:eastAsia="華康仿宋體W6" w:hAnsi="Book Antiqua" w:hint="eastAsia"/>
          <w:color w:val="000000" w:themeColor="text1"/>
          <w:sz w:val="24"/>
        </w:rPr>
        <w:t>下述</w:t>
      </w:r>
      <w:r w:rsidR="00BB317B" w:rsidRPr="00E224E9">
        <w:rPr>
          <w:rFonts w:ascii="Book Antiqua" w:eastAsia="華康仿宋體W6" w:hAnsi="Book Antiqua" w:hint="eastAsia"/>
          <w:color w:val="000000" w:themeColor="text1"/>
          <w:sz w:val="24"/>
        </w:rPr>
        <w:t>「三、其他應配合事項」</w:t>
      </w:r>
      <w:r w:rsidR="00BB317B"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w:t>
      </w:r>
    </w:p>
    <w:p w14:paraId="4BDD9B22" w14:textId="33029EFE" w:rsidR="00065C53" w:rsidRPr="00E224E9" w:rsidRDefault="00E007D1" w:rsidP="00285610">
      <w:pPr>
        <w:spacing w:line="360" w:lineRule="auto"/>
        <w:ind w:left="658" w:rightChars="-48" w:right="-125" w:hangingChars="274" w:hanging="658"/>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B20D40" w:rsidRPr="00E224E9">
        <w:rPr>
          <w:rFonts w:ascii="Book Antiqua" w:eastAsia="華康仿宋體W6" w:hAnsi="Book Antiqua" w:hint="eastAsia"/>
          <w:color w:val="000000" w:themeColor="text1"/>
          <w:sz w:val="24"/>
        </w:rPr>
        <w:t>三</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配合上述列入自有資本之</w:t>
      </w:r>
      <w:r w:rsidR="003064C1" w:rsidRPr="00E224E9">
        <w:rPr>
          <w:rFonts w:ascii="Book Antiqua" w:eastAsia="華康仿宋體W6" w:hAnsi="Book Antiqua"/>
          <w:color w:val="000000" w:themeColor="text1"/>
          <w:sz w:val="24"/>
        </w:rPr>
        <w:t>投資性不動產</w:t>
      </w:r>
      <w:r w:rsidR="00065C53" w:rsidRPr="00E224E9">
        <w:rPr>
          <w:rFonts w:ascii="Book Antiqua" w:eastAsia="華康仿宋體W6" w:hAnsi="Book Antiqua"/>
          <w:color w:val="000000" w:themeColor="text1"/>
          <w:sz w:val="24"/>
        </w:rPr>
        <w:t>評價差額，需併同納入相關資產風險計算風險資本額。</w:t>
      </w:r>
    </w:p>
    <w:p w14:paraId="0F954C22" w14:textId="77777777" w:rsidR="00065C53" w:rsidRPr="00E224E9" w:rsidRDefault="00065C53" w:rsidP="00F3152E">
      <w:pPr>
        <w:pStyle w:val="aff"/>
        <w:spacing w:beforeLines="100" w:before="240" w:afterLines="100" w:after="240" w:line="400" w:lineRule="exact"/>
        <w:ind w:leftChars="-42" w:left="781" w:hanging="890"/>
        <w:rPr>
          <w:rFonts w:ascii="Book Antiqua" w:eastAsia="華康仿宋體W6" w:hAnsi="Book Antiqua"/>
          <w:color w:val="000000" w:themeColor="text1"/>
        </w:rPr>
      </w:pPr>
      <w:r w:rsidRPr="00E224E9">
        <w:rPr>
          <w:rFonts w:ascii="Book Antiqua" w:eastAsia="華康仿宋體W6" w:hAnsi="Book Antiqua"/>
          <w:color w:val="000000" w:themeColor="text1"/>
        </w:rPr>
        <w:t>三、其他應配合事項：</w:t>
      </w:r>
    </w:p>
    <w:p w14:paraId="6D967397" w14:textId="77777777" w:rsidR="00065C53" w:rsidRPr="00E224E9" w:rsidRDefault="001A434E" w:rsidP="00F3152E">
      <w:pPr>
        <w:spacing w:line="360" w:lineRule="auto"/>
        <w:ind w:left="744" w:rightChars="-48" w:right="-125" w:hangingChars="310" w:hanging="744"/>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一</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不動產</w:t>
      </w:r>
      <w:r w:rsidR="00A65DB4" w:rsidRPr="00E224E9">
        <w:rPr>
          <w:rFonts w:ascii="Book Antiqua" w:eastAsia="華康仿宋體W6" w:hAnsi="Book Antiqua"/>
          <w:color w:val="000000" w:themeColor="text1"/>
          <w:sz w:val="24"/>
        </w:rPr>
        <w:t>公允價值</w:t>
      </w:r>
      <w:r w:rsidR="00065C53" w:rsidRPr="00E224E9">
        <w:rPr>
          <w:rFonts w:ascii="Book Antiqua" w:eastAsia="華康仿宋體W6" w:hAnsi="Book Antiqua"/>
          <w:color w:val="000000" w:themeColor="text1"/>
          <w:sz w:val="24"/>
        </w:rPr>
        <w:t>鑑價報告應符合下列條件：</w:t>
      </w:r>
    </w:p>
    <w:p w14:paraId="3FDD4D62" w14:textId="77777777" w:rsidR="00065C53" w:rsidRPr="00E224E9"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E224E9">
        <w:rPr>
          <w:rFonts w:ascii="Book Antiqua" w:eastAsia="華康仿宋體W6" w:hAnsi="Book Antiqua"/>
          <w:color w:val="000000" w:themeColor="text1"/>
          <w:szCs w:val="24"/>
        </w:rPr>
        <w:t>1.</w:t>
      </w:r>
      <w:r w:rsidR="00872CDF" w:rsidRPr="00E224E9">
        <w:rPr>
          <w:rFonts w:ascii="Book Antiqua" w:eastAsia="華康仿宋體W6" w:hAnsi="Book Antiqua"/>
          <w:color w:val="000000" w:themeColor="text1"/>
          <w:szCs w:val="24"/>
        </w:rPr>
        <w:t xml:space="preserve">  </w:t>
      </w:r>
      <w:r w:rsidRPr="00E224E9">
        <w:rPr>
          <w:rFonts w:ascii="Book Antiqua" w:eastAsia="華康仿宋體W6" w:hAnsi="Book Antiqua"/>
          <w:color w:val="000000" w:themeColor="text1"/>
          <w:szCs w:val="24"/>
        </w:rPr>
        <w:t>有關不動產</w:t>
      </w:r>
      <w:r w:rsidR="00A65DB4" w:rsidRPr="00E224E9">
        <w:rPr>
          <w:rFonts w:ascii="Book Antiqua" w:eastAsia="華康仿宋體W6" w:hAnsi="Book Antiqua"/>
          <w:color w:val="000000" w:themeColor="text1"/>
          <w:szCs w:val="24"/>
        </w:rPr>
        <w:t>公允價值</w:t>
      </w:r>
      <w:r w:rsidRPr="00E224E9">
        <w:rPr>
          <w:rFonts w:ascii="Book Antiqua" w:eastAsia="華康仿宋體W6" w:hAnsi="Book Antiqua"/>
          <w:color w:val="000000" w:themeColor="text1"/>
          <w:szCs w:val="24"/>
        </w:rPr>
        <w:t>評估，應先洽請專業估價機構依「不動產估價師法」規定出具估價報告書。</w:t>
      </w:r>
    </w:p>
    <w:p w14:paraId="27EE873D" w14:textId="77777777" w:rsidR="00065C53" w:rsidRPr="00E224E9"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E224E9">
        <w:rPr>
          <w:rFonts w:ascii="Book Antiqua" w:eastAsia="華康仿宋體W6" w:hAnsi="Book Antiqua"/>
          <w:color w:val="000000" w:themeColor="text1"/>
          <w:szCs w:val="24"/>
        </w:rPr>
        <w:t>2.</w:t>
      </w:r>
      <w:r w:rsidR="00872CDF" w:rsidRPr="00E224E9">
        <w:rPr>
          <w:rFonts w:ascii="Book Antiqua" w:eastAsia="華康仿宋體W6" w:hAnsi="Book Antiqua"/>
          <w:color w:val="000000" w:themeColor="text1"/>
          <w:szCs w:val="24"/>
        </w:rPr>
        <w:t xml:space="preserve">  </w:t>
      </w:r>
      <w:r w:rsidRPr="00E224E9">
        <w:rPr>
          <w:rFonts w:ascii="Book Antiqua" w:eastAsia="華康仿宋體W6" w:hAnsi="Book Antiqua"/>
          <w:color w:val="000000" w:themeColor="text1"/>
          <w:szCs w:val="24"/>
        </w:rPr>
        <w:t>不動產評估計算應依「不動產估價技術規則」內容進行估算。</w:t>
      </w:r>
    </w:p>
    <w:p w14:paraId="04C6F273" w14:textId="77777777" w:rsidR="00065C53" w:rsidRPr="00E224E9"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E224E9">
        <w:rPr>
          <w:rFonts w:ascii="Book Antiqua" w:eastAsia="華康仿宋體W6" w:hAnsi="Book Antiqua"/>
          <w:color w:val="000000" w:themeColor="text1"/>
          <w:szCs w:val="24"/>
        </w:rPr>
        <w:t>3.</w:t>
      </w:r>
      <w:r w:rsidR="00872CDF" w:rsidRPr="00E224E9">
        <w:rPr>
          <w:rFonts w:ascii="Book Antiqua" w:eastAsia="華康仿宋體W6" w:hAnsi="Book Antiqua"/>
          <w:color w:val="000000" w:themeColor="text1"/>
          <w:szCs w:val="24"/>
        </w:rPr>
        <w:t xml:space="preserve">  </w:t>
      </w:r>
      <w:r w:rsidRPr="00E224E9">
        <w:rPr>
          <w:rFonts w:ascii="Book Antiqua" w:eastAsia="華康仿宋體W6" w:hAnsi="Book Antiqua"/>
          <w:color w:val="000000" w:themeColor="text1"/>
          <w:szCs w:val="24"/>
        </w:rPr>
        <w:t>評估金額達新臺幣十億元以上者，初次評估時，應由二家以上之專業估價機構進行估價，第二次起則由一家專業估價機構進行估價。</w:t>
      </w:r>
    </w:p>
    <w:p w14:paraId="5F4FDD99" w14:textId="77777777" w:rsidR="00065C53" w:rsidRPr="00E224E9"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E224E9">
        <w:rPr>
          <w:rFonts w:ascii="Book Antiqua" w:eastAsia="華康仿宋體W6" w:hAnsi="Book Antiqua"/>
          <w:color w:val="000000" w:themeColor="text1"/>
          <w:szCs w:val="24"/>
        </w:rPr>
        <w:t>4.</w:t>
      </w:r>
      <w:r w:rsidR="00872CDF" w:rsidRPr="00E224E9">
        <w:rPr>
          <w:rFonts w:ascii="Book Antiqua" w:eastAsia="華康仿宋體W6" w:hAnsi="Book Antiqua"/>
          <w:color w:val="000000" w:themeColor="text1"/>
          <w:szCs w:val="24"/>
        </w:rPr>
        <w:t xml:space="preserve">  </w:t>
      </w:r>
      <w:r w:rsidRPr="00E224E9">
        <w:rPr>
          <w:rFonts w:ascii="Book Antiqua" w:eastAsia="華康仿宋體W6" w:hAnsi="Book Antiqua"/>
          <w:color w:val="000000" w:themeColor="text1"/>
          <w:szCs w:val="24"/>
        </w:rPr>
        <w:t>專業估價機構資格條件限制如下：</w:t>
      </w:r>
    </w:p>
    <w:p w14:paraId="15F51CCA" w14:textId="77777777" w:rsidR="00065C53" w:rsidRPr="00E224E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1</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該估價機構需有二年以上估價業務之經驗</w:t>
      </w:r>
      <w:r w:rsidR="00065C53"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由原鑑價商業專用名稱相同成立之事務所，其鑑價機構之年資可合併計算</w:t>
      </w:r>
      <w:r w:rsidR="00065C53"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w:t>
      </w:r>
    </w:p>
    <w:p w14:paraId="775E1B90" w14:textId="77777777" w:rsidR="00065C53" w:rsidRPr="00E224E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2</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該估價機構需有執行業務之不動產估價師至少二人以上。</w:t>
      </w:r>
    </w:p>
    <w:p w14:paraId="70546DA1" w14:textId="77777777" w:rsidR="00065C53" w:rsidRPr="00E224E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3</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執行業務之不動產估價師與要求估價之壽險公司無</w:t>
      </w:r>
      <w:r w:rsidR="00C65703" w:rsidRPr="00E224E9">
        <w:rPr>
          <w:rFonts w:ascii="Book Antiqua" w:eastAsia="華康仿宋體W6" w:hAnsi="Book Antiqua"/>
          <w:color w:val="000000" w:themeColor="text1"/>
          <w:sz w:val="24"/>
        </w:rPr>
        <w:t>國際會計準則第</w:t>
      </w:r>
      <w:r w:rsidR="00C65703" w:rsidRPr="00E224E9">
        <w:rPr>
          <w:rFonts w:ascii="Book Antiqua" w:eastAsia="華康仿宋體W6" w:hAnsi="Book Antiqua"/>
          <w:color w:val="000000" w:themeColor="text1"/>
          <w:sz w:val="24"/>
        </w:rPr>
        <w:t>24</w:t>
      </w:r>
      <w:r w:rsidR="00C65703" w:rsidRPr="00E224E9">
        <w:rPr>
          <w:rFonts w:ascii="Book Antiqua" w:eastAsia="華康仿宋體W6" w:hAnsi="Book Antiqua"/>
          <w:color w:val="000000" w:themeColor="text1"/>
          <w:sz w:val="24"/>
        </w:rPr>
        <w:t>號公報</w:t>
      </w:r>
      <w:r w:rsidR="00065C53" w:rsidRPr="00E224E9">
        <w:rPr>
          <w:rFonts w:ascii="Book Antiqua" w:eastAsia="華康仿宋體W6" w:hAnsi="Book Antiqua"/>
          <w:color w:val="000000" w:themeColor="text1"/>
          <w:sz w:val="24"/>
        </w:rPr>
        <w:t>所定之關係人或實質關係人情事。</w:t>
      </w:r>
    </w:p>
    <w:p w14:paraId="71FE9F50" w14:textId="77777777" w:rsidR="00065C53" w:rsidRPr="00E224E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4</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執行業務之不動產估價師需有二年以上不動產估價業務之經驗，且估價師必須加入當地不動產估價師公會</w:t>
      </w:r>
      <w:r w:rsidR="00065C53"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不動產估價師對不動產估價業務之經驗可包括在鑑價公司之資歷</w:t>
      </w:r>
      <w:r w:rsidR="00065C53"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w:t>
      </w:r>
    </w:p>
    <w:p w14:paraId="5032BA92" w14:textId="77777777" w:rsidR="00065C53" w:rsidRPr="00E224E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lastRenderedPageBreak/>
        <w:t>(</w:t>
      </w:r>
      <w:r w:rsidR="00065C53" w:rsidRPr="00E224E9">
        <w:rPr>
          <w:rFonts w:ascii="Book Antiqua" w:eastAsia="華康仿宋體W6" w:hAnsi="Book Antiqua"/>
          <w:color w:val="000000" w:themeColor="text1"/>
          <w:sz w:val="24"/>
        </w:rPr>
        <w:t>5</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執行業務之不動產估價師最近三年無票信債信不良記錄及最近五年無遭受不動產估價師懲戒委員會懲戒之記錄者。</w:t>
      </w:r>
    </w:p>
    <w:p w14:paraId="452C4C47" w14:textId="77777777" w:rsidR="00065C53" w:rsidRPr="00E224E9" w:rsidRDefault="001A434E" w:rsidP="00F3152E">
      <w:pPr>
        <w:spacing w:line="360" w:lineRule="auto"/>
        <w:ind w:left="732" w:rightChars="-48" w:right="-125" w:hangingChars="305" w:hanging="732"/>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二</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鑑價報告須列入資本適足率填報檢核表，並列為簽證會計師應查核表格之ㄧ。</w:t>
      </w:r>
    </w:p>
    <w:p w14:paraId="4F772672" w14:textId="0605A5DE" w:rsidR="00065C53" w:rsidRPr="00E224E9" w:rsidRDefault="001A434E" w:rsidP="00F3152E">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三</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選定以</w:t>
      </w:r>
      <w:r w:rsidR="00BB317B" w:rsidRPr="00E224E9">
        <w:rPr>
          <w:rFonts w:ascii="Book Antiqua" w:eastAsia="華康仿宋體W6" w:hAnsi="Book Antiqua" w:hint="eastAsia"/>
          <w:color w:val="000000" w:themeColor="text1"/>
          <w:sz w:val="24"/>
        </w:rPr>
        <w:t>投資性不動產</w:t>
      </w:r>
      <w:r w:rsidR="00065C53" w:rsidRPr="00E224E9">
        <w:rPr>
          <w:rFonts w:ascii="Book Antiqua" w:eastAsia="華康仿宋體W6" w:hAnsi="Book Antiqua"/>
          <w:color w:val="000000" w:themeColor="text1"/>
          <w:sz w:val="24"/>
        </w:rPr>
        <w:t>採</w:t>
      </w:r>
      <w:r w:rsidR="00A65DB4" w:rsidRPr="00E224E9">
        <w:rPr>
          <w:rFonts w:ascii="Book Antiqua" w:eastAsia="華康仿宋體W6" w:hAnsi="Book Antiqua"/>
          <w:color w:val="000000" w:themeColor="text1"/>
          <w:sz w:val="24"/>
        </w:rPr>
        <w:t>公允價值</w:t>
      </w:r>
      <w:r w:rsidR="00065C53" w:rsidRPr="00E224E9">
        <w:rPr>
          <w:rFonts w:ascii="Book Antiqua" w:eastAsia="華康仿宋體W6" w:hAnsi="Book Antiqua"/>
          <w:color w:val="000000" w:themeColor="text1"/>
          <w:sz w:val="24"/>
        </w:rPr>
        <w:t>評價計算資本適足率者，倘其在未採</w:t>
      </w:r>
      <w:r w:rsidR="00A65DB4" w:rsidRPr="00E224E9">
        <w:rPr>
          <w:rFonts w:ascii="Book Antiqua" w:eastAsia="華康仿宋體W6" w:hAnsi="Book Antiqua"/>
          <w:color w:val="000000" w:themeColor="text1"/>
          <w:sz w:val="24"/>
        </w:rPr>
        <w:t>公允價值</w:t>
      </w:r>
      <w:r w:rsidR="00065C53" w:rsidRPr="00E224E9">
        <w:rPr>
          <w:rFonts w:ascii="Book Antiqua" w:eastAsia="華康仿宋體W6" w:hAnsi="Book Antiqua"/>
          <w:color w:val="000000" w:themeColor="text1"/>
          <w:sz w:val="24"/>
        </w:rPr>
        <w:t>評價下所計算之資本適足率未達</w:t>
      </w:r>
      <w:r w:rsidR="00065C53" w:rsidRPr="00E224E9">
        <w:rPr>
          <w:rFonts w:ascii="Book Antiqua" w:eastAsia="華康仿宋體W6" w:hAnsi="Book Antiqua"/>
          <w:color w:val="000000" w:themeColor="text1"/>
          <w:sz w:val="24"/>
        </w:rPr>
        <w:t>200</w:t>
      </w:r>
      <w:r w:rsidR="00065C53" w:rsidRPr="00E224E9">
        <w:rPr>
          <w:rFonts w:ascii="Book Antiqua" w:eastAsia="華康仿宋體W6" w:hAnsi="Book Antiqua"/>
          <w:color w:val="000000" w:themeColor="text1"/>
          <w:sz w:val="24"/>
        </w:rPr>
        <w:t>％，不得分配該申報年度之盈餘。</w:t>
      </w:r>
    </w:p>
    <w:p w14:paraId="290AB769" w14:textId="3BE7F23B" w:rsidR="00065C53" w:rsidRPr="00E224E9" w:rsidRDefault="00065C53">
      <w:pPr>
        <w:pStyle w:val="1"/>
        <w:spacing w:afterLines="0" w:line="440" w:lineRule="exact"/>
        <w:jc w:val="both"/>
        <w:rPr>
          <w:b w:val="0"/>
          <w:bCs w:val="0"/>
          <w:color w:val="000000" w:themeColor="text1"/>
          <w:szCs w:val="40"/>
        </w:rPr>
      </w:pPr>
      <w:r w:rsidRPr="00E224E9">
        <w:rPr>
          <w:color w:val="000000" w:themeColor="text1"/>
          <w:sz w:val="24"/>
        </w:rPr>
        <w:br w:type="page"/>
      </w:r>
      <w:bookmarkStart w:id="173" w:name="_Toc200468563"/>
      <w:r w:rsidRPr="00E224E9">
        <w:rPr>
          <w:b w:val="0"/>
          <w:bCs w:val="0"/>
          <w:color w:val="000000" w:themeColor="text1"/>
          <w:szCs w:val="40"/>
        </w:rPr>
        <w:lastRenderedPageBreak/>
        <w:t>表30-7-4：</w:t>
      </w:r>
      <w:r w:rsidR="003064C1" w:rsidRPr="00E224E9">
        <w:rPr>
          <w:b w:val="0"/>
          <w:bCs w:val="0"/>
          <w:color w:val="000000" w:themeColor="text1"/>
          <w:szCs w:val="40"/>
        </w:rPr>
        <w:t>投資性不動產</w:t>
      </w:r>
      <w:r w:rsidRPr="00E224E9">
        <w:rPr>
          <w:b w:val="0"/>
          <w:bCs w:val="0"/>
          <w:color w:val="000000" w:themeColor="text1"/>
          <w:szCs w:val="40"/>
        </w:rPr>
        <w:t>為素地或未能符合即時利用並有收益認定</w:t>
      </w:r>
      <w:r w:rsidR="00773B71" w:rsidRPr="00E224E9">
        <w:rPr>
          <w:rFonts w:hint="eastAsia"/>
          <w:b w:val="0"/>
          <w:bCs w:val="0"/>
          <w:color w:val="000000" w:themeColor="text1"/>
          <w:szCs w:val="40"/>
        </w:rPr>
        <w:t>基</w:t>
      </w:r>
      <w:r w:rsidRPr="00E224E9">
        <w:rPr>
          <w:b w:val="0"/>
          <w:bCs w:val="0"/>
          <w:color w:val="000000" w:themeColor="text1"/>
          <w:szCs w:val="40"/>
        </w:rPr>
        <w:t>準者加計風險資本額調整計算表</w:t>
      </w:r>
      <w:bookmarkEnd w:id="173"/>
    </w:p>
    <w:p w14:paraId="1B2B0260" w14:textId="77777777" w:rsidR="00065C53" w:rsidRPr="00E224E9" w:rsidRDefault="00065C53">
      <w:pPr>
        <w:pStyle w:val="aff"/>
        <w:spacing w:afterLines="0" w:line="400" w:lineRule="exact"/>
        <w:ind w:leftChars="114" w:left="296" w:firstLine="0"/>
        <w:rPr>
          <w:rFonts w:ascii="Book Antiqua" w:hAnsi="Book Antiqua"/>
          <w:color w:val="000000" w:themeColor="text1"/>
        </w:rPr>
      </w:pPr>
    </w:p>
    <w:p w14:paraId="5C06DE70" w14:textId="3ABEE99F" w:rsidR="00840CFB" w:rsidRPr="00E224E9" w:rsidRDefault="00840CFB" w:rsidP="00840CFB">
      <w:pPr>
        <w:spacing w:line="500" w:lineRule="exact"/>
        <w:rPr>
          <w:rFonts w:ascii="華康仿宋體W6" w:eastAsia="華康仿宋體W6"/>
          <w:color w:val="000000" w:themeColor="text1"/>
          <w:sz w:val="24"/>
        </w:rPr>
      </w:pPr>
      <w:r w:rsidRPr="00E224E9">
        <w:rPr>
          <w:rFonts w:ascii="華康仿宋體W6" w:eastAsia="華康仿宋體W6" w:hint="eastAsia"/>
          <w:color w:val="000000" w:themeColor="text1"/>
          <w:sz w:val="24"/>
        </w:rPr>
        <w:t>保險業對於所持有之</w:t>
      </w:r>
      <w:r w:rsidR="003064C1" w:rsidRPr="00E224E9">
        <w:rPr>
          <w:rFonts w:ascii="華康仿宋體W6" w:eastAsia="華康仿宋體W6" w:hint="eastAsia"/>
          <w:color w:val="000000" w:themeColor="text1"/>
          <w:sz w:val="24"/>
        </w:rPr>
        <w:t>投資性不動產</w:t>
      </w:r>
      <w:r w:rsidRPr="00E224E9">
        <w:rPr>
          <w:rFonts w:ascii="華康仿宋體W6" w:eastAsia="華康仿宋體W6" w:hint="eastAsia"/>
          <w:color w:val="000000" w:themeColor="text1"/>
          <w:sz w:val="24"/>
        </w:rPr>
        <w:t>，除</w:t>
      </w:r>
      <w:r w:rsidRPr="00E224E9">
        <w:rPr>
          <w:rFonts w:ascii="華康仿宋體W6" w:eastAsia="華康仿宋體W6" w:hint="eastAsia"/>
          <w:bCs/>
          <w:color w:val="000000" w:themeColor="text1"/>
          <w:sz w:val="24"/>
        </w:rPr>
        <w:t>符合即時利用並有收益認定</w:t>
      </w:r>
      <w:r w:rsidR="00773B71" w:rsidRPr="00E224E9">
        <w:rPr>
          <w:rFonts w:ascii="華康仿宋體W6" w:eastAsia="華康仿宋體W6" w:hint="eastAsia"/>
          <w:bCs/>
          <w:color w:val="000000" w:themeColor="text1"/>
          <w:sz w:val="24"/>
        </w:rPr>
        <w:t>基</w:t>
      </w:r>
      <w:r w:rsidRPr="00E224E9">
        <w:rPr>
          <w:rFonts w:ascii="華康仿宋體W6" w:eastAsia="華康仿宋體W6" w:hint="eastAsia"/>
          <w:bCs/>
          <w:color w:val="000000" w:themeColor="text1"/>
          <w:sz w:val="24"/>
        </w:rPr>
        <w:t>準者，或</w:t>
      </w:r>
      <w:r w:rsidR="00FF3808" w:rsidRPr="00E224E9">
        <w:rPr>
          <w:rFonts w:ascii="華康仿宋體W6" w:eastAsia="華康仿宋體W6" w:hint="eastAsia"/>
          <w:bCs/>
          <w:color w:val="000000" w:themeColor="text1"/>
          <w:sz w:val="24"/>
        </w:rPr>
        <w:t>符合</w:t>
      </w:r>
      <w:r w:rsidR="00FF3808" w:rsidRPr="00E224E9">
        <w:rPr>
          <w:rFonts w:ascii="華康仿宋體W6" w:eastAsia="華康仿宋體W6" w:hint="eastAsia"/>
          <w:color w:val="000000" w:themeColor="text1"/>
          <w:sz w:val="24"/>
        </w:rPr>
        <w:t>「保險業辦理不動產投資管理辦法」</w:t>
      </w:r>
      <w:r w:rsidR="00D379BC" w:rsidRPr="00E224E9">
        <w:rPr>
          <w:rFonts w:ascii="華康仿宋體W6" w:eastAsia="華康仿宋體W6" w:hint="eastAsia"/>
          <w:bCs/>
          <w:color w:val="000000" w:themeColor="text1"/>
          <w:sz w:val="24"/>
        </w:rPr>
        <w:t>內需</w:t>
      </w:r>
      <w:r w:rsidRPr="00E224E9">
        <w:rPr>
          <w:rFonts w:ascii="華康仿宋體W6" w:eastAsia="華康仿宋體W6" w:hint="eastAsia"/>
          <w:bCs/>
          <w:color w:val="000000" w:themeColor="text1"/>
          <w:sz w:val="24"/>
        </w:rPr>
        <w:t>向主管機關辦理專案報核即時利用期限者</w:t>
      </w:r>
      <w:r w:rsidR="00844DA6" w:rsidRPr="00E224E9">
        <w:rPr>
          <w:rFonts w:ascii="華康仿宋體W6" w:eastAsia="華康仿宋體W6" w:hint="eastAsia"/>
          <w:bCs/>
          <w:color w:val="000000" w:themeColor="text1"/>
          <w:sz w:val="24"/>
        </w:rPr>
        <w:t>外</w:t>
      </w:r>
      <w:r w:rsidRPr="00E224E9">
        <w:rPr>
          <w:rFonts w:ascii="華康仿宋體W6" w:eastAsia="華康仿宋體W6" w:hint="eastAsia"/>
          <w:bCs/>
          <w:color w:val="000000" w:themeColor="text1"/>
          <w:sz w:val="24"/>
        </w:rPr>
        <w:t>，得</w:t>
      </w:r>
      <w:r w:rsidRPr="00E224E9">
        <w:rPr>
          <w:rFonts w:ascii="華康仿宋體W6" w:eastAsia="華康仿宋體W6" w:hint="eastAsia"/>
          <w:color w:val="000000" w:themeColor="text1"/>
          <w:sz w:val="24"/>
        </w:rPr>
        <w:t>依現行所定不動產風險係數計算外，應依下列規定加計風險資本額：</w:t>
      </w:r>
    </w:p>
    <w:p w14:paraId="0E90460F" w14:textId="7FA7C777" w:rsidR="00840CFB" w:rsidRPr="00E224E9" w:rsidRDefault="00C10DC4" w:rsidP="004373AD">
      <w:pPr>
        <w:widowControl/>
        <w:numPr>
          <w:ilvl w:val="0"/>
          <w:numId w:val="29"/>
        </w:numPr>
        <w:spacing w:line="500" w:lineRule="exact"/>
        <w:rPr>
          <w:rFonts w:ascii="華康仿宋體W6" w:eastAsia="華康仿宋體W6"/>
          <w:color w:val="000000" w:themeColor="text1"/>
          <w:sz w:val="24"/>
        </w:rPr>
      </w:pPr>
      <w:r w:rsidRPr="00E224E9">
        <w:rPr>
          <w:rFonts w:ascii="華康仿宋體W6" w:eastAsia="華康仿宋體W6" w:hint="eastAsia"/>
          <w:color w:val="000000" w:themeColor="text1"/>
          <w:sz w:val="24"/>
        </w:rPr>
        <w:t>所持有之投資用不動產</w:t>
      </w:r>
      <w:r w:rsidR="00840CFB" w:rsidRPr="00E224E9">
        <w:rPr>
          <w:rFonts w:ascii="華康仿宋體W6" w:eastAsia="華康仿宋體W6" w:hint="eastAsia"/>
          <w:color w:val="000000" w:themeColor="text1"/>
          <w:sz w:val="24"/>
        </w:rPr>
        <w:t>為</w:t>
      </w:r>
      <w:r w:rsidR="00840CFB" w:rsidRPr="00E224E9">
        <w:rPr>
          <w:rFonts w:ascii="華康仿宋體W6" w:eastAsia="華康仿宋體W6" w:hint="eastAsia"/>
          <w:bCs/>
          <w:color w:val="000000" w:themeColor="text1"/>
          <w:sz w:val="24"/>
        </w:rPr>
        <w:t>素地</w:t>
      </w:r>
      <w:r w:rsidR="003D0AA4" w:rsidRPr="00E224E9">
        <w:rPr>
          <w:rFonts w:ascii="華康仿宋體W6" w:eastAsia="華康仿宋體W6" w:hint="eastAsia"/>
          <w:bCs/>
          <w:color w:val="000000" w:themeColor="text1"/>
          <w:sz w:val="24"/>
        </w:rPr>
        <w:t>或未取得使用執照之在建工程(</w:t>
      </w:r>
      <w:r w:rsidR="008C55A5" w:rsidRPr="00E224E9">
        <w:rPr>
          <w:rFonts w:ascii="華康仿宋體W6" w:eastAsia="華康仿宋體W6" w:hint="eastAsia"/>
          <w:bCs/>
          <w:color w:val="000000" w:themeColor="text1"/>
          <w:sz w:val="24"/>
        </w:rPr>
        <w:t>含預付房地設備款</w:t>
      </w:r>
      <w:r w:rsidR="003D0AA4" w:rsidRPr="00E224E9">
        <w:rPr>
          <w:rFonts w:ascii="華康仿宋體W6" w:eastAsia="華康仿宋體W6" w:hint="eastAsia"/>
          <w:bCs/>
          <w:color w:val="000000" w:themeColor="text1"/>
          <w:sz w:val="24"/>
        </w:rPr>
        <w:t>)或未完工程(</w:t>
      </w:r>
      <w:r w:rsidR="008C55A5" w:rsidRPr="00E224E9">
        <w:rPr>
          <w:rFonts w:ascii="華康仿宋體W6" w:eastAsia="華康仿宋體W6" w:hint="eastAsia"/>
          <w:bCs/>
          <w:color w:val="000000" w:themeColor="text1"/>
          <w:sz w:val="24"/>
        </w:rPr>
        <w:t>含預付房地設備款</w:t>
      </w:r>
      <w:r w:rsidR="003D0AA4" w:rsidRPr="00E224E9">
        <w:rPr>
          <w:rFonts w:ascii="華康仿宋體W6" w:eastAsia="華康仿宋體W6" w:hint="eastAsia"/>
          <w:bCs/>
          <w:color w:val="000000" w:themeColor="text1"/>
          <w:sz w:val="24"/>
        </w:rPr>
        <w:t>)</w:t>
      </w:r>
      <w:r w:rsidR="00840CFB" w:rsidRPr="00E224E9">
        <w:rPr>
          <w:rFonts w:ascii="華康仿宋體W6" w:eastAsia="華康仿宋體W6" w:hint="eastAsia"/>
          <w:color w:val="000000" w:themeColor="text1"/>
          <w:sz w:val="24"/>
        </w:rPr>
        <w:t>者，其風險係數應按現行所定不動產風險係數加計</w:t>
      </w:r>
      <w:r w:rsidR="00840CFB" w:rsidRPr="00E224E9">
        <w:rPr>
          <w:rFonts w:ascii="華康仿宋體W6" w:eastAsia="華康仿宋體W6" w:hint="eastAsia"/>
          <w:bCs/>
          <w:color w:val="000000" w:themeColor="text1"/>
          <w:sz w:val="24"/>
        </w:rPr>
        <w:t>40%</w:t>
      </w:r>
      <w:r w:rsidR="00840CFB" w:rsidRPr="00E224E9">
        <w:rPr>
          <w:rFonts w:ascii="華康仿宋體W6" w:eastAsia="華康仿宋體W6" w:hint="eastAsia"/>
          <w:color w:val="000000" w:themeColor="text1"/>
          <w:sz w:val="24"/>
        </w:rPr>
        <w:t>計算</w:t>
      </w:r>
      <w:r w:rsidR="00840CFB" w:rsidRPr="00E224E9">
        <w:rPr>
          <w:rFonts w:ascii="華康仿宋體W6" w:eastAsia="華康仿宋體W6" w:hint="eastAsia"/>
          <w:bCs/>
          <w:color w:val="000000" w:themeColor="text1"/>
          <w:sz w:val="24"/>
        </w:rPr>
        <w:t>，</w:t>
      </w:r>
      <w:r w:rsidR="00840CFB" w:rsidRPr="00E224E9">
        <w:rPr>
          <w:rFonts w:ascii="華康仿宋體W6" w:eastAsia="華康仿宋體W6" w:hint="eastAsia"/>
          <w:color w:val="000000" w:themeColor="text1"/>
          <w:sz w:val="24"/>
        </w:rPr>
        <w:t>其風險係數</w:t>
      </w:r>
      <w:r w:rsidR="002329C1" w:rsidRPr="00E224E9">
        <w:rPr>
          <w:rFonts w:ascii="華康仿宋體W6" w:eastAsia="華康仿宋體W6" w:hint="eastAsia"/>
          <w:color w:val="000000" w:themeColor="text1"/>
          <w:sz w:val="24"/>
          <w:u w:val="single"/>
        </w:rPr>
        <w:t>按申請展延期限(年)</w:t>
      </w:r>
      <w:r w:rsidR="002329C1" w:rsidRPr="00E224E9">
        <w:rPr>
          <w:rFonts w:ascii="華康仿宋體W6" w:eastAsia="華康仿宋體W6" w:hint="eastAsia"/>
          <w:b/>
          <w:color w:val="000000" w:themeColor="text1"/>
          <w:sz w:val="24"/>
          <w:u w:val="single"/>
        </w:rPr>
        <w:t>每年末</w:t>
      </w:r>
      <w:r w:rsidR="00840CFB" w:rsidRPr="00E224E9">
        <w:rPr>
          <w:rFonts w:ascii="華康仿宋體W6" w:eastAsia="華康仿宋體W6" w:hint="eastAsia"/>
          <w:bCs/>
          <w:color w:val="000000" w:themeColor="text1"/>
          <w:sz w:val="24"/>
          <w:u w:val="single"/>
          <w:shd w:val="clear" w:color="auto" w:fill="D9D9D9"/>
        </w:rPr>
        <w:t>再</w:t>
      </w:r>
      <w:r w:rsidR="00840CFB" w:rsidRPr="00E224E9">
        <w:rPr>
          <w:rFonts w:ascii="華康仿宋體W6" w:eastAsia="華康仿宋體W6" w:hint="eastAsia"/>
          <w:bCs/>
          <w:color w:val="000000" w:themeColor="text1"/>
          <w:sz w:val="24"/>
          <w:u w:val="single"/>
        </w:rPr>
        <w:t>加計</w:t>
      </w:r>
      <w:r w:rsidR="00840CFB" w:rsidRPr="00E224E9">
        <w:rPr>
          <w:rFonts w:ascii="華康仿宋體W6" w:eastAsia="華康仿宋體W6" w:hint="eastAsia"/>
          <w:color w:val="000000" w:themeColor="text1"/>
          <w:sz w:val="24"/>
        </w:rPr>
        <w:t>現行所定不動產風險係數</w:t>
      </w:r>
      <w:r w:rsidR="00840CFB" w:rsidRPr="00E224E9">
        <w:rPr>
          <w:rFonts w:ascii="華康仿宋體W6" w:eastAsia="華康仿宋體W6" w:hint="eastAsia"/>
          <w:bCs/>
          <w:color w:val="000000" w:themeColor="text1"/>
          <w:sz w:val="24"/>
        </w:rPr>
        <w:t>40%</w:t>
      </w:r>
      <w:r w:rsidR="00840CFB" w:rsidRPr="00E224E9">
        <w:rPr>
          <w:rFonts w:ascii="華康仿宋體W6" w:eastAsia="華康仿宋體W6" w:hint="eastAsia"/>
          <w:color w:val="000000" w:themeColor="text1"/>
          <w:sz w:val="24"/>
        </w:rPr>
        <w:t>計算。</w:t>
      </w:r>
    </w:p>
    <w:p w14:paraId="4FDC58FB" w14:textId="10CD9874" w:rsidR="00840CFB" w:rsidRPr="00E224E9" w:rsidRDefault="00C10DC4" w:rsidP="004373AD">
      <w:pPr>
        <w:widowControl/>
        <w:numPr>
          <w:ilvl w:val="0"/>
          <w:numId w:val="29"/>
        </w:numPr>
        <w:spacing w:line="500" w:lineRule="exact"/>
        <w:rPr>
          <w:rFonts w:ascii="華康仿宋體W6" w:eastAsia="華康仿宋體W6"/>
          <w:color w:val="000000" w:themeColor="text1"/>
          <w:sz w:val="24"/>
        </w:rPr>
      </w:pPr>
      <w:r w:rsidRPr="00E224E9">
        <w:rPr>
          <w:rFonts w:ascii="華康仿宋體W6" w:eastAsia="華康仿宋體W6" w:hint="eastAsia"/>
          <w:color w:val="000000" w:themeColor="text1"/>
          <w:sz w:val="24"/>
        </w:rPr>
        <w:t>不動產未能符合即時利用並有收益認定</w:t>
      </w:r>
      <w:bookmarkStart w:id="174" w:name="_Hlk102642321"/>
      <w:r w:rsidR="00473E9F" w:rsidRPr="00E224E9">
        <w:rPr>
          <w:rFonts w:ascii="華康仿宋體W6" w:eastAsia="華康仿宋體W6" w:hint="eastAsia"/>
          <w:color w:val="000000" w:themeColor="text1"/>
          <w:sz w:val="24"/>
        </w:rPr>
        <w:t>基</w:t>
      </w:r>
      <w:bookmarkEnd w:id="174"/>
      <w:r w:rsidRPr="00E224E9">
        <w:rPr>
          <w:rFonts w:ascii="華康仿宋體W6" w:eastAsia="華康仿宋體W6" w:hint="eastAsia"/>
          <w:color w:val="000000" w:themeColor="text1"/>
          <w:sz w:val="24"/>
        </w:rPr>
        <w:t>準者(包含不動產未達可用狀態但已開發中者，如在建工程或未完工程)</w:t>
      </w:r>
      <w:r w:rsidR="00840CFB" w:rsidRPr="00E224E9">
        <w:rPr>
          <w:rFonts w:ascii="華康仿宋體W6" w:eastAsia="華康仿宋體W6" w:hint="eastAsia"/>
          <w:color w:val="000000" w:themeColor="text1"/>
          <w:sz w:val="24"/>
        </w:rPr>
        <w:t>，其風險係數</w:t>
      </w:r>
      <w:r w:rsidR="001C54E3" w:rsidRPr="00E224E9">
        <w:rPr>
          <w:rFonts w:ascii="華康仿宋體W6" w:eastAsia="華康仿宋體W6" w:hint="eastAsia"/>
          <w:bCs/>
          <w:color w:val="000000" w:themeColor="text1"/>
          <w:sz w:val="24"/>
          <w:u w:val="single"/>
        </w:rPr>
        <w:t>按申請展延期限(年)</w:t>
      </w:r>
      <w:r w:rsidR="001C54E3" w:rsidRPr="00E224E9">
        <w:rPr>
          <w:rFonts w:ascii="華康仿宋體W6" w:eastAsia="華康仿宋體W6" w:hint="eastAsia"/>
          <w:b/>
          <w:bCs/>
          <w:color w:val="000000" w:themeColor="text1"/>
          <w:sz w:val="24"/>
          <w:u w:val="single"/>
        </w:rPr>
        <w:t>每年末</w:t>
      </w:r>
      <w:r w:rsidR="00840CFB" w:rsidRPr="00E224E9">
        <w:rPr>
          <w:rFonts w:ascii="華康仿宋體W6" w:eastAsia="華康仿宋體W6" w:hint="eastAsia"/>
          <w:bCs/>
          <w:color w:val="000000" w:themeColor="text1"/>
          <w:sz w:val="24"/>
          <w:u w:val="single"/>
        </w:rPr>
        <w:t>加計</w:t>
      </w:r>
      <w:r w:rsidR="00840CFB" w:rsidRPr="00E224E9">
        <w:rPr>
          <w:rFonts w:ascii="華康仿宋體W6" w:eastAsia="華康仿宋體W6" w:hint="eastAsia"/>
          <w:color w:val="000000" w:themeColor="text1"/>
          <w:sz w:val="24"/>
        </w:rPr>
        <w:t>現行所定不動產風險係數</w:t>
      </w:r>
      <w:r w:rsidR="00840CFB" w:rsidRPr="00E224E9">
        <w:rPr>
          <w:rFonts w:ascii="華康仿宋體W6" w:eastAsia="華康仿宋體W6" w:hint="eastAsia"/>
          <w:bCs/>
          <w:color w:val="000000" w:themeColor="text1"/>
          <w:sz w:val="24"/>
        </w:rPr>
        <w:t>40%</w:t>
      </w:r>
      <w:r w:rsidR="00840CFB" w:rsidRPr="00E224E9">
        <w:rPr>
          <w:rFonts w:ascii="華康仿宋體W6" w:eastAsia="華康仿宋體W6" w:hint="eastAsia"/>
          <w:color w:val="000000" w:themeColor="text1"/>
          <w:sz w:val="24"/>
        </w:rPr>
        <w:t>計算。</w:t>
      </w:r>
    </w:p>
    <w:p w14:paraId="534E837A" w14:textId="2E5173FE" w:rsidR="00F5027E" w:rsidRPr="00E224E9" w:rsidRDefault="00F80861" w:rsidP="004373AD">
      <w:pPr>
        <w:widowControl/>
        <w:numPr>
          <w:ilvl w:val="0"/>
          <w:numId w:val="29"/>
        </w:numPr>
        <w:spacing w:line="500" w:lineRule="exact"/>
        <w:rPr>
          <w:rFonts w:ascii="華康仿宋體W6" w:eastAsia="華康仿宋體W6"/>
          <w:color w:val="000000" w:themeColor="text1"/>
          <w:sz w:val="24"/>
        </w:rPr>
      </w:pPr>
      <w:r w:rsidRPr="00E224E9">
        <w:rPr>
          <w:rFonts w:ascii="華康仿宋體W6" w:eastAsia="華康仿宋體W6" w:hint="eastAsia"/>
          <w:color w:val="000000" w:themeColor="text1"/>
          <w:sz w:val="24"/>
        </w:rPr>
        <w:t>申請展延期限(年)以申請展延核准日為起算日，於滿一年後記入1次，若展延期限超過1年者則繼續累計加計次數。</w:t>
      </w:r>
    </w:p>
    <w:p w14:paraId="05DBA594" w14:textId="4F9564D7" w:rsidR="00871CA2" w:rsidRPr="00E224E9" w:rsidRDefault="00871CA2" w:rsidP="004373AD">
      <w:pPr>
        <w:widowControl/>
        <w:numPr>
          <w:ilvl w:val="0"/>
          <w:numId w:val="29"/>
        </w:numPr>
        <w:spacing w:line="500" w:lineRule="exact"/>
        <w:rPr>
          <w:rFonts w:ascii="華康仿宋體W6" w:eastAsia="華康仿宋體W6"/>
          <w:color w:val="000000" w:themeColor="text1"/>
          <w:sz w:val="24"/>
        </w:rPr>
      </w:pPr>
      <w:bookmarkStart w:id="175" w:name="_Hlk102642330"/>
      <w:r w:rsidRPr="00E224E9">
        <w:rPr>
          <w:rFonts w:ascii="華康仿宋體W6" w:eastAsia="華康仿宋體W6" w:hint="eastAsia"/>
          <w:color w:val="000000" w:themeColor="text1"/>
          <w:sz w:val="24"/>
        </w:rPr>
        <w:t>依據「保險業辦理不動產投資管理辦法」第5條併入群組管理之不動產，請以合併後群組整體之情形認定是否符合即時利用並有收益。</w:t>
      </w:r>
    </w:p>
    <w:bookmarkEnd w:id="175"/>
    <w:p w14:paraId="0CD4367F" w14:textId="77777777" w:rsidR="00871CA2" w:rsidRPr="00E224E9" w:rsidRDefault="00871CA2" w:rsidP="00F80861">
      <w:pPr>
        <w:spacing w:line="500" w:lineRule="exact"/>
        <w:rPr>
          <w:rFonts w:ascii="華康仿宋體W6" w:eastAsia="華康仿宋體W6"/>
          <w:color w:val="000000" w:themeColor="text1"/>
          <w:sz w:val="24"/>
        </w:rPr>
      </w:pPr>
    </w:p>
    <w:p w14:paraId="0616C78D" w14:textId="314A5CBB" w:rsidR="00840CFB" w:rsidRPr="00E224E9" w:rsidRDefault="00840CFB" w:rsidP="00F80861">
      <w:pPr>
        <w:spacing w:line="500" w:lineRule="exact"/>
        <w:rPr>
          <w:rFonts w:ascii="華康仿宋體W6" w:eastAsia="華康仿宋體W6"/>
          <w:color w:val="000000" w:themeColor="text1"/>
          <w:sz w:val="24"/>
        </w:rPr>
      </w:pPr>
      <w:r w:rsidRPr="00E224E9">
        <w:rPr>
          <w:rFonts w:ascii="華康仿宋體W6" w:eastAsia="華康仿宋體W6" w:hint="eastAsia"/>
          <w:color w:val="000000" w:themeColor="text1"/>
          <w:sz w:val="24"/>
        </w:rPr>
        <w:t>「</w:t>
      </w:r>
      <w:bookmarkStart w:id="176" w:name="_Hlk102642339"/>
      <w:r w:rsidR="00FF3808" w:rsidRPr="00E224E9">
        <w:rPr>
          <w:rFonts w:ascii="華康仿宋體W6" w:eastAsia="華康仿宋體W6" w:hint="eastAsia"/>
          <w:color w:val="000000" w:themeColor="text1"/>
          <w:sz w:val="24"/>
        </w:rPr>
        <w:t>保險業辦理不動產投資管理辦法</w:t>
      </w:r>
      <w:bookmarkEnd w:id="176"/>
      <w:r w:rsidRPr="00E224E9">
        <w:rPr>
          <w:rFonts w:ascii="華康仿宋體W6" w:eastAsia="華康仿宋體W6" w:hint="eastAsia"/>
          <w:color w:val="000000" w:themeColor="text1"/>
          <w:sz w:val="24"/>
        </w:rPr>
        <w:t>」係依據主管機關發布內容辦理</w:t>
      </w:r>
      <w:r w:rsidR="00254185" w:rsidRPr="00E224E9">
        <w:rPr>
          <w:rFonts w:ascii="華康仿宋體W6" w:eastAsia="華康仿宋體W6" w:hint="eastAsia"/>
          <w:color w:val="000000" w:themeColor="text1"/>
          <w:sz w:val="24"/>
        </w:rPr>
        <w:t>。</w:t>
      </w:r>
    </w:p>
    <w:p w14:paraId="32F212BD" w14:textId="77777777" w:rsidR="00065C53" w:rsidRPr="00E224E9" w:rsidRDefault="00065C53" w:rsidP="00CF6554">
      <w:pPr>
        <w:spacing w:line="400" w:lineRule="exact"/>
        <w:rPr>
          <w:rFonts w:ascii="Book Antiqua" w:eastAsia="華康仿宋體W6" w:hAnsi="Book Antiqua"/>
          <w:color w:val="000000" w:themeColor="text1"/>
        </w:rPr>
      </w:pPr>
    </w:p>
    <w:p w14:paraId="0BC59E13" w14:textId="77777777" w:rsidR="00C52D07" w:rsidRPr="00E224E9" w:rsidRDefault="00C52D07">
      <w:pPr>
        <w:rPr>
          <w:color w:val="000000" w:themeColor="text1"/>
        </w:rPr>
      </w:pPr>
    </w:p>
    <w:p w14:paraId="374E0855" w14:textId="77777777" w:rsidR="00065C53" w:rsidRPr="00E224E9" w:rsidRDefault="00065C53">
      <w:pPr>
        <w:rPr>
          <w:color w:val="000000" w:themeColor="text1"/>
        </w:rPr>
      </w:pPr>
    </w:p>
    <w:p w14:paraId="47A27F04" w14:textId="77777777" w:rsidR="00065C53" w:rsidRPr="00E224E9" w:rsidRDefault="00065C53">
      <w:pPr>
        <w:outlineLvl w:val="0"/>
        <w:rPr>
          <w:rFonts w:ascii="標楷體" w:hAnsi="標楷體"/>
          <w:b/>
          <w:bCs/>
          <w:color w:val="000000" w:themeColor="text1"/>
          <w:sz w:val="40"/>
          <w:szCs w:val="52"/>
        </w:rPr>
      </w:pPr>
      <w:r w:rsidRPr="00E224E9">
        <w:rPr>
          <w:color w:val="000000" w:themeColor="text1"/>
        </w:rPr>
        <w:br w:type="page"/>
      </w:r>
      <w:bookmarkStart w:id="177" w:name="_Toc200468564"/>
      <w:r w:rsidRPr="00E224E9">
        <w:rPr>
          <w:rFonts w:ascii="標楷體" w:hAnsi="標楷體"/>
          <w:b/>
          <w:bCs/>
          <w:color w:val="000000" w:themeColor="text1"/>
          <w:sz w:val="40"/>
          <w:szCs w:val="52"/>
        </w:rPr>
        <w:lastRenderedPageBreak/>
        <w:t>表30-7-5：認列未實現評價損益檢討計算表</w:t>
      </w:r>
      <w:bookmarkEnd w:id="177"/>
    </w:p>
    <w:p w14:paraId="3FEFAA00" w14:textId="77777777" w:rsidR="00065C53" w:rsidRPr="00E224E9" w:rsidRDefault="00065C53">
      <w:pPr>
        <w:pStyle w:val="aff"/>
        <w:spacing w:afterLines="0" w:line="400" w:lineRule="exact"/>
        <w:ind w:leftChars="114" w:left="296" w:firstLine="0"/>
        <w:rPr>
          <w:rFonts w:ascii="Book Antiqua" w:hAnsi="Book Antiqua"/>
          <w:color w:val="000000" w:themeColor="text1"/>
        </w:rPr>
      </w:pPr>
      <w:r w:rsidRPr="00E224E9">
        <w:rPr>
          <w:rFonts w:ascii="Book Antiqua" w:hAnsi="Book Antiqua"/>
          <w:color w:val="000000" w:themeColor="text1"/>
        </w:rPr>
        <w:t>本計算表</w:t>
      </w:r>
      <w:r w:rsidR="006338A8" w:rsidRPr="00E224E9">
        <w:rPr>
          <w:rFonts w:ascii="Book Antiqua" w:hAnsi="Book Antiqua" w:hint="eastAsia"/>
          <w:color w:val="000000" w:themeColor="text1"/>
        </w:rPr>
        <w:t>國內外之上市櫃股票、</w:t>
      </w:r>
      <w:r w:rsidR="006338A8" w:rsidRPr="00E224E9">
        <w:rPr>
          <w:rFonts w:ascii="Book Antiqua" w:hAnsi="Book Antiqua" w:hint="eastAsia"/>
          <w:color w:val="000000" w:themeColor="text1"/>
        </w:rPr>
        <w:t>ETF</w:t>
      </w:r>
      <w:r w:rsidR="006338A8" w:rsidRPr="00E224E9">
        <w:rPr>
          <w:rFonts w:ascii="Book Antiqua" w:hAnsi="Book Antiqua" w:hint="eastAsia"/>
          <w:color w:val="000000" w:themeColor="text1"/>
        </w:rPr>
        <w:t>股票型、股票型共同基金、平衡型共同基金</w:t>
      </w:r>
      <w:r w:rsidR="008104D8" w:rsidRPr="00E224E9">
        <w:rPr>
          <w:rFonts w:ascii="Book Antiqua" w:hAnsi="Book Antiqua" w:hint="eastAsia"/>
          <w:color w:val="000000" w:themeColor="text1"/>
        </w:rPr>
        <w:t>及多重資產型基金</w:t>
      </w:r>
      <w:r w:rsidR="009A2DB2" w:rsidRPr="00E224E9">
        <w:rPr>
          <w:rFonts w:ascii="Book Antiqua" w:hAnsi="Book Antiqua"/>
          <w:color w:val="000000" w:themeColor="text1"/>
        </w:rPr>
        <w:t>之規範係依照</w:t>
      </w:r>
      <w:r w:rsidRPr="00E224E9">
        <w:rPr>
          <w:rFonts w:ascii="Book Antiqua" w:hAnsi="Book Antiqua"/>
          <w:color w:val="000000" w:themeColor="text1"/>
        </w:rPr>
        <w:t>金融監督管理委員會之金管保財字第</w:t>
      </w:r>
      <w:r w:rsidRPr="00E224E9">
        <w:rPr>
          <w:rFonts w:ascii="Book Antiqua" w:hAnsi="Book Antiqua"/>
          <w:color w:val="000000" w:themeColor="text1"/>
        </w:rPr>
        <w:t>10102517010</w:t>
      </w:r>
      <w:r w:rsidRPr="00E224E9">
        <w:rPr>
          <w:rFonts w:ascii="Book Antiqua" w:hAnsi="Book Antiqua"/>
          <w:color w:val="000000" w:themeColor="text1"/>
        </w:rPr>
        <w:t>號函辦理。</w:t>
      </w:r>
    </w:p>
    <w:p w14:paraId="68598AE7" w14:textId="77777777" w:rsidR="00065C53" w:rsidRPr="00E224E9" w:rsidRDefault="004076BB" w:rsidP="00C32AAC">
      <w:pPr>
        <w:pStyle w:val="aff"/>
        <w:spacing w:beforeLines="100" w:before="240" w:afterLines="100" w:after="240" w:line="400" w:lineRule="exact"/>
        <w:ind w:leftChars="109" w:left="283" w:firstLine="0"/>
        <w:rPr>
          <w:rFonts w:ascii="Book Antiqua" w:hAnsi="Book Antiqua"/>
          <w:color w:val="000000" w:themeColor="text1"/>
        </w:rPr>
      </w:pPr>
      <w:r w:rsidRPr="00E224E9">
        <w:rPr>
          <w:rFonts w:ascii="Book Antiqua" w:hAnsi="Book Antiqua" w:hint="eastAsia"/>
          <w:color w:val="000000" w:themeColor="text1"/>
        </w:rPr>
        <w:t>上市櫃</w:t>
      </w:r>
      <w:r w:rsidR="00065C53" w:rsidRPr="00E224E9">
        <w:rPr>
          <w:rFonts w:ascii="Book Antiqua" w:hAnsi="Book Antiqua"/>
          <w:color w:val="000000" w:themeColor="text1"/>
        </w:rPr>
        <w:t>股票之未實現損益認列方式從評估日收盤價調整為依資產負債表日前半年每日收盤價計算之算術平均價格，相關計算方式如下：</w:t>
      </w:r>
    </w:p>
    <w:p w14:paraId="4E32B601" w14:textId="77777777" w:rsidR="00065C53" w:rsidRPr="00E224E9" w:rsidRDefault="00065C53" w:rsidP="004373AD">
      <w:pPr>
        <w:pStyle w:val="aff"/>
        <w:numPr>
          <w:ilvl w:val="0"/>
          <w:numId w:val="25"/>
        </w:numPr>
        <w:spacing w:afterLines="0" w:line="400" w:lineRule="exact"/>
        <w:rPr>
          <w:rFonts w:ascii="Book Antiqua" w:hAnsi="Book Antiqua"/>
          <w:color w:val="000000" w:themeColor="text1"/>
        </w:rPr>
      </w:pPr>
      <w:r w:rsidRPr="00E224E9">
        <w:rPr>
          <w:rFonts w:ascii="Book Antiqua" w:hAnsi="Book Antiqua"/>
          <w:color w:val="000000" w:themeColor="text1"/>
        </w:rPr>
        <w:t>國內外之</w:t>
      </w:r>
      <w:r w:rsidR="005A17A4" w:rsidRPr="00E224E9">
        <w:rPr>
          <w:rFonts w:ascii="Book Antiqua" w:hAnsi="Book Antiqua" w:hint="eastAsia"/>
          <w:color w:val="000000" w:themeColor="text1"/>
        </w:rPr>
        <w:t>上市櫃</w:t>
      </w:r>
      <w:r w:rsidRPr="00E224E9">
        <w:rPr>
          <w:rFonts w:ascii="Book Antiqua" w:hAnsi="Book Antiqua"/>
          <w:color w:val="000000" w:themeColor="text1"/>
        </w:rPr>
        <w:t>股票、</w:t>
      </w:r>
      <w:r w:rsidRPr="00E224E9">
        <w:rPr>
          <w:rFonts w:ascii="Book Antiqua" w:hAnsi="Book Antiqua"/>
          <w:color w:val="000000" w:themeColor="text1"/>
        </w:rPr>
        <w:t>ETF</w:t>
      </w:r>
      <w:r w:rsidRPr="00E224E9">
        <w:rPr>
          <w:rFonts w:ascii="Book Antiqua" w:hAnsi="Book Antiqua"/>
          <w:color w:val="000000" w:themeColor="text1"/>
        </w:rPr>
        <w:t>股票型、股票型共同基金、平衡型共同基</w:t>
      </w:r>
      <w:r w:rsidR="006338A8" w:rsidRPr="00E224E9">
        <w:rPr>
          <w:rFonts w:ascii="Book Antiqua" w:hAnsi="Book Antiqua" w:hint="eastAsia"/>
          <w:color w:val="000000" w:themeColor="text1"/>
        </w:rPr>
        <w:t>金</w:t>
      </w:r>
      <w:r w:rsidR="0049273A" w:rsidRPr="00E224E9">
        <w:rPr>
          <w:rFonts w:ascii="Book Antiqua" w:hAnsi="Book Antiqua" w:hint="eastAsia"/>
          <w:color w:val="000000" w:themeColor="text1"/>
        </w:rPr>
        <w:t>及多重資產型基金</w:t>
      </w:r>
      <w:r w:rsidRPr="00E224E9">
        <w:rPr>
          <w:rFonts w:ascii="Book Antiqua" w:hAnsi="Book Antiqua"/>
          <w:color w:val="000000" w:themeColor="text1"/>
        </w:rPr>
        <w:t>之未實現損益一律以半年平均價評價。</w:t>
      </w:r>
    </w:p>
    <w:p w14:paraId="0A7D2865" w14:textId="77777777" w:rsidR="00065C53" w:rsidRPr="00E224E9" w:rsidRDefault="00065C53" w:rsidP="004373AD">
      <w:pPr>
        <w:pStyle w:val="aff"/>
        <w:numPr>
          <w:ilvl w:val="0"/>
          <w:numId w:val="25"/>
        </w:numPr>
        <w:spacing w:afterLines="0" w:line="400" w:lineRule="exact"/>
        <w:rPr>
          <w:rFonts w:ascii="標楷體" w:hAnsi="標楷體"/>
          <w:color w:val="000000" w:themeColor="text1"/>
        </w:rPr>
      </w:pPr>
      <w:r w:rsidRPr="00E224E9">
        <w:rPr>
          <w:rFonts w:ascii="Book Antiqua" w:hAnsi="Book Antiqua"/>
          <w:color w:val="000000" w:themeColor="text1"/>
        </w:rPr>
        <w:t>風險部位：關於股票之資產風險</w:t>
      </w:r>
      <w:r w:rsidR="003C2392" w:rsidRPr="00E224E9">
        <w:rPr>
          <w:rFonts w:ascii="Book Antiqua" w:hAnsi="Book Antiqua" w:hint="eastAsia"/>
          <w:color w:val="000000" w:themeColor="text1"/>
        </w:rPr>
        <w:t>(</w:t>
      </w:r>
      <w:r w:rsidRPr="00E224E9">
        <w:rPr>
          <w:rFonts w:ascii="Book Antiqua" w:hAnsi="Book Antiqua"/>
          <w:color w:val="000000" w:themeColor="text1"/>
        </w:rPr>
        <w:t>C1</w:t>
      </w:r>
      <w:r w:rsidR="003C2392" w:rsidRPr="00E224E9">
        <w:rPr>
          <w:rFonts w:ascii="Book Antiqua" w:hAnsi="Book Antiqua" w:hint="eastAsia"/>
          <w:color w:val="000000" w:themeColor="text1"/>
        </w:rPr>
        <w:t>)</w:t>
      </w:r>
      <w:r w:rsidRPr="00E224E9">
        <w:rPr>
          <w:rFonts w:ascii="Book Antiqua" w:hAnsi="Book Antiqua"/>
          <w:color w:val="000000" w:themeColor="text1"/>
        </w:rPr>
        <w:t>部位及股票評價調整影響之利率風險</w:t>
      </w:r>
      <w:r w:rsidR="003C2392" w:rsidRPr="00E224E9">
        <w:rPr>
          <w:rFonts w:ascii="Book Antiqua" w:hAnsi="Book Antiqua" w:hint="eastAsia"/>
          <w:color w:val="000000" w:themeColor="text1"/>
        </w:rPr>
        <w:t>(</w:t>
      </w:r>
      <w:r w:rsidRPr="00E224E9">
        <w:rPr>
          <w:rFonts w:ascii="Book Antiqua" w:hAnsi="Book Antiqua"/>
          <w:color w:val="000000" w:themeColor="text1"/>
        </w:rPr>
        <w:t>C3</w:t>
      </w:r>
      <w:r w:rsidR="003C2392" w:rsidRPr="00E224E9">
        <w:rPr>
          <w:rFonts w:ascii="Book Antiqua" w:hAnsi="Book Antiqua" w:hint="eastAsia"/>
          <w:color w:val="000000" w:themeColor="text1"/>
        </w:rPr>
        <w:t>)</w:t>
      </w:r>
      <w:r w:rsidRPr="00E224E9">
        <w:rPr>
          <w:rFonts w:ascii="Book Antiqua" w:hAnsi="Book Antiqua"/>
          <w:color w:val="000000" w:themeColor="text1"/>
        </w:rPr>
        <w:t>均需配合調整，亦即採與上述未實現損益認列方式相同之評價方式。</w:t>
      </w:r>
    </w:p>
    <w:p w14:paraId="7E8370F8" w14:textId="77777777" w:rsidR="00065C53" w:rsidRPr="00E224E9" w:rsidRDefault="00065C53">
      <w:pPr>
        <w:rPr>
          <w:color w:val="000000" w:themeColor="text1"/>
        </w:rPr>
      </w:pPr>
    </w:p>
    <w:p w14:paraId="1391E8D6" w14:textId="77777777" w:rsidR="004076BB" w:rsidRPr="00E224E9" w:rsidRDefault="004076BB" w:rsidP="004076BB">
      <w:pPr>
        <w:pStyle w:val="aff"/>
        <w:spacing w:beforeLines="100" w:before="240" w:afterLines="100" w:after="240" w:line="400" w:lineRule="exact"/>
        <w:ind w:leftChars="109" w:left="283" w:firstLine="0"/>
        <w:rPr>
          <w:rFonts w:ascii="Book Antiqua" w:hAnsi="Book Antiqua"/>
          <w:color w:val="000000" w:themeColor="text1"/>
        </w:rPr>
      </w:pPr>
      <w:r w:rsidRPr="00E224E9">
        <w:rPr>
          <w:rFonts w:ascii="Book Antiqua" w:hAnsi="Book Antiqua" w:hint="eastAsia"/>
          <w:color w:val="000000" w:themeColor="text1"/>
        </w:rPr>
        <w:t>未上市櫃</w:t>
      </w:r>
      <w:r w:rsidRPr="00E224E9">
        <w:rPr>
          <w:rFonts w:ascii="Book Antiqua" w:hAnsi="Book Antiqua"/>
          <w:color w:val="000000" w:themeColor="text1"/>
        </w:rPr>
        <w:t>股票之未實現</w:t>
      </w:r>
      <w:r w:rsidRPr="00E224E9">
        <w:rPr>
          <w:rFonts w:ascii="Book Antiqua" w:hAnsi="Book Antiqua" w:hint="eastAsia"/>
          <w:color w:val="000000" w:themeColor="text1"/>
        </w:rPr>
        <w:t>評價</w:t>
      </w:r>
      <w:r w:rsidRPr="00E224E9">
        <w:rPr>
          <w:rFonts w:ascii="Book Antiqua" w:hAnsi="Book Antiqua"/>
          <w:color w:val="000000" w:themeColor="text1"/>
        </w:rPr>
        <w:t>損益</w:t>
      </w:r>
      <w:r w:rsidR="005A17A4" w:rsidRPr="00E224E9">
        <w:rPr>
          <w:rFonts w:ascii="Book Antiqua" w:hAnsi="Book Antiqua" w:hint="eastAsia"/>
          <w:color w:val="000000" w:themeColor="text1"/>
        </w:rPr>
        <w:t>「</w:t>
      </w:r>
      <w:r w:rsidR="00C655CE" w:rsidRPr="00E224E9">
        <w:rPr>
          <w:rFonts w:ascii="Book Antiqua" w:hAnsi="Book Antiqua" w:hint="eastAsia"/>
          <w:color w:val="000000" w:themeColor="text1"/>
        </w:rPr>
        <w:t>自有資本調整數</w:t>
      </w:r>
      <w:r w:rsidR="005A17A4" w:rsidRPr="00E224E9">
        <w:rPr>
          <w:rFonts w:ascii="Book Antiqua" w:hAnsi="Book Antiqua" w:hint="eastAsia"/>
          <w:color w:val="000000" w:themeColor="text1"/>
        </w:rPr>
        <w:t>」</w:t>
      </w:r>
      <w:r w:rsidRPr="00E224E9">
        <w:rPr>
          <w:rFonts w:ascii="Book Antiqua" w:hAnsi="Book Antiqua"/>
          <w:color w:val="000000" w:themeColor="text1"/>
        </w:rPr>
        <w:t>相關計算方式如下：</w:t>
      </w:r>
    </w:p>
    <w:p w14:paraId="5F9E0E44" w14:textId="77777777" w:rsidR="004076BB" w:rsidRPr="00E224E9" w:rsidRDefault="004076BB" w:rsidP="004373AD">
      <w:pPr>
        <w:pStyle w:val="aff"/>
        <w:numPr>
          <w:ilvl w:val="0"/>
          <w:numId w:val="38"/>
        </w:numPr>
        <w:spacing w:afterLines="0" w:line="400" w:lineRule="exact"/>
        <w:rPr>
          <w:rFonts w:ascii="Book Antiqua" w:hAnsi="Book Antiqua"/>
          <w:color w:val="000000" w:themeColor="text1"/>
        </w:rPr>
      </w:pPr>
      <w:r w:rsidRPr="00E224E9">
        <w:rPr>
          <w:rFonts w:ascii="Book Antiqua" w:hAnsi="Book Antiqua" w:hint="eastAsia"/>
          <w:color w:val="000000" w:themeColor="text1"/>
        </w:rPr>
        <w:t>「未實現</w:t>
      </w:r>
      <w:r w:rsidR="00C655CE" w:rsidRPr="00E224E9">
        <w:rPr>
          <w:rFonts w:ascii="Book Antiqua" w:hAnsi="Book Antiqua" w:hint="eastAsia"/>
          <w:color w:val="000000" w:themeColor="text1"/>
        </w:rPr>
        <w:t>評價</w:t>
      </w:r>
      <w:r w:rsidRPr="00E224E9">
        <w:rPr>
          <w:rFonts w:ascii="Book Antiqua" w:hAnsi="Book Antiqua" w:hint="eastAsia"/>
          <w:color w:val="000000" w:themeColor="text1"/>
        </w:rPr>
        <w:t>利益</w:t>
      </w:r>
      <w:r w:rsidRPr="00E224E9">
        <w:rPr>
          <w:rFonts w:ascii="Book Antiqua" w:hAnsi="Book Antiqua" w:hint="eastAsia"/>
          <w:color w:val="000000" w:themeColor="text1"/>
        </w:rPr>
        <w:t>&gt;</w:t>
      </w:r>
      <w:r w:rsidRPr="00E224E9">
        <w:rPr>
          <w:rFonts w:ascii="Book Antiqua" w:hAnsi="Book Antiqua" w:hint="eastAsia"/>
          <w:color w:val="000000" w:themeColor="text1"/>
        </w:rPr>
        <w:t>非認許資產」時，</w:t>
      </w:r>
      <w:r w:rsidR="00C655CE" w:rsidRPr="00E224E9">
        <w:rPr>
          <w:rFonts w:ascii="Book Antiqua" w:hAnsi="Book Antiqua" w:hint="eastAsia"/>
          <w:color w:val="000000" w:themeColor="text1"/>
        </w:rPr>
        <w:t>為第</w:t>
      </w:r>
      <w:r w:rsidR="00C655CE" w:rsidRPr="00E224E9">
        <w:rPr>
          <w:rFonts w:ascii="Book Antiqua" w:hAnsi="Book Antiqua" w:hint="eastAsia"/>
          <w:color w:val="000000" w:themeColor="text1"/>
        </w:rPr>
        <w:t>(11)</w:t>
      </w:r>
      <w:r w:rsidR="00C655CE" w:rsidRPr="00E224E9">
        <w:rPr>
          <w:rFonts w:ascii="Book Antiqua" w:hAnsi="Book Antiqua" w:hint="eastAsia"/>
          <w:color w:val="000000" w:themeColor="text1"/>
        </w:rPr>
        <w:t>欄</w:t>
      </w:r>
      <w:r w:rsidR="005A17A4" w:rsidRPr="00E224E9">
        <w:rPr>
          <w:rFonts w:ascii="Book Antiqua" w:hAnsi="Book Antiqua" w:hint="eastAsia"/>
          <w:color w:val="000000" w:themeColor="text1"/>
        </w:rPr>
        <w:t>－</w:t>
      </w:r>
      <w:r w:rsidR="00C655CE" w:rsidRPr="00E224E9">
        <w:rPr>
          <w:rFonts w:ascii="Book Antiqua" w:hAnsi="Book Antiqua" w:hint="eastAsia"/>
          <w:color w:val="000000" w:themeColor="text1"/>
        </w:rPr>
        <w:t>未實現評價利益減</w:t>
      </w:r>
      <w:r w:rsidR="005A17A4" w:rsidRPr="00E224E9">
        <w:rPr>
          <w:rFonts w:ascii="Book Antiqua" w:hAnsi="Book Antiqua" w:hint="eastAsia"/>
          <w:color w:val="000000" w:themeColor="text1"/>
        </w:rPr>
        <w:t>去</w:t>
      </w:r>
      <w:r w:rsidR="00C655CE" w:rsidRPr="00E224E9">
        <w:rPr>
          <w:rFonts w:ascii="Book Antiqua" w:hAnsi="Book Antiqua" w:hint="eastAsia"/>
          <w:color w:val="000000" w:themeColor="text1"/>
        </w:rPr>
        <w:t>第</w:t>
      </w:r>
      <w:r w:rsidR="00C655CE" w:rsidRPr="00E224E9">
        <w:rPr>
          <w:rFonts w:ascii="Book Antiqua" w:hAnsi="Book Antiqua" w:hint="eastAsia"/>
          <w:color w:val="000000" w:themeColor="text1"/>
        </w:rPr>
        <w:t>(12)</w:t>
      </w:r>
      <w:r w:rsidR="00C655CE" w:rsidRPr="00E224E9">
        <w:rPr>
          <w:rFonts w:ascii="Book Antiqua" w:hAnsi="Book Antiqua" w:hint="eastAsia"/>
          <w:color w:val="000000" w:themeColor="text1"/>
        </w:rPr>
        <w:t>欄</w:t>
      </w:r>
      <w:r w:rsidR="005A17A4" w:rsidRPr="00E224E9">
        <w:rPr>
          <w:rFonts w:ascii="Book Antiqua" w:hAnsi="Book Antiqua" w:hint="eastAsia"/>
          <w:color w:val="000000" w:themeColor="text1"/>
        </w:rPr>
        <w:t>－</w:t>
      </w:r>
      <w:r w:rsidR="00C655CE" w:rsidRPr="00E224E9">
        <w:rPr>
          <w:rFonts w:ascii="Book Antiqua" w:hAnsi="Book Antiqua" w:hint="eastAsia"/>
          <w:color w:val="000000" w:themeColor="text1"/>
        </w:rPr>
        <w:t>非認許資產</w:t>
      </w:r>
      <w:r w:rsidR="005A17A4" w:rsidRPr="00E224E9">
        <w:rPr>
          <w:rFonts w:ascii="Book Antiqua" w:hAnsi="Book Antiqua" w:hint="eastAsia"/>
          <w:color w:val="000000" w:themeColor="text1"/>
        </w:rPr>
        <w:t>之金額</w:t>
      </w:r>
      <w:r w:rsidRPr="00E224E9">
        <w:rPr>
          <w:rFonts w:ascii="Book Antiqua" w:hAnsi="Book Antiqua"/>
          <w:color w:val="000000" w:themeColor="text1"/>
        </w:rPr>
        <w:t>。</w:t>
      </w:r>
    </w:p>
    <w:p w14:paraId="4D962D34" w14:textId="77777777" w:rsidR="004076BB" w:rsidRPr="00E224E9" w:rsidRDefault="00C655CE" w:rsidP="004373AD">
      <w:pPr>
        <w:pStyle w:val="aff"/>
        <w:numPr>
          <w:ilvl w:val="0"/>
          <w:numId w:val="38"/>
        </w:numPr>
        <w:spacing w:afterLines="0" w:line="400" w:lineRule="exact"/>
        <w:rPr>
          <w:rFonts w:ascii="標楷體" w:hAnsi="標楷體"/>
          <w:color w:val="000000" w:themeColor="text1"/>
        </w:rPr>
      </w:pPr>
      <w:r w:rsidRPr="00E224E9">
        <w:rPr>
          <w:rFonts w:ascii="Book Antiqua" w:hAnsi="Book Antiqua" w:hint="eastAsia"/>
          <w:color w:val="000000" w:themeColor="text1"/>
        </w:rPr>
        <w:t>「未實現評價利益≦非認許資產」或「未實現評價損失」時，不調整</w:t>
      </w:r>
      <w:r w:rsidR="004076BB" w:rsidRPr="00E224E9">
        <w:rPr>
          <w:rFonts w:ascii="Book Antiqua" w:hAnsi="Book Antiqua"/>
          <w:color w:val="000000" w:themeColor="text1"/>
        </w:rPr>
        <w:t>。</w:t>
      </w:r>
    </w:p>
    <w:p w14:paraId="15511051" w14:textId="77777777" w:rsidR="00065C53" w:rsidRPr="00E224E9" w:rsidRDefault="00065C53">
      <w:pPr>
        <w:rPr>
          <w:color w:val="000000" w:themeColor="text1"/>
        </w:rPr>
      </w:pPr>
    </w:p>
    <w:p w14:paraId="61EBA088" w14:textId="77777777" w:rsidR="00065C53" w:rsidRPr="00E224E9" w:rsidRDefault="00065C53">
      <w:pPr>
        <w:rPr>
          <w:color w:val="000000" w:themeColor="text1"/>
        </w:rPr>
      </w:pPr>
    </w:p>
    <w:p w14:paraId="277A6896" w14:textId="77777777" w:rsidR="00065C53" w:rsidRPr="00E224E9" w:rsidRDefault="00065C53">
      <w:pPr>
        <w:rPr>
          <w:color w:val="000000" w:themeColor="text1"/>
        </w:rPr>
      </w:pPr>
    </w:p>
    <w:p w14:paraId="1E0AFA8A" w14:textId="77777777" w:rsidR="00065C53" w:rsidRPr="00E224E9" w:rsidRDefault="00065C53">
      <w:pPr>
        <w:outlineLvl w:val="0"/>
        <w:rPr>
          <w:rFonts w:ascii="標楷體" w:hAnsi="標楷體"/>
          <w:b/>
          <w:bCs/>
          <w:color w:val="000000" w:themeColor="text1"/>
          <w:sz w:val="40"/>
          <w:szCs w:val="52"/>
        </w:rPr>
      </w:pPr>
      <w:r w:rsidRPr="00E224E9">
        <w:rPr>
          <w:color w:val="000000" w:themeColor="text1"/>
        </w:rPr>
        <w:br w:type="page"/>
      </w:r>
      <w:bookmarkStart w:id="178" w:name="_Toc200468565"/>
      <w:r w:rsidRPr="00E224E9">
        <w:rPr>
          <w:rFonts w:ascii="標楷體" w:hAnsi="標楷體"/>
          <w:b/>
          <w:bCs/>
          <w:color w:val="000000" w:themeColor="text1"/>
          <w:sz w:val="40"/>
          <w:szCs w:val="52"/>
        </w:rPr>
        <w:lastRenderedPageBreak/>
        <w:t>表30-7-6：資金運用收益率調整計算表</w:t>
      </w:r>
      <w:bookmarkEnd w:id="178"/>
    </w:p>
    <w:p w14:paraId="263A54E1" w14:textId="77777777" w:rsidR="00065C53" w:rsidRPr="00E224E9" w:rsidRDefault="009A2DB2">
      <w:pPr>
        <w:pStyle w:val="aff"/>
        <w:spacing w:afterLines="0" w:line="400" w:lineRule="exact"/>
        <w:ind w:leftChars="114" w:left="296" w:firstLine="0"/>
        <w:rPr>
          <w:rFonts w:ascii="Book Antiqua" w:eastAsia="華康仿宋體W6" w:hAnsi="Book Antiqua"/>
          <w:color w:val="000000" w:themeColor="text1"/>
        </w:rPr>
      </w:pPr>
      <w:r w:rsidRPr="00E224E9">
        <w:rPr>
          <w:rFonts w:ascii="Book Antiqua" w:eastAsia="華康仿宋體W6" w:hAnsi="Book Antiqua"/>
          <w:color w:val="000000" w:themeColor="text1"/>
        </w:rPr>
        <w:t>本計算表之規範係依照</w:t>
      </w:r>
      <w:r w:rsidR="00065C53" w:rsidRPr="00E224E9">
        <w:rPr>
          <w:rFonts w:ascii="Book Antiqua" w:eastAsia="華康仿宋體W6" w:hAnsi="Book Antiqua"/>
          <w:color w:val="000000" w:themeColor="text1"/>
        </w:rPr>
        <w:t>金融監督管理委員會之金管保財字第</w:t>
      </w:r>
      <w:r w:rsidR="00065C53" w:rsidRPr="00E224E9">
        <w:rPr>
          <w:rFonts w:ascii="Book Antiqua" w:eastAsia="華康仿宋體W6" w:hAnsi="Book Antiqua"/>
          <w:color w:val="000000" w:themeColor="text1"/>
        </w:rPr>
        <w:t>10102517010</w:t>
      </w:r>
      <w:r w:rsidR="00065C53" w:rsidRPr="00E224E9">
        <w:rPr>
          <w:rFonts w:ascii="Book Antiqua" w:eastAsia="華康仿宋體W6" w:hAnsi="Book Antiqua"/>
          <w:color w:val="000000" w:themeColor="text1"/>
        </w:rPr>
        <w:t>號函辦理。</w:t>
      </w:r>
    </w:p>
    <w:p w14:paraId="26D6FFED" w14:textId="77777777" w:rsidR="00065C53" w:rsidRPr="00E224E9" w:rsidRDefault="00065C53" w:rsidP="00C32AAC">
      <w:pPr>
        <w:pStyle w:val="aff"/>
        <w:spacing w:beforeLines="100" w:before="240" w:afterLines="100" w:after="240" w:line="400" w:lineRule="exact"/>
        <w:ind w:leftChars="109" w:left="283" w:firstLine="0"/>
        <w:rPr>
          <w:rFonts w:ascii="Book Antiqua" w:eastAsia="華康仿宋體W6" w:hAnsi="Book Antiqua"/>
          <w:color w:val="000000" w:themeColor="text1"/>
        </w:rPr>
      </w:pPr>
      <w:r w:rsidRPr="00E224E9">
        <w:rPr>
          <w:rFonts w:ascii="Book Antiqua" w:eastAsia="華康仿宋體W6" w:hAnsi="Book Antiqua"/>
          <w:color w:val="000000" w:themeColor="text1"/>
        </w:rPr>
        <w:t>股票之未實現損益認列方式從評估日收盤價調整為依資產負債表日前半年每日收盤價計算之算術平均價格，相關計算方式如下：</w:t>
      </w:r>
    </w:p>
    <w:p w14:paraId="2124E5D1" w14:textId="77777777" w:rsidR="00065C53" w:rsidRPr="00E224E9" w:rsidRDefault="00065C53" w:rsidP="004373AD">
      <w:pPr>
        <w:pStyle w:val="aff"/>
        <w:numPr>
          <w:ilvl w:val="0"/>
          <w:numId w:val="28"/>
        </w:numPr>
        <w:spacing w:afterLines="0" w:line="400" w:lineRule="exact"/>
        <w:rPr>
          <w:rFonts w:ascii="Book Antiqua" w:eastAsia="華康仿宋體W6" w:hAnsi="Book Antiqua"/>
          <w:color w:val="000000" w:themeColor="text1"/>
        </w:rPr>
      </w:pPr>
      <w:r w:rsidRPr="00E224E9">
        <w:rPr>
          <w:rFonts w:ascii="Book Antiqua" w:eastAsia="華康仿宋體W6" w:hAnsi="Book Antiqua"/>
          <w:color w:val="000000" w:themeColor="text1"/>
        </w:rPr>
        <w:t>國內外之股票、</w:t>
      </w:r>
      <w:r w:rsidRPr="00E224E9">
        <w:rPr>
          <w:rFonts w:ascii="Book Antiqua" w:eastAsia="華康仿宋體W6" w:hAnsi="Book Antiqua"/>
          <w:color w:val="000000" w:themeColor="text1"/>
        </w:rPr>
        <w:t>ETF</w:t>
      </w:r>
      <w:r w:rsidRPr="00E224E9">
        <w:rPr>
          <w:rFonts w:ascii="Book Antiqua" w:eastAsia="華康仿宋體W6" w:hAnsi="Book Antiqua"/>
          <w:color w:val="000000" w:themeColor="text1"/>
        </w:rPr>
        <w:t>股票型、股票型共同基金、平衡型共同基</w:t>
      </w:r>
      <w:r w:rsidR="006338A8" w:rsidRPr="00E224E9">
        <w:rPr>
          <w:rFonts w:ascii="Book Antiqua" w:eastAsia="華康仿宋體W6" w:hAnsi="Book Antiqua" w:hint="eastAsia"/>
          <w:color w:val="000000" w:themeColor="text1"/>
        </w:rPr>
        <w:t>金</w:t>
      </w:r>
      <w:r w:rsidR="0049273A" w:rsidRPr="00E224E9">
        <w:rPr>
          <w:rFonts w:ascii="Book Antiqua" w:eastAsia="華康仿宋體W6" w:hAnsi="Book Antiqua" w:hint="eastAsia"/>
          <w:color w:val="000000" w:themeColor="text1"/>
        </w:rPr>
        <w:t>及多重資產型基金</w:t>
      </w:r>
      <w:r w:rsidRPr="00E224E9">
        <w:rPr>
          <w:rFonts w:ascii="Book Antiqua" w:eastAsia="華康仿宋體W6" w:hAnsi="Book Antiqua"/>
          <w:color w:val="000000" w:themeColor="text1"/>
        </w:rPr>
        <w:t>之未實現損益一律以半年平均價評價。</w:t>
      </w:r>
    </w:p>
    <w:p w14:paraId="1F9137AD" w14:textId="77777777" w:rsidR="00065C53" w:rsidRDefault="00065C53" w:rsidP="004373AD">
      <w:pPr>
        <w:pStyle w:val="aff"/>
        <w:numPr>
          <w:ilvl w:val="0"/>
          <w:numId w:val="28"/>
        </w:numPr>
        <w:spacing w:afterLines="0" w:line="400" w:lineRule="exact"/>
        <w:rPr>
          <w:rFonts w:ascii="Book Antiqua" w:eastAsia="華康仿宋體W6" w:hAnsi="Book Antiqua"/>
          <w:color w:val="000000" w:themeColor="text1"/>
        </w:rPr>
      </w:pPr>
      <w:r w:rsidRPr="00E224E9">
        <w:rPr>
          <w:rFonts w:ascii="Book Antiqua" w:eastAsia="華康仿宋體W6" w:hAnsi="Book Antiqua"/>
          <w:color w:val="000000" w:themeColor="text1"/>
        </w:rPr>
        <w:t>風險部位：關於股票之資產風險</w:t>
      </w:r>
      <w:r w:rsidR="001D4F69" w:rsidRPr="00E224E9">
        <w:rPr>
          <w:rFonts w:ascii="Book Antiqua" w:eastAsia="華康仿宋體W6" w:hAnsi="Book Antiqua"/>
          <w:color w:val="000000" w:themeColor="text1"/>
        </w:rPr>
        <w:t>(</w:t>
      </w:r>
      <w:r w:rsidRPr="00E224E9">
        <w:rPr>
          <w:rFonts w:ascii="Book Antiqua" w:eastAsia="華康仿宋體W6" w:hAnsi="Book Antiqua"/>
          <w:color w:val="000000" w:themeColor="text1"/>
        </w:rPr>
        <w:t>C1</w:t>
      </w:r>
      <w:r w:rsidR="001D4F69" w:rsidRPr="00E224E9">
        <w:rPr>
          <w:rFonts w:ascii="Book Antiqua" w:eastAsia="華康仿宋體W6" w:hAnsi="Book Antiqua"/>
          <w:color w:val="000000" w:themeColor="text1"/>
        </w:rPr>
        <w:t>)</w:t>
      </w:r>
      <w:r w:rsidRPr="00E224E9">
        <w:rPr>
          <w:rFonts w:ascii="Book Antiqua" w:eastAsia="華康仿宋體W6" w:hAnsi="Book Antiqua"/>
          <w:color w:val="000000" w:themeColor="text1"/>
        </w:rPr>
        <w:t>部位及股票評價調整影響之利率風險</w:t>
      </w:r>
      <w:r w:rsidR="001D4F69" w:rsidRPr="00E224E9">
        <w:rPr>
          <w:rFonts w:ascii="Book Antiqua" w:eastAsia="華康仿宋體W6" w:hAnsi="Book Antiqua"/>
          <w:color w:val="000000" w:themeColor="text1"/>
        </w:rPr>
        <w:t>(</w:t>
      </w:r>
      <w:r w:rsidRPr="00E224E9">
        <w:rPr>
          <w:rFonts w:ascii="Book Antiqua" w:eastAsia="華康仿宋體W6" w:hAnsi="Book Antiqua"/>
          <w:color w:val="000000" w:themeColor="text1"/>
        </w:rPr>
        <w:t>C3</w:t>
      </w:r>
      <w:r w:rsidR="001D4F69" w:rsidRPr="00E224E9">
        <w:rPr>
          <w:rFonts w:ascii="Book Antiqua" w:eastAsia="華康仿宋體W6" w:hAnsi="Book Antiqua"/>
          <w:color w:val="000000" w:themeColor="text1"/>
        </w:rPr>
        <w:t>)</w:t>
      </w:r>
      <w:r w:rsidRPr="00E224E9">
        <w:rPr>
          <w:rFonts w:ascii="Book Antiqua" w:eastAsia="華康仿宋體W6" w:hAnsi="Book Antiqua"/>
          <w:color w:val="000000" w:themeColor="text1"/>
        </w:rPr>
        <w:t>均需配合調整，亦即採與上述未實現損益認列方式相同之評價方式。</w:t>
      </w:r>
    </w:p>
    <w:p w14:paraId="34E654F5" w14:textId="77777777" w:rsidR="002C3ED3" w:rsidRDefault="002C3ED3" w:rsidP="002C3ED3">
      <w:pPr>
        <w:pStyle w:val="aff"/>
        <w:spacing w:afterLines="0" w:line="400" w:lineRule="exact"/>
        <w:ind w:left="480" w:firstLine="0"/>
        <w:rPr>
          <w:rFonts w:ascii="Book Antiqua" w:eastAsia="華康仿宋體W6" w:hAnsi="Book Antiqua"/>
          <w:color w:val="000000" w:themeColor="text1"/>
        </w:rPr>
      </w:pPr>
    </w:p>
    <w:p w14:paraId="4EEA2469" w14:textId="5347C505" w:rsidR="002C3ED3" w:rsidRPr="004D5D28" w:rsidRDefault="003E4B3B" w:rsidP="004D5D28">
      <w:pPr>
        <w:pStyle w:val="aff"/>
        <w:spacing w:afterLines="0" w:line="400" w:lineRule="exact"/>
        <w:ind w:left="336" w:firstLine="0"/>
        <w:rPr>
          <w:rFonts w:ascii="Book Antiqua" w:eastAsia="華康仿宋體W6" w:hAnsi="Book Antiqua"/>
          <w:color w:val="EE0000"/>
        </w:rPr>
      </w:pPr>
      <w:r>
        <w:rPr>
          <w:rFonts w:ascii="Book Antiqua" w:eastAsia="華康仿宋體W6" w:hAnsi="Book Antiqua" w:hint="eastAsia"/>
          <w:color w:val="EE0000"/>
        </w:rPr>
        <w:t>「</w:t>
      </w:r>
      <w:r w:rsidRPr="004D5D28">
        <w:rPr>
          <w:rFonts w:ascii="Book Antiqua" w:eastAsia="華康仿宋體W6" w:hAnsi="Book Antiqua" w:hint="eastAsia"/>
          <w:color w:val="EE0000"/>
        </w:rPr>
        <w:t>匯率日均價調整數</w:t>
      </w:r>
      <w:r>
        <w:rPr>
          <w:rFonts w:ascii="Book Antiqua" w:eastAsia="華康仿宋體W6" w:hAnsi="Book Antiqua" w:hint="eastAsia"/>
          <w:color w:val="EE0000"/>
        </w:rPr>
        <w:t>」為</w:t>
      </w:r>
      <w:r>
        <w:rPr>
          <w:rFonts w:ascii="Book Antiqua" w:eastAsia="華康仿宋體W6" w:hAnsi="Book Antiqua" w:hint="eastAsia"/>
          <w:color w:val="EE0000"/>
        </w:rPr>
        <w:t>114</w:t>
      </w:r>
      <w:r>
        <w:rPr>
          <w:rFonts w:ascii="Book Antiqua" w:eastAsia="華康仿宋體W6" w:hAnsi="Book Antiqua" w:hint="eastAsia"/>
          <w:color w:val="EE0000"/>
        </w:rPr>
        <w:t>年</w:t>
      </w:r>
      <w:r>
        <w:rPr>
          <w:rFonts w:ascii="Book Antiqua" w:eastAsia="華康仿宋體W6" w:hAnsi="Book Antiqua" w:hint="eastAsia"/>
          <w:color w:val="EE0000"/>
        </w:rPr>
        <w:t>6</w:t>
      </w:r>
      <w:r>
        <w:rPr>
          <w:rFonts w:ascii="Book Antiqua" w:eastAsia="華康仿宋體W6" w:hAnsi="Book Antiqua" w:hint="eastAsia"/>
          <w:color w:val="EE0000"/>
        </w:rPr>
        <w:t>月新增規範，</w:t>
      </w:r>
      <w:r w:rsidR="000F4592">
        <w:rPr>
          <w:rFonts w:ascii="Book Antiqua" w:eastAsia="華康仿宋體W6" w:hAnsi="Book Antiqua" w:hint="eastAsia"/>
          <w:color w:val="EE0000"/>
        </w:rPr>
        <w:t>「</w:t>
      </w:r>
      <w:r w:rsidR="000F4592" w:rsidRPr="000F4592">
        <w:rPr>
          <w:rFonts w:ascii="Book Antiqua" w:eastAsia="華康仿宋體W6" w:hAnsi="Book Antiqua" w:hint="eastAsia"/>
          <w:color w:val="EE0000"/>
        </w:rPr>
        <w:t>114</w:t>
      </w:r>
      <w:r w:rsidR="000F4592" w:rsidRPr="000F4592">
        <w:rPr>
          <w:rFonts w:ascii="Book Antiqua" w:eastAsia="華康仿宋體W6" w:hAnsi="Book Antiqua" w:hint="eastAsia"/>
          <w:color w:val="EE0000"/>
        </w:rPr>
        <w:t>年資金運用收益率</w:t>
      </w:r>
      <w:r w:rsidR="000F4592">
        <w:rPr>
          <w:rFonts w:ascii="Book Antiqua" w:eastAsia="華康仿宋體W6" w:hAnsi="Book Antiqua" w:hint="eastAsia"/>
          <w:color w:val="EE0000"/>
        </w:rPr>
        <w:t>」</w:t>
      </w:r>
      <w:r w:rsidR="000F4592" w:rsidRPr="000F4592">
        <w:rPr>
          <w:rFonts w:ascii="Book Antiqua" w:eastAsia="華康仿宋體W6" w:hAnsi="Book Antiqua" w:hint="eastAsia"/>
          <w:color w:val="EE0000"/>
        </w:rPr>
        <w:t>除反映股票</w:t>
      </w:r>
      <w:r w:rsidR="000F4592" w:rsidRPr="000F4592">
        <w:rPr>
          <w:rFonts w:ascii="Book Antiqua" w:eastAsia="華康仿宋體W6" w:hAnsi="Book Antiqua" w:hint="eastAsia"/>
          <w:color w:val="EE0000"/>
        </w:rPr>
        <w:t>/</w:t>
      </w:r>
      <w:r w:rsidR="000F4592" w:rsidRPr="000F4592">
        <w:rPr>
          <w:rFonts w:ascii="Book Antiqua" w:eastAsia="華康仿宋體W6" w:hAnsi="Book Antiqua" w:hint="eastAsia"/>
          <w:color w:val="EE0000"/>
        </w:rPr>
        <w:t>基金以半年平均價基礎認列未實現損益之影響金額，需再納入「匯率日均價調整數」。</w:t>
      </w:r>
      <w:r w:rsidR="000F4592" w:rsidRPr="000F4592">
        <w:rPr>
          <w:rFonts w:ascii="Book Antiqua" w:eastAsia="華康仿宋體W6" w:hAnsi="Book Antiqua" w:hint="eastAsia"/>
          <w:color w:val="EE0000"/>
        </w:rPr>
        <w:t xml:space="preserve"> </w:t>
      </w:r>
    </w:p>
    <w:p w14:paraId="2111BCE5" w14:textId="77777777" w:rsidR="004E4131" w:rsidRPr="00E224E9" w:rsidRDefault="004E4131" w:rsidP="004E4131">
      <w:pPr>
        <w:keepNext/>
        <w:pageBreakBefore/>
        <w:outlineLvl w:val="0"/>
        <w:rPr>
          <w:rFonts w:ascii="標楷體" w:hAnsi="標楷體"/>
          <w:b/>
          <w:bCs/>
          <w:color w:val="000000" w:themeColor="text1"/>
          <w:sz w:val="40"/>
          <w:szCs w:val="52"/>
        </w:rPr>
      </w:pPr>
      <w:bookmarkStart w:id="179" w:name="_Toc200468566"/>
      <w:r w:rsidRPr="00E224E9">
        <w:rPr>
          <w:rFonts w:ascii="標楷體" w:hAnsi="標楷體"/>
          <w:b/>
          <w:bCs/>
          <w:color w:val="000000" w:themeColor="text1"/>
          <w:sz w:val="40"/>
          <w:szCs w:val="52"/>
        </w:rPr>
        <w:lastRenderedPageBreak/>
        <w:t>表30-7-</w:t>
      </w:r>
      <w:r w:rsidRPr="00E224E9">
        <w:rPr>
          <w:rFonts w:ascii="標楷體" w:hAnsi="標楷體" w:hint="eastAsia"/>
          <w:b/>
          <w:bCs/>
          <w:color w:val="000000" w:themeColor="text1"/>
          <w:sz w:val="40"/>
          <w:szCs w:val="52"/>
        </w:rPr>
        <w:t>7</w:t>
      </w:r>
      <w:r w:rsidRPr="00E224E9">
        <w:rPr>
          <w:rFonts w:ascii="標楷體" w:hAnsi="標楷體"/>
          <w:b/>
          <w:bCs/>
          <w:color w:val="000000" w:themeColor="text1"/>
          <w:sz w:val="40"/>
          <w:szCs w:val="52"/>
        </w:rPr>
        <w:t>：</w:t>
      </w:r>
      <w:r w:rsidRPr="00E224E9">
        <w:rPr>
          <w:rFonts w:ascii="標楷體" w:hAnsi="標楷體" w:hint="eastAsia"/>
          <w:b/>
          <w:bCs/>
          <w:color w:val="000000" w:themeColor="text1"/>
          <w:sz w:val="40"/>
          <w:szCs w:val="52"/>
        </w:rPr>
        <w:t>自由分紅保單紅利準備計入自有資本調整計算表</w:t>
      </w:r>
      <w:bookmarkEnd w:id="179"/>
    </w:p>
    <w:p w14:paraId="408856E3" w14:textId="77777777" w:rsidR="004E4131" w:rsidRPr="00E224E9" w:rsidRDefault="004E4131" w:rsidP="004E4131">
      <w:pPr>
        <w:pStyle w:val="aff"/>
        <w:spacing w:afterLines="0" w:line="400" w:lineRule="exact"/>
        <w:ind w:leftChars="114" w:left="296" w:firstLine="0"/>
        <w:rPr>
          <w:rFonts w:ascii="Book Antiqua" w:eastAsia="華康仿宋體W6" w:hAnsi="Book Antiqua"/>
          <w:color w:val="000000" w:themeColor="text1"/>
        </w:rPr>
      </w:pPr>
      <w:r w:rsidRPr="00E224E9">
        <w:rPr>
          <w:rFonts w:ascii="Book Antiqua" w:eastAsia="華康仿宋體W6" w:hAnsi="Book Antiqua"/>
          <w:color w:val="000000" w:themeColor="text1"/>
        </w:rPr>
        <w:t>本計算表之規範係依照金融監督管理委員會之金管保財字第</w:t>
      </w:r>
      <w:r w:rsidRPr="00E224E9">
        <w:rPr>
          <w:rFonts w:ascii="Book Antiqua" w:eastAsia="華康仿宋體W6" w:hAnsi="Book Antiqua"/>
          <w:color w:val="000000" w:themeColor="text1"/>
        </w:rPr>
        <w:t>10</w:t>
      </w:r>
      <w:r w:rsidRPr="00E224E9">
        <w:rPr>
          <w:rFonts w:ascii="Book Antiqua" w:eastAsia="華康仿宋體W6" w:hAnsi="Book Antiqua" w:hint="eastAsia"/>
          <w:color w:val="000000" w:themeColor="text1"/>
        </w:rPr>
        <w:t>50291362</w:t>
      </w:r>
      <w:r w:rsidR="00291650" w:rsidRPr="00E224E9">
        <w:rPr>
          <w:rFonts w:ascii="Book Antiqua" w:eastAsia="華康仿宋體W6" w:hAnsi="Book Antiqua"/>
          <w:color w:val="000000" w:themeColor="text1"/>
        </w:rPr>
        <w:t>0</w:t>
      </w:r>
      <w:r w:rsidRPr="00E224E9">
        <w:rPr>
          <w:rFonts w:ascii="Book Antiqua" w:eastAsia="華康仿宋體W6" w:hAnsi="Book Antiqua"/>
          <w:color w:val="000000" w:themeColor="text1"/>
        </w:rPr>
        <w:t>號函辦理。</w:t>
      </w:r>
    </w:p>
    <w:p w14:paraId="497A170F" w14:textId="77777777" w:rsidR="004E4131" w:rsidRPr="00E224E9" w:rsidRDefault="00581285" w:rsidP="004E4131">
      <w:pPr>
        <w:pStyle w:val="aff"/>
        <w:spacing w:beforeLines="100" w:before="240" w:afterLines="100" w:after="240" w:line="400" w:lineRule="exact"/>
        <w:ind w:leftChars="109" w:left="283" w:firstLine="0"/>
        <w:rPr>
          <w:rFonts w:ascii="Book Antiqua" w:eastAsia="華康仿宋體W6" w:hAnsi="Book Antiqua"/>
          <w:color w:val="000000" w:themeColor="text1"/>
        </w:rPr>
      </w:pPr>
      <w:bookmarkStart w:id="180" w:name="_Toc219262262"/>
      <w:r w:rsidRPr="00E224E9">
        <w:rPr>
          <w:rFonts w:ascii="Book Antiqua" w:eastAsia="華康仿宋體W6" w:hAnsi="Book Antiqua" w:hint="eastAsia"/>
          <w:color w:val="000000" w:themeColor="text1"/>
        </w:rPr>
        <w:t>本表所稱分紅保單紅利準備，係指「特別準備金–分紅保單紅利準備」與「特別準備金–紅利風險準備」之合計數。其</w:t>
      </w:r>
      <w:r w:rsidR="004E4131" w:rsidRPr="00E224E9">
        <w:rPr>
          <w:rFonts w:ascii="Book Antiqua" w:eastAsia="華康仿宋體W6" w:hAnsi="Book Antiqua"/>
          <w:color w:val="000000" w:themeColor="text1"/>
        </w:rPr>
        <w:t>計入自有資本之金額</w:t>
      </w:r>
      <w:r w:rsidR="004E4131" w:rsidRPr="00E224E9">
        <w:rPr>
          <w:rFonts w:ascii="Book Antiqua" w:eastAsia="華康仿宋體W6" w:hAnsi="Book Antiqua" w:hint="eastAsia"/>
          <w:color w:val="000000" w:themeColor="text1"/>
        </w:rPr>
        <w:t>計算公式如下：</w:t>
      </w:r>
    </w:p>
    <w:tbl>
      <w:tblPr>
        <w:tblW w:w="6794" w:type="dxa"/>
        <w:tblInd w:w="904" w:type="dxa"/>
        <w:tblCellMar>
          <w:left w:w="0" w:type="dxa"/>
          <w:right w:w="0" w:type="dxa"/>
        </w:tblCellMar>
        <w:tblLook w:val="04A0" w:firstRow="1" w:lastRow="0" w:firstColumn="1" w:lastColumn="0" w:noHBand="0" w:noVBand="1"/>
      </w:tblPr>
      <w:tblGrid>
        <w:gridCol w:w="6794"/>
      </w:tblGrid>
      <w:tr w:rsidR="00E224E9" w:rsidRPr="00E224E9" w14:paraId="2A8B67C5"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D3770F" w14:textId="77777777" w:rsidR="004E4131" w:rsidRPr="00E224E9" w:rsidRDefault="004E4131" w:rsidP="00581285">
            <w:pPr>
              <w:widowControl/>
              <w:kinsoku w:val="0"/>
              <w:overflowPunct w:val="0"/>
              <w:jc w:val="center"/>
              <w:textAlignment w:val="baseline"/>
              <w:rPr>
                <w:rFonts w:ascii="Book Antiqua" w:eastAsia="華康仿宋體W4" w:hAnsi="Book Antiqua"/>
                <w:color w:val="000000" w:themeColor="text1"/>
                <w:kern w:val="0"/>
                <w:sz w:val="24"/>
              </w:rPr>
            </w:pPr>
            <w:r w:rsidRPr="00E224E9">
              <w:rPr>
                <w:rFonts w:ascii="Book Antiqua" w:eastAsia="華康仿宋體W4" w:hAnsi="Book Antiqua"/>
                <w:color w:val="000000" w:themeColor="text1"/>
                <w:sz w:val="24"/>
              </w:rPr>
              <w:t>填報</w:t>
            </w:r>
            <w:r w:rsidR="00581285" w:rsidRPr="00E224E9">
              <w:rPr>
                <w:rFonts w:ascii="Book Antiqua" w:eastAsia="華康仿宋體W4" w:hAnsi="Book Antiqua"/>
                <w:color w:val="000000" w:themeColor="text1"/>
                <w:sz w:val="24"/>
              </w:rPr>
              <w:t>yyy</w:t>
            </w:r>
            <w:r w:rsidRPr="00E224E9">
              <w:rPr>
                <w:rFonts w:ascii="Book Antiqua" w:eastAsia="華康仿宋體W4" w:hAnsi="Book Antiqua"/>
                <w:color w:val="000000" w:themeColor="text1"/>
                <w:sz w:val="24"/>
              </w:rPr>
              <w:t>年年報</w:t>
            </w:r>
          </w:p>
        </w:tc>
      </w:tr>
      <w:tr w:rsidR="00E224E9" w:rsidRPr="00E224E9" w14:paraId="6F30C86A" w14:textId="77777777" w:rsidTr="004E4131">
        <w:trPr>
          <w:trHeight w:val="5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18CB01" w14:textId="77777777" w:rsidR="004E4131" w:rsidRPr="00E224E9" w:rsidRDefault="004E4131" w:rsidP="004E4131">
            <w:pPr>
              <w:widowControl/>
              <w:rPr>
                <w:rFonts w:ascii="Book Antiqua" w:eastAsia="華康仿宋體W4" w:hAnsi="Book Antiqua"/>
                <w:color w:val="000000" w:themeColor="text1"/>
                <w:kern w:val="0"/>
                <w:sz w:val="24"/>
              </w:rPr>
            </w:pPr>
            <w:r w:rsidRPr="00E224E9">
              <w:rPr>
                <w:rFonts w:ascii="Book Antiqua" w:eastAsia="華康仿宋體W4" w:hAnsi="Book Antiqua"/>
                <w:color w:val="000000" w:themeColor="text1"/>
                <w:kern w:val="0"/>
                <w:position w:val="-14"/>
                <w:sz w:val="24"/>
              </w:rPr>
              <w:object w:dxaOrig="5980" w:dyaOrig="380" w14:anchorId="5D6A4DB9">
                <v:shape id="_x0000_i1026" type="#_x0000_t75" style="width:293.35pt;height:20.4pt" o:ole="">
                  <v:imagedata r:id="rId12" o:title=""/>
                </v:shape>
                <o:OLEObject Type="Embed" ProgID="Equation.3" ShapeID="_x0000_i1026" DrawAspect="Content" ObjectID="_1814015519" r:id="rId13"/>
              </w:object>
            </w:r>
          </w:p>
        </w:tc>
      </w:tr>
      <w:tr w:rsidR="00E224E9" w:rsidRPr="00E224E9" w14:paraId="47E4F154"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858FA8" w14:textId="77777777" w:rsidR="004E4131" w:rsidRPr="00E224E9" w:rsidRDefault="004E4131" w:rsidP="00581285">
            <w:pPr>
              <w:widowControl/>
              <w:kinsoku w:val="0"/>
              <w:overflowPunct w:val="0"/>
              <w:jc w:val="center"/>
              <w:textAlignment w:val="baseline"/>
              <w:rPr>
                <w:rFonts w:ascii="Book Antiqua" w:eastAsia="華康仿宋體W4" w:hAnsi="Book Antiqua"/>
                <w:color w:val="000000" w:themeColor="text1"/>
                <w:kern w:val="0"/>
                <w:sz w:val="24"/>
              </w:rPr>
            </w:pPr>
            <w:r w:rsidRPr="00E224E9">
              <w:rPr>
                <w:rFonts w:ascii="Book Antiqua" w:eastAsia="華康仿宋體W4" w:hAnsi="Book Antiqua"/>
                <w:color w:val="000000" w:themeColor="text1"/>
                <w:sz w:val="24"/>
              </w:rPr>
              <w:t>填報</w:t>
            </w:r>
            <w:r w:rsidR="00581285" w:rsidRPr="00E224E9">
              <w:rPr>
                <w:rFonts w:ascii="Book Antiqua" w:eastAsia="華康仿宋體W4" w:hAnsi="Book Antiqua"/>
                <w:color w:val="000000" w:themeColor="text1"/>
                <w:sz w:val="24"/>
              </w:rPr>
              <w:t>yyy</w:t>
            </w:r>
            <w:r w:rsidRPr="00E224E9">
              <w:rPr>
                <w:rFonts w:ascii="Book Antiqua" w:eastAsia="華康仿宋體W4" w:hAnsi="Book Antiqua"/>
                <w:color w:val="000000" w:themeColor="text1"/>
                <w:sz w:val="24"/>
              </w:rPr>
              <w:t>年半年報</w:t>
            </w:r>
          </w:p>
        </w:tc>
      </w:tr>
      <w:tr w:rsidR="00E224E9" w:rsidRPr="00E224E9" w14:paraId="021C386F" w14:textId="77777777" w:rsidTr="00581285">
        <w:trPr>
          <w:trHeight w:val="4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0B006D" w14:textId="77777777" w:rsidR="004E4131" w:rsidRPr="00E224E9" w:rsidRDefault="00581285" w:rsidP="00170B3A">
            <w:pPr>
              <w:widowControl/>
              <w:rPr>
                <w:rFonts w:ascii="Book Antiqua" w:eastAsia="華康仿宋體W4" w:hAnsi="Book Antiqua"/>
                <w:color w:val="000000" w:themeColor="text1"/>
                <w:kern w:val="0"/>
                <w:sz w:val="24"/>
              </w:rPr>
            </w:pPr>
            <w:r w:rsidRPr="00E224E9">
              <w:rPr>
                <w:rFonts w:ascii="Book Antiqua" w:eastAsia="華康仿宋體W4" w:hAnsi="Book Antiqua"/>
                <w:color w:val="000000" w:themeColor="text1"/>
                <w:kern w:val="0"/>
                <w:position w:val="-14"/>
                <w:sz w:val="24"/>
              </w:rPr>
              <w:object w:dxaOrig="2680" w:dyaOrig="380" w14:anchorId="52349E41">
                <v:shape id="_x0000_i1027" type="#_x0000_t75" style="width:129.5pt;height:20.4pt" o:ole="">
                  <v:imagedata r:id="rId14" o:title=""/>
                </v:shape>
                <o:OLEObject Type="Embed" ProgID="Equation.3" ShapeID="_x0000_i1027" DrawAspect="Content" ObjectID="_1814015520" r:id="rId15"/>
              </w:object>
            </w:r>
          </w:p>
        </w:tc>
      </w:tr>
      <w:tr w:rsidR="00E224E9" w:rsidRPr="00E224E9" w14:paraId="128D1EB2"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D9DD8" w14:textId="77777777" w:rsidR="004E4131" w:rsidRPr="00E224E9" w:rsidRDefault="004E4131" w:rsidP="00581285">
            <w:pPr>
              <w:widowControl/>
              <w:tabs>
                <w:tab w:val="left" w:pos="1569"/>
              </w:tabs>
              <w:kinsoku w:val="0"/>
              <w:overflowPunct w:val="0"/>
              <w:jc w:val="center"/>
              <w:textAlignment w:val="baseline"/>
              <w:rPr>
                <w:rFonts w:ascii="Book Antiqua" w:eastAsia="華康仿宋體W4" w:hAnsi="Book Antiqua"/>
                <w:color w:val="000000" w:themeColor="text1"/>
                <w:kern w:val="0"/>
                <w:sz w:val="24"/>
              </w:rPr>
            </w:pPr>
            <w:r w:rsidRPr="00E224E9">
              <w:rPr>
                <w:rFonts w:ascii="Book Antiqua" w:eastAsia="華康仿宋體W4" w:hAnsi="Book Antiqua"/>
                <w:color w:val="000000" w:themeColor="text1"/>
                <w:sz w:val="24"/>
              </w:rPr>
              <w:t>符號定義</w:t>
            </w:r>
          </w:p>
        </w:tc>
      </w:tr>
      <w:tr w:rsidR="00E224E9" w:rsidRPr="00E224E9" w14:paraId="442F77C5" w14:textId="77777777" w:rsidTr="004E4131">
        <w:trPr>
          <w:trHeight w:val="2078"/>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F581F" w14:textId="77777777" w:rsidR="004E4131" w:rsidRPr="00E224E9"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E224E9">
              <w:rPr>
                <w:rFonts w:ascii="Book Antiqua" w:eastAsia="華康仿宋體W4" w:hAnsi="Book Antiqua"/>
                <w:bCs/>
                <w:i/>
                <w:color w:val="000000" w:themeColor="text1"/>
                <w:kern w:val="2"/>
                <w:sz w:val="24"/>
              </w:rPr>
              <w:t>AC</w:t>
            </w:r>
            <w:r w:rsidRPr="00E224E9">
              <w:rPr>
                <w:rFonts w:ascii="Book Antiqua" w:eastAsia="華康仿宋體W4" w:hAnsi="Book Antiqua"/>
                <w:color w:val="000000" w:themeColor="text1"/>
                <w:kern w:val="2"/>
                <w:sz w:val="24"/>
              </w:rPr>
              <w:t>：</w:t>
            </w:r>
            <w:r w:rsidR="00581285" w:rsidRPr="00E224E9">
              <w:rPr>
                <w:rFonts w:ascii="Book Antiqua" w:eastAsia="華康仿宋體W4" w:hAnsi="Book Antiqua"/>
                <w:color w:val="000000" w:themeColor="text1"/>
                <w:kern w:val="2"/>
                <w:sz w:val="24"/>
              </w:rPr>
              <w:t>分紅保單</w:t>
            </w:r>
            <w:r w:rsidRPr="00E224E9">
              <w:rPr>
                <w:rFonts w:ascii="Book Antiqua" w:eastAsia="華康仿宋體W4" w:hAnsi="Book Antiqua"/>
                <w:bCs/>
                <w:color w:val="000000" w:themeColor="text1"/>
                <w:kern w:val="2"/>
                <w:sz w:val="24"/>
              </w:rPr>
              <w:t>紅利準備計入自有資本之金額</w:t>
            </w:r>
            <w:r w:rsidRPr="00E224E9">
              <w:rPr>
                <w:rFonts w:ascii="Book Antiqua" w:eastAsia="華康仿宋體W4" w:hAnsi="Book Antiqua"/>
                <w:bCs/>
                <w:color w:val="000000" w:themeColor="text1"/>
                <w:kern w:val="2"/>
                <w:sz w:val="24"/>
              </w:rPr>
              <w:t xml:space="preserve">   </w:t>
            </w:r>
          </w:p>
          <w:p w14:paraId="754485B5" w14:textId="77777777" w:rsidR="004E4131" w:rsidRPr="00E224E9"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E224E9">
              <w:rPr>
                <w:rFonts w:ascii="Book Antiqua" w:eastAsia="華康仿宋體W4" w:hAnsi="Book Antiqua"/>
                <w:bCs/>
                <w:i/>
                <w:color w:val="000000" w:themeColor="text1"/>
                <w:kern w:val="2"/>
                <w:sz w:val="24"/>
              </w:rPr>
              <w:t>SCR</w:t>
            </w:r>
            <w:r w:rsidRPr="00E224E9">
              <w:rPr>
                <w:rFonts w:ascii="Book Antiqua" w:eastAsia="華康仿宋體W4" w:hAnsi="Book Antiqua"/>
                <w:bCs/>
                <w:i/>
                <w:color w:val="000000" w:themeColor="text1"/>
                <w:kern w:val="2"/>
                <w:sz w:val="24"/>
                <w:vertAlign w:val="subscript"/>
              </w:rPr>
              <w:t>yyy/mm</w:t>
            </w:r>
            <w:r w:rsidRPr="00E224E9">
              <w:rPr>
                <w:rFonts w:ascii="Book Antiqua" w:eastAsia="華康仿宋體W4" w:hAnsi="Book Antiqua"/>
                <w:bCs/>
                <w:color w:val="000000" w:themeColor="text1"/>
                <w:kern w:val="2"/>
                <w:sz w:val="24"/>
              </w:rPr>
              <w:t>：</w:t>
            </w:r>
            <w:r w:rsidRPr="00E224E9">
              <w:rPr>
                <w:rFonts w:ascii="Book Antiqua" w:eastAsia="華康仿宋體W4" w:hAnsi="Book Antiqua"/>
                <w:bCs/>
                <w:color w:val="000000" w:themeColor="text1"/>
                <w:kern w:val="2"/>
                <w:sz w:val="24"/>
              </w:rPr>
              <w:t>yyy</w:t>
            </w:r>
            <w:r w:rsidRPr="00E224E9">
              <w:rPr>
                <w:rFonts w:ascii="Book Antiqua" w:eastAsia="華康仿宋體W4" w:hAnsi="Book Antiqua"/>
                <w:bCs/>
                <w:color w:val="000000" w:themeColor="text1"/>
                <w:kern w:val="2"/>
                <w:sz w:val="24"/>
              </w:rPr>
              <w:t>年</w:t>
            </w:r>
            <w:r w:rsidRPr="00E224E9">
              <w:rPr>
                <w:rFonts w:ascii="Book Antiqua" w:eastAsia="華康仿宋體W4" w:hAnsi="Book Antiqua"/>
                <w:bCs/>
                <w:color w:val="000000" w:themeColor="text1"/>
                <w:kern w:val="2"/>
                <w:sz w:val="24"/>
              </w:rPr>
              <w:t>mm</w:t>
            </w:r>
            <w:r w:rsidRPr="00E224E9">
              <w:rPr>
                <w:rFonts w:ascii="Book Antiqua" w:eastAsia="華康仿宋體W4" w:hAnsi="Book Antiqua"/>
                <w:bCs/>
                <w:color w:val="000000" w:themeColor="text1"/>
                <w:kern w:val="2"/>
                <w:sz w:val="24"/>
              </w:rPr>
              <w:t>月之紅利準備金</w:t>
            </w:r>
          </w:p>
          <w:p w14:paraId="60CA78E6" w14:textId="77777777" w:rsidR="004E4131" w:rsidRPr="00E224E9"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E224E9">
              <w:rPr>
                <w:rFonts w:ascii="Book Antiqua" w:eastAsia="華康仿宋體W4" w:hAnsi="Book Antiqua"/>
                <w:bCs/>
                <w:i/>
                <w:color w:val="000000" w:themeColor="text1"/>
                <w:kern w:val="2"/>
                <w:sz w:val="24"/>
              </w:rPr>
              <w:t>COB</w:t>
            </w:r>
            <w:r w:rsidRPr="00E224E9">
              <w:rPr>
                <w:rFonts w:ascii="Book Antiqua" w:eastAsia="華康仿宋體W4" w:hAnsi="Book Antiqua"/>
                <w:bCs/>
                <w:i/>
                <w:color w:val="000000" w:themeColor="text1"/>
                <w:kern w:val="2"/>
                <w:sz w:val="24"/>
                <w:vertAlign w:val="subscript"/>
              </w:rPr>
              <w:t>yyy+1</w:t>
            </w:r>
            <w:r w:rsidRPr="00E224E9">
              <w:rPr>
                <w:rFonts w:ascii="Book Antiqua" w:eastAsia="華康仿宋體W4" w:hAnsi="Book Antiqua"/>
                <w:bCs/>
                <w:color w:val="000000" w:themeColor="text1"/>
                <w:kern w:val="2"/>
                <w:sz w:val="24"/>
              </w:rPr>
              <w:t>：</w:t>
            </w:r>
            <w:r w:rsidR="004E4131" w:rsidRPr="00E224E9">
              <w:rPr>
                <w:rFonts w:ascii="Book Antiqua" w:eastAsia="華康仿宋體W4" w:hAnsi="Book Antiqua"/>
                <w:bCs/>
                <w:color w:val="000000" w:themeColor="text1"/>
                <w:kern w:val="2"/>
                <w:sz w:val="24"/>
              </w:rPr>
              <w:t>董事會核定之「</w:t>
            </w:r>
            <w:r w:rsidR="004E4131" w:rsidRPr="00E224E9">
              <w:rPr>
                <w:rFonts w:ascii="Book Antiqua" w:eastAsia="華康仿宋體W4" w:hAnsi="Book Antiqua"/>
                <w:bCs/>
                <w:color w:val="000000" w:themeColor="text1"/>
                <w:kern w:val="2"/>
                <w:sz w:val="24"/>
              </w:rPr>
              <w:t>yyy+1</w:t>
            </w:r>
            <w:r w:rsidR="004E4131" w:rsidRPr="00E224E9">
              <w:rPr>
                <w:rFonts w:ascii="Book Antiqua" w:eastAsia="華康仿宋體W4" w:hAnsi="Book Antiqua"/>
                <w:bCs/>
                <w:color w:val="000000" w:themeColor="text1"/>
                <w:kern w:val="2"/>
                <w:sz w:val="24"/>
              </w:rPr>
              <w:t>年可分配紅利盈餘」</w:t>
            </w:r>
          </w:p>
          <w:p w14:paraId="528CEB0B" w14:textId="77777777" w:rsidR="004E4131" w:rsidRPr="00E224E9"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E224E9">
              <w:rPr>
                <w:rFonts w:ascii="Book Antiqua" w:eastAsia="華康仿宋體W4" w:hAnsi="Book Antiqua"/>
                <w:bCs/>
                <w:i/>
                <w:color w:val="000000" w:themeColor="text1"/>
                <w:kern w:val="2"/>
                <w:sz w:val="24"/>
              </w:rPr>
              <w:t>P</w:t>
            </w:r>
            <w:r w:rsidRPr="00E224E9">
              <w:rPr>
                <w:rFonts w:ascii="Book Antiqua" w:eastAsia="華康仿宋體W4" w:hAnsi="Book Antiqua"/>
                <w:bCs/>
                <w:i/>
                <w:color w:val="000000" w:themeColor="text1"/>
                <w:kern w:val="2"/>
                <w:sz w:val="24"/>
                <w:vertAlign w:val="subscript"/>
              </w:rPr>
              <w:t>yyy+1</w:t>
            </w:r>
            <w:r w:rsidRPr="00E224E9">
              <w:rPr>
                <w:rFonts w:ascii="Book Antiqua" w:eastAsia="華康仿宋體W4" w:hAnsi="Book Antiqua"/>
                <w:bCs/>
                <w:color w:val="000000" w:themeColor="text1"/>
                <w:kern w:val="2"/>
                <w:sz w:val="24"/>
              </w:rPr>
              <w:t>：</w:t>
            </w:r>
            <w:r w:rsidR="004E4131" w:rsidRPr="00E224E9">
              <w:rPr>
                <w:rFonts w:ascii="Book Antiqua" w:eastAsia="華康仿宋體W4" w:hAnsi="Book Antiqua"/>
                <w:bCs/>
                <w:color w:val="000000" w:themeColor="text1"/>
                <w:kern w:val="2"/>
                <w:sz w:val="24"/>
              </w:rPr>
              <w:t>董事會核定之「</w:t>
            </w:r>
            <w:r w:rsidR="004E4131" w:rsidRPr="00E224E9">
              <w:rPr>
                <w:rFonts w:ascii="Book Antiqua" w:eastAsia="華康仿宋體W4" w:hAnsi="Book Antiqua"/>
                <w:bCs/>
                <w:color w:val="000000" w:themeColor="text1"/>
                <w:kern w:val="2"/>
                <w:sz w:val="24"/>
              </w:rPr>
              <w:t>yyy+1</w:t>
            </w:r>
            <w:r w:rsidR="004E4131" w:rsidRPr="00E224E9">
              <w:rPr>
                <w:rFonts w:ascii="Book Antiqua" w:eastAsia="華康仿宋體W4" w:hAnsi="Book Antiqua"/>
                <w:bCs/>
                <w:color w:val="000000" w:themeColor="text1"/>
                <w:kern w:val="2"/>
                <w:sz w:val="24"/>
              </w:rPr>
              <w:t>年分配予要保人之比率」</w:t>
            </w:r>
          </w:p>
          <w:p w14:paraId="0321D686" w14:textId="77777777" w:rsidR="004E4131" w:rsidRPr="00E224E9" w:rsidRDefault="004E4131" w:rsidP="00170B3A">
            <w:pPr>
              <w:widowControl/>
              <w:kinsoku w:val="0"/>
              <w:overflowPunct w:val="0"/>
              <w:spacing w:line="400" w:lineRule="exact"/>
              <w:textAlignment w:val="baseline"/>
              <w:rPr>
                <w:rFonts w:ascii="Book Antiqua" w:eastAsia="華康仿宋體W4" w:hAnsi="Book Antiqua"/>
                <w:color w:val="000000" w:themeColor="text1"/>
                <w:kern w:val="0"/>
                <w:sz w:val="24"/>
              </w:rPr>
            </w:pPr>
            <w:r w:rsidRPr="00E224E9">
              <w:rPr>
                <w:rFonts w:ascii="Book Antiqua" w:eastAsia="華康仿宋體W4" w:hAnsi="Book Antiqua"/>
                <w:bCs/>
                <w:i/>
                <w:color w:val="000000" w:themeColor="text1"/>
                <w:sz w:val="24"/>
              </w:rPr>
              <w:t>S</w:t>
            </w:r>
            <w:r w:rsidRPr="00E224E9">
              <w:rPr>
                <w:rFonts w:ascii="Book Antiqua" w:eastAsia="華康仿宋體W4" w:hAnsi="Book Antiqua"/>
                <w:bCs/>
                <w:color w:val="000000" w:themeColor="text1"/>
                <w:sz w:val="24"/>
              </w:rPr>
              <w:t>：</w:t>
            </w:r>
            <w:r w:rsidR="00581285" w:rsidRPr="00E224E9">
              <w:rPr>
                <w:rFonts w:ascii="Book Antiqua" w:eastAsia="華康仿宋體W4" w:hAnsi="Book Antiqua"/>
                <w:bCs/>
                <w:color w:val="000000" w:themeColor="text1"/>
                <w:sz w:val="24"/>
              </w:rPr>
              <w:t>分紅保單</w:t>
            </w:r>
            <w:r w:rsidRPr="00E224E9">
              <w:rPr>
                <w:rFonts w:ascii="Book Antiqua" w:eastAsia="華康仿宋體W4" w:hAnsi="Book Antiqua"/>
                <w:bCs/>
                <w:color w:val="000000" w:themeColor="text1"/>
                <w:sz w:val="24"/>
              </w:rPr>
              <w:t>紅利準備計入自有資本之比率</w:t>
            </w:r>
            <w:r w:rsidRPr="00E224E9">
              <w:rPr>
                <w:rFonts w:ascii="Book Antiqua" w:eastAsia="華康仿宋體W4" w:hAnsi="Book Antiqua"/>
                <w:bCs/>
                <w:color w:val="000000" w:themeColor="text1"/>
                <w:sz w:val="24"/>
              </w:rPr>
              <w:t>(30%)</w:t>
            </w:r>
          </w:p>
        </w:tc>
      </w:tr>
    </w:tbl>
    <w:p w14:paraId="6C129709" w14:textId="77777777" w:rsidR="00BC7714" w:rsidRPr="00E224E9" w:rsidRDefault="006D1631" w:rsidP="00BC7714">
      <w:pPr>
        <w:keepNext/>
        <w:pageBreakBefore/>
        <w:outlineLvl w:val="0"/>
        <w:rPr>
          <w:rFonts w:ascii="標楷體" w:hAnsi="標楷體"/>
          <w:b/>
          <w:bCs/>
          <w:color w:val="000000" w:themeColor="text1"/>
          <w:sz w:val="40"/>
          <w:szCs w:val="52"/>
        </w:rPr>
      </w:pPr>
      <w:bookmarkStart w:id="181" w:name="_Toc200468567"/>
      <w:r w:rsidRPr="00E224E9">
        <w:rPr>
          <w:rFonts w:ascii="標楷體" w:hAnsi="標楷體" w:hint="eastAsia"/>
          <w:b/>
          <w:bCs/>
          <w:color w:val="000000" w:themeColor="text1"/>
          <w:sz w:val="40"/>
          <w:szCs w:val="52"/>
        </w:rPr>
        <w:lastRenderedPageBreak/>
        <w:t>表30-7-8：投資「國內保險業」及「國內金控公司」發行之具資本性質債券或負債型特別股由自有資本扣除計算表</w:t>
      </w:r>
      <w:bookmarkEnd w:id="181"/>
    </w:p>
    <w:p w14:paraId="20391647" w14:textId="77777777" w:rsidR="008F0CCE" w:rsidRPr="00E224E9" w:rsidRDefault="00BC7714" w:rsidP="008F0CCE">
      <w:pPr>
        <w:spacing w:line="440" w:lineRule="exact"/>
        <w:ind w:firstLineChars="200" w:firstLine="480"/>
        <w:jc w:val="both"/>
        <w:rPr>
          <w:rFonts w:ascii="Book Antiqua" w:hAnsi="Book Antiqua"/>
          <w:color w:val="000000" w:themeColor="text1"/>
          <w:sz w:val="24"/>
        </w:rPr>
      </w:pPr>
      <w:r w:rsidRPr="00E224E9">
        <w:rPr>
          <w:rFonts w:ascii="Book Antiqua" w:hAnsi="Book Antiqua"/>
          <w:color w:val="000000" w:themeColor="text1"/>
          <w:sz w:val="24"/>
        </w:rPr>
        <w:t>本計算表之規範係依照金融監督管理委員會之</w:t>
      </w:r>
      <w:r w:rsidRPr="00E224E9">
        <w:rPr>
          <w:rFonts w:ascii="Book Antiqua" w:hAnsi="Book Antiqua" w:hint="eastAsia"/>
          <w:color w:val="000000" w:themeColor="text1"/>
          <w:sz w:val="24"/>
        </w:rPr>
        <w:t>金管保財字第</w:t>
      </w:r>
      <w:r w:rsidRPr="00E224E9">
        <w:rPr>
          <w:rFonts w:ascii="Book Antiqua" w:hAnsi="Book Antiqua" w:hint="eastAsia"/>
          <w:color w:val="000000" w:themeColor="text1"/>
          <w:sz w:val="24"/>
        </w:rPr>
        <w:t>10804277130</w:t>
      </w:r>
      <w:r w:rsidRPr="00E224E9">
        <w:rPr>
          <w:rFonts w:ascii="Book Antiqua" w:hAnsi="Book Antiqua" w:hint="eastAsia"/>
          <w:color w:val="000000" w:themeColor="text1"/>
          <w:sz w:val="24"/>
        </w:rPr>
        <w:t>號函</w:t>
      </w:r>
      <w:r w:rsidRPr="00E224E9">
        <w:rPr>
          <w:rFonts w:ascii="Book Antiqua" w:hAnsi="Book Antiqua"/>
          <w:color w:val="000000" w:themeColor="text1"/>
          <w:sz w:val="24"/>
        </w:rPr>
        <w:t>辦理</w:t>
      </w:r>
      <w:r w:rsidR="008F0CCE" w:rsidRPr="00E224E9">
        <w:rPr>
          <w:rFonts w:ascii="Book Antiqua" w:hAnsi="Book Antiqua" w:hint="eastAsia"/>
          <w:color w:val="000000" w:themeColor="text1"/>
          <w:sz w:val="24"/>
        </w:rPr>
        <w:t>。</w:t>
      </w:r>
      <w:r w:rsidR="009E5E3B" w:rsidRPr="00E224E9">
        <w:rPr>
          <w:rFonts w:ascii="Book Antiqua" w:hAnsi="Book Antiqua" w:hint="eastAsia"/>
          <w:color w:val="000000" w:themeColor="text1"/>
          <w:sz w:val="24"/>
        </w:rPr>
        <w:t>本表係為統計保險業投資「國內保險業」及「國內金控公司」發行之具資本性質債券或負債型特別股情形，並計算「由自有資本扣除之金額」及「可減除計算風險資本之金額」。</w:t>
      </w:r>
    </w:p>
    <w:p w14:paraId="49186BBF" w14:textId="77777777" w:rsidR="00240DD7" w:rsidRPr="00E224E9" w:rsidRDefault="00240DD7" w:rsidP="00F568FF">
      <w:pPr>
        <w:pStyle w:val="aff"/>
        <w:spacing w:beforeLines="100" w:before="240" w:afterLines="100" w:after="240" w:line="400" w:lineRule="exact"/>
        <w:ind w:left="781" w:hanging="781"/>
        <w:rPr>
          <w:rFonts w:ascii="標楷體" w:hAnsi="標楷體"/>
          <w:color w:val="000000" w:themeColor="text1"/>
        </w:rPr>
      </w:pPr>
      <w:r w:rsidRPr="00E224E9">
        <w:rPr>
          <w:rFonts w:ascii="標楷體" w:hAnsi="標楷體"/>
          <w:color w:val="000000" w:themeColor="text1"/>
        </w:rPr>
        <w:t>一、</w:t>
      </w:r>
      <w:r w:rsidRPr="00E224E9">
        <w:rPr>
          <w:rFonts w:ascii="標楷體" w:hAnsi="標楷體" w:hint="eastAsia"/>
          <w:color w:val="000000" w:themeColor="text1"/>
        </w:rPr>
        <w:t>投資國內具資本性質債券或負債型特別股明細表</w:t>
      </w:r>
    </w:p>
    <w:p w14:paraId="48EA62F1" w14:textId="77777777" w:rsidR="00CF0147" w:rsidRPr="00E224E9" w:rsidRDefault="00240DD7" w:rsidP="00F568FF">
      <w:pPr>
        <w:spacing w:line="360" w:lineRule="auto"/>
        <w:ind w:leftChars="54" w:left="728" w:rightChars="-48" w:right="-125" w:hangingChars="245" w:hanging="588"/>
        <w:rPr>
          <w:rFonts w:ascii="標楷體" w:hAnsi="標楷體"/>
          <w:color w:val="000000" w:themeColor="text1"/>
          <w:sz w:val="24"/>
        </w:rPr>
      </w:pPr>
      <w:r w:rsidRPr="00E224E9">
        <w:rPr>
          <w:rFonts w:ascii="標楷體" w:hAnsi="標楷體"/>
          <w:color w:val="000000" w:themeColor="text1"/>
          <w:sz w:val="24"/>
        </w:rPr>
        <w:t>(一)</w:t>
      </w:r>
      <w:r w:rsidR="00F568FF" w:rsidRPr="00E224E9">
        <w:rPr>
          <w:rFonts w:ascii="標楷體" w:hAnsi="標楷體" w:hint="eastAsia"/>
          <w:color w:val="000000" w:themeColor="text1"/>
          <w:sz w:val="24"/>
        </w:rPr>
        <w:t xml:space="preserve"> 填報範圍：</w:t>
      </w:r>
    </w:p>
    <w:p w14:paraId="62E2883F" w14:textId="77777777" w:rsidR="00240DD7" w:rsidRPr="00E224E9" w:rsidRDefault="00F568FF" w:rsidP="00CF0147">
      <w:pPr>
        <w:spacing w:line="360" w:lineRule="auto"/>
        <w:ind w:leftChars="272" w:left="724" w:rightChars="-48" w:right="-125" w:hangingChars="7" w:hanging="17"/>
        <w:rPr>
          <w:rFonts w:ascii="標楷體" w:hAnsi="標楷體"/>
          <w:color w:val="000000" w:themeColor="text1"/>
          <w:sz w:val="24"/>
        </w:rPr>
      </w:pPr>
      <w:r w:rsidRPr="00E224E9">
        <w:rPr>
          <w:rFonts w:ascii="標楷體" w:hAnsi="標楷體" w:hint="eastAsia"/>
          <w:color w:val="000000" w:themeColor="text1"/>
          <w:sz w:val="24"/>
        </w:rPr>
        <w:t>保險業投資「國內保險業」及「國內金控公司」發行之具資本性質債券或負債型特別股</w:t>
      </w:r>
      <w:r w:rsidR="00240DD7" w:rsidRPr="00E224E9">
        <w:rPr>
          <w:rFonts w:ascii="標楷體" w:hAnsi="標楷體"/>
          <w:color w:val="000000" w:themeColor="text1"/>
          <w:sz w:val="24"/>
        </w:rPr>
        <w:t>。</w:t>
      </w:r>
      <w:r w:rsidRPr="00E224E9">
        <w:rPr>
          <w:rFonts w:ascii="標楷體" w:hAnsi="標楷體" w:hint="eastAsia"/>
          <w:color w:val="000000" w:themeColor="text1"/>
          <w:sz w:val="24"/>
        </w:rPr>
        <w:t>「國內金控公司」發行之具資本性質債券或負債型特別股係指金控公司為注資其保險子公司、為轉投資保險公司及其他經主管機關認定者</w:t>
      </w:r>
      <w:r w:rsidR="004326D7" w:rsidRPr="00E224E9">
        <w:rPr>
          <w:rFonts w:ascii="標楷體" w:hAnsi="標楷體" w:hint="eastAsia"/>
          <w:color w:val="000000" w:themeColor="text1"/>
          <w:sz w:val="24"/>
        </w:rPr>
        <w:t>。</w:t>
      </w:r>
    </w:p>
    <w:p w14:paraId="2791CAC8" w14:textId="0C82C5C8" w:rsidR="00CF0147" w:rsidRPr="00E224E9" w:rsidRDefault="00240DD7" w:rsidP="009E5E3B">
      <w:pPr>
        <w:spacing w:line="360" w:lineRule="auto"/>
        <w:ind w:leftChars="54" w:left="728" w:rightChars="-48" w:right="-125" w:hangingChars="245" w:hanging="588"/>
        <w:rPr>
          <w:rFonts w:ascii="標楷體" w:hAnsi="標楷體"/>
          <w:color w:val="000000" w:themeColor="text1"/>
          <w:sz w:val="24"/>
        </w:rPr>
      </w:pPr>
      <w:r w:rsidRPr="00E224E9">
        <w:rPr>
          <w:rFonts w:ascii="標楷體" w:hAnsi="標楷體"/>
          <w:color w:val="000000" w:themeColor="text1"/>
          <w:sz w:val="24"/>
        </w:rPr>
        <w:t>(二)</w:t>
      </w:r>
      <w:r w:rsidR="00F568FF" w:rsidRPr="00E224E9">
        <w:rPr>
          <w:rFonts w:ascii="標楷體" w:hAnsi="標楷體" w:hint="eastAsia"/>
          <w:color w:val="000000" w:themeColor="text1"/>
          <w:sz w:val="24"/>
        </w:rPr>
        <w:t xml:space="preserve"> </w:t>
      </w:r>
      <w:r w:rsidR="0087033F" w:rsidRPr="00E224E9">
        <w:rPr>
          <w:rFonts w:ascii="標楷體" w:hAnsi="標楷體" w:hint="eastAsia"/>
          <w:color w:val="000000" w:themeColor="text1"/>
          <w:sz w:val="24"/>
        </w:rPr>
        <w:t>是否屬實質互相投資之具資本性質工具，請填列Y.屬實質互相投資之具資本性質工具, N.非屬實質互相投資之具資本性質工具。是否屬實質互相投資請參考「</w:t>
      </w:r>
      <w:r w:rsidR="003B21B9" w:rsidRPr="00E224E9">
        <w:rPr>
          <w:rFonts w:ascii="標楷體" w:hAnsi="標楷體" w:hint="eastAsia"/>
          <w:color w:val="000000" w:themeColor="text1"/>
          <w:sz w:val="24"/>
        </w:rPr>
        <w:t>臺灣集中保管結算所</w:t>
      </w:r>
      <w:r w:rsidR="0087033F" w:rsidRPr="00E224E9">
        <w:rPr>
          <w:rFonts w:ascii="標楷體" w:hAnsi="標楷體" w:hint="eastAsia"/>
          <w:color w:val="000000" w:themeColor="text1"/>
          <w:sz w:val="24"/>
        </w:rPr>
        <w:t>」的「保險業投資資本工具查詢平台」。</w:t>
      </w:r>
      <w:r w:rsidR="00CA05EB" w:rsidRPr="00E224E9">
        <w:rPr>
          <w:rFonts w:ascii="標楷體" w:hAnsi="標楷體" w:hint="eastAsia"/>
          <w:color w:val="000000" w:themeColor="text1"/>
          <w:sz w:val="24"/>
        </w:rPr>
        <w:t>(欄10)：</w:t>
      </w:r>
    </w:p>
    <w:p w14:paraId="1F1D11BB" w14:textId="77777777" w:rsidR="00CF0147" w:rsidRPr="00E224E9" w:rsidRDefault="00CF0147" w:rsidP="00CF0147">
      <w:pPr>
        <w:spacing w:line="360" w:lineRule="auto"/>
        <w:ind w:leftChars="273" w:left="991" w:rightChars="-48" w:right="-125" w:hangingChars="117" w:hanging="281"/>
        <w:rPr>
          <w:rFonts w:ascii="標楷體" w:hAnsi="標楷體"/>
          <w:color w:val="000000" w:themeColor="text1"/>
          <w:sz w:val="24"/>
        </w:rPr>
      </w:pPr>
      <w:r w:rsidRPr="00E224E9">
        <w:rPr>
          <w:rFonts w:ascii="標楷體" w:hAnsi="標楷體" w:cs="新細明體" w:hint="eastAsia"/>
          <w:color w:val="000000" w:themeColor="text1"/>
          <w:sz w:val="24"/>
        </w:rPr>
        <w:t>1.</w:t>
      </w:r>
      <w:r w:rsidR="00F568FF" w:rsidRPr="00E224E9">
        <w:rPr>
          <w:rFonts w:ascii="標楷體" w:hAnsi="標楷體" w:cs="標楷體" w:hint="eastAsia"/>
          <w:color w:val="000000" w:themeColor="text1"/>
          <w:sz w:val="24"/>
        </w:rPr>
        <w:t>保險業實質互相投資於</w:t>
      </w:r>
      <w:r w:rsidR="00F568FF" w:rsidRPr="00E224E9">
        <w:rPr>
          <w:rFonts w:ascii="標楷體" w:hAnsi="標楷體" w:hint="eastAsia"/>
          <w:color w:val="000000" w:themeColor="text1"/>
          <w:sz w:val="24"/>
        </w:rPr>
        <w:t>「國內保險業」發行之</w:t>
      </w:r>
      <w:r w:rsidRPr="00E224E9">
        <w:rPr>
          <w:rFonts w:ascii="標楷體" w:hAnsi="標楷體" w:hint="eastAsia"/>
          <w:color w:val="000000" w:themeColor="text1"/>
          <w:sz w:val="24"/>
        </w:rPr>
        <w:t>具資本性質債券或負債型特別股。</w:t>
      </w:r>
    </w:p>
    <w:p w14:paraId="393DF9D1" w14:textId="77777777" w:rsidR="00CF0147" w:rsidRPr="00E224E9" w:rsidRDefault="00CF0147" w:rsidP="00CF0147">
      <w:pPr>
        <w:spacing w:line="360" w:lineRule="auto"/>
        <w:ind w:leftChars="273" w:left="991" w:rightChars="-48" w:right="-125" w:hangingChars="117" w:hanging="281"/>
        <w:rPr>
          <w:rFonts w:ascii="標楷體" w:hAnsi="標楷體"/>
          <w:color w:val="000000" w:themeColor="text1"/>
          <w:sz w:val="24"/>
        </w:rPr>
      </w:pPr>
      <w:r w:rsidRPr="00E224E9">
        <w:rPr>
          <w:rFonts w:ascii="標楷體" w:hAnsi="標楷體" w:hint="eastAsia"/>
          <w:color w:val="000000" w:themeColor="text1"/>
          <w:sz w:val="24"/>
        </w:rPr>
        <w:t>2.自</w:t>
      </w:r>
      <w:r w:rsidR="00F568FF" w:rsidRPr="00E224E9">
        <w:rPr>
          <w:rFonts w:ascii="標楷體" w:hAnsi="標楷體"/>
          <w:color w:val="000000" w:themeColor="text1"/>
          <w:sz w:val="24"/>
        </w:rPr>
        <w:t>108</w:t>
      </w:r>
      <w:r w:rsidR="00F568FF" w:rsidRPr="00E224E9">
        <w:rPr>
          <w:rFonts w:ascii="標楷體" w:hAnsi="標楷體" w:hint="eastAsia"/>
          <w:color w:val="000000" w:themeColor="text1"/>
          <w:sz w:val="24"/>
        </w:rPr>
        <w:t>年</w:t>
      </w:r>
      <w:r w:rsidR="00F568FF" w:rsidRPr="00E224E9">
        <w:rPr>
          <w:rFonts w:ascii="標楷體" w:hAnsi="標楷體"/>
          <w:color w:val="000000" w:themeColor="text1"/>
          <w:sz w:val="24"/>
        </w:rPr>
        <w:t>11</w:t>
      </w:r>
      <w:r w:rsidR="00F568FF" w:rsidRPr="00E224E9">
        <w:rPr>
          <w:rFonts w:ascii="標楷體" w:hAnsi="標楷體" w:hint="eastAsia"/>
          <w:color w:val="000000" w:themeColor="text1"/>
          <w:sz w:val="24"/>
        </w:rPr>
        <w:t>月</w:t>
      </w:r>
      <w:r w:rsidR="00F568FF" w:rsidRPr="00E224E9">
        <w:rPr>
          <w:rFonts w:ascii="標楷體" w:hAnsi="標楷體"/>
          <w:color w:val="000000" w:themeColor="text1"/>
          <w:sz w:val="24"/>
        </w:rPr>
        <w:t>1</w:t>
      </w:r>
      <w:r w:rsidR="00F568FF" w:rsidRPr="00E224E9">
        <w:rPr>
          <w:rFonts w:ascii="標楷體" w:hAnsi="標楷體" w:hint="eastAsia"/>
          <w:color w:val="000000" w:themeColor="text1"/>
          <w:sz w:val="24"/>
        </w:rPr>
        <w:t>日起保險業新增實質互相投資於「國內金控公司」發行之</w:t>
      </w:r>
      <w:r w:rsidRPr="00E224E9">
        <w:rPr>
          <w:rFonts w:ascii="標楷體" w:hAnsi="標楷體" w:hint="eastAsia"/>
          <w:color w:val="000000" w:themeColor="text1"/>
          <w:sz w:val="24"/>
        </w:rPr>
        <w:t>具資本性質債券或負債型特別股。</w:t>
      </w:r>
    </w:p>
    <w:p w14:paraId="19A59A53" w14:textId="77777777" w:rsidR="00CE2374" w:rsidRPr="00E224E9" w:rsidRDefault="002A0F2E" w:rsidP="00CE2374">
      <w:pPr>
        <w:spacing w:line="360" w:lineRule="auto"/>
        <w:ind w:leftChars="54" w:left="728" w:rightChars="-48" w:right="-125" w:hangingChars="245" w:hanging="588"/>
        <w:rPr>
          <w:rFonts w:ascii="標楷體" w:hAnsi="標楷體"/>
          <w:color w:val="000000" w:themeColor="text1"/>
          <w:sz w:val="24"/>
        </w:rPr>
      </w:pPr>
      <w:r w:rsidRPr="00E224E9">
        <w:rPr>
          <w:rFonts w:ascii="標楷體" w:hAnsi="標楷體"/>
          <w:color w:val="000000" w:themeColor="text1"/>
          <w:sz w:val="24"/>
        </w:rPr>
        <w:t xml:space="preserve"> </w:t>
      </w:r>
      <w:r w:rsidR="00CE2374" w:rsidRPr="00E224E9">
        <w:rPr>
          <w:rFonts w:ascii="標楷體" w:hAnsi="標楷體"/>
          <w:color w:val="000000" w:themeColor="text1"/>
          <w:sz w:val="24"/>
        </w:rPr>
        <w:t>(</w:t>
      </w:r>
      <w:r w:rsidR="00CE2374" w:rsidRPr="00E224E9">
        <w:rPr>
          <w:rFonts w:ascii="標楷體" w:hAnsi="標楷體" w:hint="eastAsia"/>
          <w:color w:val="000000" w:themeColor="text1"/>
          <w:sz w:val="24"/>
        </w:rPr>
        <w:t>三</w:t>
      </w:r>
      <w:r w:rsidR="00CE2374" w:rsidRPr="00E224E9">
        <w:rPr>
          <w:rFonts w:ascii="標楷體" w:hAnsi="標楷體"/>
          <w:color w:val="000000" w:themeColor="text1"/>
          <w:sz w:val="24"/>
        </w:rPr>
        <w:t>)</w:t>
      </w:r>
      <w:r w:rsidR="00CE2374" w:rsidRPr="00E224E9">
        <w:rPr>
          <w:rFonts w:ascii="標楷體" w:hAnsi="標楷體" w:hint="eastAsia"/>
          <w:color w:val="000000" w:themeColor="text1"/>
          <w:sz w:val="24"/>
        </w:rPr>
        <w:t xml:space="preserve"> </w:t>
      </w:r>
      <w:r w:rsidR="009E5E3B" w:rsidRPr="00E224E9">
        <w:rPr>
          <w:rFonts w:ascii="標楷體" w:hAnsi="標楷體" w:hint="eastAsia"/>
          <w:color w:val="000000" w:themeColor="text1"/>
          <w:sz w:val="24"/>
        </w:rPr>
        <w:t>發行公司注資於保險業之比率(欄19)：</w:t>
      </w:r>
    </w:p>
    <w:p w14:paraId="011E1C00" w14:textId="77777777" w:rsidR="006F600C" w:rsidRPr="00E224E9" w:rsidRDefault="006F600C" w:rsidP="006F600C">
      <w:pPr>
        <w:spacing w:line="360" w:lineRule="auto"/>
        <w:ind w:leftChars="273" w:left="991" w:rightChars="-48" w:right="-125" w:hangingChars="117" w:hanging="281"/>
        <w:rPr>
          <w:rFonts w:ascii="標楷體" w:hAnsi="標楷體"/>
          <w:color w:val="000000" w:themeColor="text1"/>
          <w:sz w:val="24"/>
        </w:rPr>
      </w:pPr>
      <w:r w:rsidRPr="00E224E9">
        <w:rPr>
          <w:rFonts w:ascii="標楷體" w:hAnsi="標楷體" w:hint="eastAsia"/>
          <w:color w:val="000000" w:themeColor="text1"/>
          <w:sz w:val="24"/>
        </w:rPr>
        <w:t>1.若發行公司為保險公司則金額比率填列100%。</w:t>
      </w:r>
    </w:p>
    <w:p w14:paraId="7B24E82A" w14:textId="77777777" w:rsidR="006F600C" w:rsidRPr="00E224E9" w:rsidRDefault="006F600C" w:rsidP="006F600C">
      <w:pPr>
        <w:spacing w:line="360" w:lineRule="auto"/>
        <w:ind w:leftChars="273" w:left="991" w:rightChars="-48" w:right="-125" w:hangingChars="117" w:hanging="281"/>
        <w:rPr>
          <w:rFonts w:ascii="標楷體" w:hAnsi="標楷體"/>
          <w:color w:val="000000" w:themeColor="text1"/>
          <w:sz w:val="24"/>
        </w:rPr>
      </w:pPr>
      <w:r w:rsidRPr="00E224E9">
        <w:rPr>
          <w:rFonts w:ascii="標楷體" w:hAnsi="標楷體" w:hint="eastAsia"/>
          <w:color w:val="000000" w:themeColor="text1"/>
          <w:sz w:val="24"/>
        </w:rPr>
        <w:t>2.</w:t>
      </w:r>
      <w:r w:rsidR="009E5E3B" w:rsidRPr="00E224E9">
        <w:rPr>
          <w:rFonts w:ascii="標楷體" w:hAnsi="標楷體" w:hint="eastAsia"/>
          <w:color w:val="000000" w:themeColor="text1"/>
          <w:sz w:val="24"/>
        </w:rPr>
        <w:t>若發行公司為金控公司者，請填列注資於保險子公司之比率並應檢附相關文件佐證之，若未能提供佐證文件者，一律填列100%。</w:t>
      </w:r>
    </w:p>
    <w:p w14:paraId="51EB8DFE" w14:textId="77777777" w:rsidR="009E5E3B" w:rsidRPr="00E224E9" w:rsidRDefault="009E5E3B" w:rsidP="009E5E3B">
      <w:pPr>
        <w:spacing w:line="360" w:lineRule="auto"/>
        <w:ind w:leftChars="54" w:left="728" w:rightChars="-48" w:right="-125" w:hangingChars="245" w:hanging="588"/>
        <w:rPr>
          <w:rFonts w:ascii="標楷體" w:hAnsi="標楷體"/>
          <w:color w:val="000000" w:themeColor="text1"/>
          <w:sz w:val="24"/>
        </w:rPr>
      </w:pPr>
      <w:r w:rsidRPr="00E224E9">
        <w:rPr>
          <w:rFonts w:ascii="標楷體" w:hAnsi="標楷體" w:hint="eastAsia"/>
          <w:color w:val="000000" w:themeColor="text1"/>
          <w:sz w:val="24"/>
        </w:rPr>
        <w:t>(四)</w:t>
      </w:r>
      <w:r w:rsidRPr="00E224E9">
        <w:rPr>
          <w:rFonts w:ascii="標楷體" w:hAnsi="標楷體" w:hint="eastAsia"/>
          <w:color w:val="000000" w:themeColor="text1"/>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14:paraId="54B31C85" w14:textId="77777777" w:rsidR="009E5E3B" w:rsidRPr="00E224E9" w:rsidRDefault="009E5E3B" w:rsidP="009E5E3B">
      <w:pPr>
        <w:spacing w:line="360" w:lineRule="auto"/>
        <w:ind w:leftChars="272" w:left="724" w:rightChars="-48" w:right="-125" w:hangingChars="7" w:hanging="17"/>
        <w:rPr>
          <w:rFonts w:ascii="標楷體" w:hAnsi="標楷體"/>
          <w:color w:val="000000" w:themeColor="text1"/>
          <w:sz w:val="24"/>
        </w:rPr>
      </w:pPr>
      <w:r w:rsidRPr="00E224E9">
        <w:rPr>
          <w:rFonts w:ascii="標楷體" w:hAnsi="標楷體" w:hint="eastAsia"/>
          <w:color w:val="000000" w:themeColor="text1"/>
          <w:sz w:val="24"/>
          <w:bdr w:val="single" w:sz="4" w:space="0" w:color="auto"/>
        </w:rPr>
        <w:t>釋例</w:t>
      </w:r>
      <w:r w:rsidRPr="00E224E9">
        <w:rPr>
          <w:rFonts w:ascii="標楷體" w:hAnsi="標楷體" w:hint="eastAsia"/>
          <w:color w:val="000000" w:themeColor="text1"/>
          <w:sz w:val="24"/>
        </w:rPr>
        <w:t xml:space="preserve"> A保險公司投資B金控公司發行之7年期具資本性質債券，B金控公司依法於發行3年後，將發行餘額之80%計入自有資本，爰保險業應填列80%。</w:t>
      </w:r>
    </w:p>
    <w:p w14:paraId="7659EC96" w14:textId="77777777" w:rsidR="00240DD7" w:rsidRPr="00E224E9" w:rsidRDefault="00240DD7" w:rsidP="00F568FF">
      <w:pPr>
        <w:pStyle w:val="aff"/>
        <w:spacing w:beforeLines="100" w:before="240" w:afterLines="100" w:after="240" w:line="400" w:lineRule="exact"/>
        <w:ind w:left="781" w:hanging="781"/>
        <w:rPr>
          <w:rFonts w:ascii="標楷體" w:hAnsi="標楷體"/>
          <w:color w:val="000000" w:themeColor="text1"/>
        </w:rPr>
      </w:pPr>
      <w:r w:rsidRPr="00E224E9">
        <w:rPr>
          <w:rFonts w:ascii="標楷體" w:hAnsi="標楷體"/>
          <w:color w:val="000000" w:themeColor="text1"/>
        </w:rPr>
        <w:lastRenderedPageBreak/>
        <w:t>二、</w:t>
      </w:r>
      <w:r w:rsidRPr="00E224E9">
        <w:rPr>
          <w:rFonts w:ascii="標楷體" w:hAnsi="標楷體" w:hint="eastAsia"/>
          <w:color w:val="000000" w:themeColor="text1"/>
        </w:rPr>
        <w:t>自有資本及風險資本調整計算表</w:t>
      </w:r>
    </w:p>
    <w:p w14:paraId="72D62143" w14:textId="77777777" w:rsidR="009E5E3B" w:rsidRPr="00E224E9" w:rsidRDefault="00240DD7" w:rsidP="009E5E3B">
      <w:pPr>
        <w:spacing w:line="360" w:lineRule="auto"/>
        <w:ind w:leftChars="54" w:left="728" w:rightChars="-48" w:right="-125" w:hangingChars="245" w:hanging="588"/>
        <w:rPr>
          <w:rFonts w:ascii="標楷體" w:hAnsi="標楷體"/>
          <w:color w:val="000000" w:themeColor="text1"/>
          <w:sz w:val="24"/>
        </w:rPr>
      </w:pPr>
      <w:r w:rsidRPr="00E224E9">
        <w:rPr>
          <w:rFonts w:ascii="標楷體" w:hAnsi="標楷體"/>
          <w:color w:val="000000" w:themeColor="text1"/>
          <w:sz w:val="24"/>
        </w:rPr>
        <w:t>(一)</w:t>
      </w:r>
      <w:r w:rsidR="00CF0147" w:rsidRPr="00E224E9">
        <w:rPr>
          <w:rFonts w:ascii="標楷體" w:hAnsi="標楷體" w:hint="eastAsia"/>
          <w:color w:val="000000" w:themeColor="text1"/>
          <w:sz w:val="24"/>
        </w:rPr>
        <w:t xml:space="preserve"> </w:t>
      </w:r>
      <w:r w:rsidR="00B87C48" w:rsidRPr="00E224E9">
        <w:rPr>
          <w:rFonts w:ascii="標楷體" w:hAnsi="標楷體" w:hint="eastAsia"/>
          <w:color w:val="000000" w:themeColor="text1"/>
          <w:sz w:val="24"/>
        </w:rPr>
        <w:t>由自有資本扣除之金額：</w:t>
      </w:r>
      <w:r w:rsidR="00B87C48" w:rsidRPr="00E224E9">
        <w:rPr>
          <w:rFonts w:ascii="標楷體" w:hAnsi="標楷體"/>
          <w:color w:val="000000" w:themeColor="text1"/>
          <w:sz w:val="24"/>
        </w:rPr>
        <w:t xml:space="preserve"> </w:t>
      </w:r>
    </w:p>
    <w:p w14:paraId="1BC70167" w14:textId="77777777" w:rsidR="009E5E3B" w:rsidRPr="00E224E9" w:rsidRDefault="009E5E3B" w:rsidP="009E5E3B">
      <w:pPr>
        <w:spacing w:line="360" w:lineRule="auto"/>
        <w:ind w:leftChars="273" w:left="991" w:rightChars="-48" w:right="-125" w:hangingChars="117" w:hanging="281"/>
        <w:rPr>
          <w:rFonts w:ascii="標楷體" w:hAnsi="標楷體"/>
          <w:color w:val="000000" w:themeColor="text1"/>
          <w:sz w:val="24"/>
        </w:rPr>
      </w:pPr>
      <w:r w:rsidRPr="00E224E9">
        <w:rPr>
          <w:rFonts w:ascii="標楷體" w:hAnsi="標楷體" w:hint="eastAsia"/>
          <w:color w:val="000000" w:themeColor="text1"/>
          <w:sz w:val="24"/>
        </w:rPr>
        <w:t>1.</w:t>
      </w:r>
      <w:r w:rsidRPr="00E224E9">
        <w:rPr>
          <w:rFonts w:ascii="標楷體" w:hAnsi="標楷體" w:hint="eastAsia"/>
          <w:color w:val="000000" w:themeColor="text1"/>
          <w:sz w:val="24"/>
        </w:rPr>
        <w:tab/>
        <w:t>非屬實質互相投資具資本性質債券或負債型特別股：</w:t>
      </w:r>
    </w:p>
    <w:p w14:paraId="3C8D7BD9" w14:textId="77777777" w:rsidR="009E5E3B" w:rsidRPr="00E224E9" w:rsidRDefault="009E5E3B" w:rsidP="009E5E3B">
      <w:pPr>
        <w:spacing w:line="360" w:lineRule="auto"/>
        <w:ind w:leftChars="400" w:left="1400" w:rightChars="-48" w:right="-125" w:hangingChars="150" w:hanging="360"/>
        <w:rPr>
          <w:rFonts w:ascii="標楷體" w:hAnsi="標楷體"/>
          <w:color w:val="000000" w:themeColor="text1"/>
          <w:sz w:val="24"/>
        </w:rPr>
      </w:pPr>
      <w:r w:rsidRPr="00E224E9">
        <w:rPr>
          <w:rFonts w:ascii="標楷體" w:hAnsi="標楷體" w:hint="eastAsia"/>
          <w:color w:val="000000" w:themeColor="text1"/>
          <w:sz w:val="24"/>
        </w:rPr>
        <w:t>(1)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14:paraId="1AD50CD9" w14:textId="77777777" w:rsidR="009E5E3B" w:rsidRPr="00E224E9" w:rsidRDefault="009E5E3B" w:rsidP="009E5E3B">
      <w:pPr>
        <w:spacing w:line="360" w:lineRule="auto"/>
        <w:ind w:leftChars="400" w:left="1400" w:rightChars="-48" w:right="-125" w:hangingChars="150" w:hanging="360"/>
        <w:rPr>
          <w:rFonts w:ascii="標楷體" w:hAnsi="標楷體"/>
          <w:color w:val="000000" w:themeColor="text1"/>
          <w:sz w:val="24"/>
        </w:rPr>
      </w:pPr>
      <w:r w:rsidRPr="00E224E9">
        <w:rPr>
          <w:rFonts w:ascii="標楷體" w:hAnsi="標楷體" w:hint="eastAsia"/>
          <w:color w:val="000000" w:themeColor="text1"/>
          <w:sz w:val="24"/>
        </w:rPr>
        <w:t>(2)</w:t>
      </w:r>
      <w:r w:rsidRPr="00E224E9">
        <w:rPr>
          <w:rFonts w:ascii="標楷體" w:hAnsi="標楷體" w:hint="eastAsia"/>
          <w:color w:val="000000" w:themeColor="text1"/>
          <w:sz w:val="24"/>
        </w:rPr>
        <w:tab/>
        <w:t>108年11月1日前，保險業合計投資總額超過投資方評價日淨值之10%者，得自117年底適用1.(1)扣除之規定，惟若有新增投資，則自新增投資年度起立即適用。</w:t>
      </w:r>
    </w:p>
    <w:p w14:paraId="7A5AB293" w14:textId="77777777" w:rsidR="009E5E3B" w:rsidRPr="00E224E9" w:rsidRDefault="009E5E3B" w:rsidP="009E5E3B">
      <w:pPr>
        <w:spacing w:line="360" w:lineRule="auto"/>
        <w:ind w:leftChars="273" w:left="991" w:rightChars="-48" w:right="-125" w:hangingChars="117" w:hanging="281"/>
        <w:rPr>
          <w:rFonts w:ascii="標楷體" w:hAnsi="標楷體"/>
          <w:color w:val="000000" w:themeColor="text1"/>
          <w:sz w:val="24"/>
        </w:rPr>
      </w:pPr>
      <w:r w:rsidRPr="00E224E9">
        <w:rPr>
          <w:rFonts w:ascii="標楷體" w:hAnsi="標楷體" w:hint="eastAsia"/>
          <w:color w:val="000000" w:themeColor="text1"/>
          <w:sz w:val="24"/>
        </w:rPr>
        <w:t>2.</w:t>
      </w:r>
      <w:r w:rsidRPr="00E224E9">
        <w:rPr>
          <w:rFonts w:ascii="標楷體" w:hAnsi="標楷體" w:hint="eastAsia"/>
          <w:color w:val="000000" w:themeColor="text1"/>
          <w:sz w:val="24"/>
        </w:rPr>
        <w:tab/>
        <w:t>屬實質互相投資具資本性質債券或負債型特別股：</w:t>
      </w:r>
    </w:p>
    <w:p w14:paraId="0481B821" w14:textId="77777777" w:rsidR="009E5E3B" w:rsidRPr="00E224E9" w:rsidRDefault="009E5E3B" w:rsidP="009E5E3B">
      <w:pPr>
        <w:spacing w:line="360" w:lineRule="auto"/>
        <w:ind w:leftChars="400" w:left="1400" w:rightChars="-48" w:right="-125" w:hangingChars="150" w:hanging="360"/>
        <w:rPr>
          <w:rFonts w:ascii="標楷體" w:hAnsi="標楷體"/>
          <w:color w:val="000000" w:themeColor="text1"/>
          <w:sz w:val="24"/>
        </w:rPr>
      </w:pPr>
      <w:r w:rsidRPr="00E224E9">
        <w:rPr>
          <w:rFonts w:ascii="標楷體" w:hAnsi="標楷體" w:hint="eastAsia"/>
          <w:color w:val="000000" w:themeColor="text1"/>
          <w:sz w:val="24"/>
        </w:rPr>
        <w:t>(1)</w:t>
      </w:r>
      <w:r w:rsidRPr="00E224E9">
        <w:rPr>
          <w:rFonts w:ascii="標楷體" w:hAnsi="標楷體" w:hint="eastAsia"/>
          <w:color w:val="000000" w:themeColor="text1"/>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14:paraId="7F816DE0" w14:textId="77777777" w:rsidR="009E5E3B" w:rsidRPr="00E224E9" w:rsidRDefault="009E5E3B" w:rsidP="009E5E3B">
      <w:pPr>
        <w:spacing w:line="360" w:lineRule="auto"/>
        <w:ind w:leftChars="400" w:left="1400" w:rightChars="-48" w:right="-125" w:hangingChars="150" w:hanging="360"/>
        <w:rPr>
          <w:rFonts w:ascii="標楷體" w:hAnsi="標楷體"/>
          <w:color w:val="000000" w:themeColor="text1"/>
          <w:sz w:val="24"/>
        </w:rPr>
      </w:pPr>
      <w:r w:rsidRPr="00E224E9">
        <w:rPr>
          <w:rFonts w:ascii="標楷體" w:hAnsi="標楷體" w:hint="eastAsia"/>
          <w:color w:val="000000" w:themeColor="text1"/>
          <w:sz w:val="24"/>
        </w:rPr>
        <w:t>(2)</w:t>
      </w:r>
      <w:r w:rsidRPr="00E224E9">
        <w:rPr>
          <w:rFonts w:ascii="標楷體" w:hAnsi="標楷體" w:hint="eastAsia"/>
          <w:color w:val="000000" w:themeColor="text1"/>
          <w:sz w:val="24"/>
        </w:rPr>
        <w:tab/>
        <w:t>自108年11月1日起，保險業新增投資於「國內金控公司」發行之具資本性質債券或負債型特別股，始適用2.(1)扣除之規定。</w:t>
      </w:r>
    </w:p>
    <w:p w14:paraId="23612ACE" w14:textId="77777777" w:rsidR="009E5E3B" w:rsidRPr="00E224E9" w:rsidRDefault="009E5E3B" w:rsidP="004C790B">
      <w:pPr>
        <w:spacing w:line="360" w:lineRule="auto"/>
        <w:ind w:leftChars="54" w:left="728" w:rightChars="-48" w:right="-125" w:hangingChars="245" w:hanging="588"/>
        <w:rPr>
          <w:rFonts w:ascii="標楷體" w:hAnsi="標楷體"/>
          <w:color w:val="000000" w:themeColor="text1"/>
          <w:sz w:val="24"/>
        </w:rPr>
      </w:pPr>
      <w:r w:rsidRPr="00E224E9">
        <w:rPr>
          <w:rFonts w:ascii="標楷體" w:hAnsi="標楷體" w:hint="eastAsia"/>
          <w:color w:val="000000" w:themeColor="text1"/>
          <w:sz w:val="24"/>
        </w:rPr>
        <w:t>(二)</w:t>
      </w:r>
      <w:r w:rsidRPr="00E224E9">
        <w:rPr>
          <w:rFonts w:ascii="標楷體" w:hAnsi="標楷體" w:hint="eastAsia"/>
          <w:color w:val="000000" w:themeColor="text1"/>
          <w:sz w:val="24"/>
        </w:rPr>
        <w:tab/>
        <w:t>可減除計算風險資本之金額：上開(一)由自有資本扣除之金額，可於計算風險資本時予以抵減，計算公式詳表30-7-8之欄</w:t>
      </w:r>
      <w:r w:rsidR="004C790B" w:rsidRPr="00E224E9">
        <w:rPr>
          <w:rFonts w:ascii="標楷體" w:hAnsi="標楷體" w:hint="eastAsia"/>
          <w:color w:val="000000" w:themeColor="text1"/>
          <w:sz w:val="24"/>
        </w:rPr>
        <w:t>27</w:t>
      </w:r>
      <w:r w:rsidRPr="00E224E9">
        <w:rPr>
          <w:rFonts w:ascii="標楷體" w:hAnsi="標楷體" w:hint="eastAsia"/>
          <w:color w:val="000000" w:themeColor="text1"/>
          <w:sz w:val="24"/>
        </w:rPr>
        <w:t>、2</w:t>
      </w:r>
      <w:r w:rsidR="004C790B" w:rsidRPr="00E224E9">
        <w:rPr>
          <w:rFonts w:ascii="標楷體" w:hAnsi="標楷體" w:hint="eastAsia"/>
          <w:color w:val="000000" w:themeColor="text1"/>
          <w:sz w:val="24"/>
        </w:rPr>
        <w:t>8</w:t>
      </w:r>
      <w:r w:rsidRPr="00E224E9">
        <w:rPr>
          <w:rFonts w:ascii="標楷體" w:hAnsi="標楷體" w:hint="eastAsia"/>
          <w:color w:val="000000" w:themeColor="text1"/>
          <w:sz w:val="24"/>
        </w:rPr>
        <w:t>及2</w:t>
      </w:r>
      <w:r w:rsidR="004C790B" w:rsidRPr="00E224E9">
        <w:rPr>
          <w:rFonts w:ascii="標楷體" w:hAnsi="標楷體" w:hint="eastAsia"/>
          <w:color w:val="000000" w:themeColor="text1"/>
          <w:sz w:val="24"/>
        </w:rPr>
        <w:t>9</w:t>
      </w:r>
      <w:r w:rsidRPr="00E224E9">
        <w:rPr>
          <w:rFonts w:ascii="標楷體" w:hAnsi="標楷體" w:hint="eastAsia"/>
          <w:color w:val="000000" w:themeColor="text1"/>
          <w:sz w:val="24"/>
        </w:rPr>
        <w:t>。</w:t>
      </w:r>
    </w:p>
    <w:p w14:paraId="61B3E133" w14:textId="77777777" w:rsidR="004326D7" w:rsidRPr="00E224E9" w:rsidRDefault="004326D7" w:rsidP="00E074EB">
      <w:pPr>
        <w:spacing w:line="360" w:lineRule="auto"/>
        <w:ind w:leftChars="54" w:left="728" w:rightChars="-48" w:right="-125" w:hangingChars="245" w:hanging="588"/>
        <w:rPr>
          <w:rFonts w:ascii="標楷體" w:hAnsi="標楷體"/>
          <w:color w:val="000000" w:themeColor="text1"/>
          <w:sz w:val="24"/>
        </w:rPr>
      </w:pPr>
    </w:p>
    <w:p w14:paraId="4CD33C7D" w14:textId="77777777" w:rsidR="00065C53" w:rsidRPr="00E224E9" w:rsidRDefault="00065C53" w:rsidP="004E4131">
      <w:pPr>
        <w:pStyle w:val="1"/>
        <w:pageBreakBefore/>
        <w:spacing w:afterLines="0" w:line="440" w:lineRule="exact"/>
        <w:jc w:val="both"/>
        <w:rPr>
          <w:color w:val="000000" w:themeColor="text1"/>
        </w:rPr>
      </w:pPr>
      <w:bookmarkStart w:id="182" w:name="_Toc200468568"/>
      <w:r w:rsidRPr="00E224E9">
        <w:rPr>
          <w:color w:val="000000" w:themeColor="text1"/>
        </w:rPr>
        <w:lastRenderedPageBreak/>
        <w:t>表30-8：信用評等資訊調整表</w:t>
      </w:r>
      <w:bookmarkEnd w:id="180"/>
      <w:bookmarkEnd w:id="182"/>
    </w:p>
    <w:p w14:paraId="5EC474E1" w14:textId="77777777" w:rsidR="00065C53" w:rsidRPr="00E224E9" w:rsidRDefault="00065C53">
      <w:pPr>
        <w:spacing w:line="440" w:lineRule="exact"/>
        <w:ind w:firstLineChars="200" w:firstLine="480"/>
        <w:jc w:val="both"/>
        <w:rPr>
          <w:rFonts w:ascii="Book Antiqua" w:hAnsi="Book Antiqua"/>
          <w:color w:val="000000" w:themeColor="text1"/>
          <w:sz w:val="24"/>
        </w:rPr>
      </w:pPr>
      <w:r w:rsidRPr="00E224E9">
        <w:rPr>
          <w:rFonts w:ascii="Book Antiqua" w:hAnsi="Book Antiqua"/>
          <w:color w:val="000000" w:themeColor="text1"/>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31C4C40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一、保險業風險資本額制度調整項目：</w:t>
      </w:r>
    </w:p>
    <w:p w14:paraId="64A1877A"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目前保險業風險資本額制度考量納入信用評等額外資訊以作為係數扣減之風險項目如下：</w:t>
      </w:r>
    </w:p>
    <w:p w14:paraId="23D736FA" w14:textId="77777777" w:rsidR="00065C53" w:rsidRPr="00E224E9" w:rsidRDefault="00825A92">
      <w:pPr>
        <w:spacing w:line="440" w:lineRule="exact"/>
        <w:ind w:left="480"/>
        <w:jc w:val="both"/>
        <w:rPr>
          <w:rFonts w:ascii="Book Antiqua" w:hAnsi="Book Antiqua"/>
          <w:color w:val="000000" w:themeColor="text1"/>
          <w:sz w:val="24"/>
        </w:rPr>
      </w:pPr>
      <w:r w:rsidRPr="00E224E9">
        <w:rPr>
          <w:rFonts w:ascii="Book Antiqua" w:hAnsi="Book Antiqua" w:hint="eastAsia"/>
          <w:color w:val="000000" w:themeColor="text1"/>
          <w:sz w:val="24"/>
        </w:rPr>
        <w:t>(</w:t>
      </w:r>
      <w:r w:rsidR="00065C53" w:rsidRPr="00E224E9">
        <w:rPr>
          <w:rFonts w:ascii="Book Antiqua" w:hAnsi="Book Antiqua"/>
          <w:color w:val="000000" w:themeColor="text1"/>
          <w:sz w:val="24"/>
        </w:rPr>
        <w:t>一</w:t>
      </w:r>
      <w:r w:rsidRPr="00E224E9">
        <w:rPr>
          <w:rFonts w:ascii="Book Antiqua" w:hAnsi="Book Antiqua" w:hint="eastAsia"/>
          <w:color w:val="000000" w:themeColor="text1"/>
          <w:sz w:val="24"/>
        </w:rPr>
        <w:t xml:space="preserve">) </w:t>
      </w:r>
      <w:r w:rsidR="00065C53" w:rsidRPr="00E224E9">
        <w:rPr>
          <w:rFonts w:ascii="Book Antiqua" w:hAnsi="Book Antiqua"/>
          <w:color w:val="000000" w:themeColor="text1"/>
          <w:sz w:val="24"/>
        </w:rPr>
        <w:t>資產風險－關係人風險：</w:t>
      </w:r>
    </w:p>
    <w:p w14:paraId="1264DEA1"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1. </w:t>
      </w:r>
      <w:r w:rsidRPr="00E224E9">
        <w:rPr>
          <w:rFonts w:ascii="Book Antiqua" w:hAnsi="Book Antiqua"/>
          <w:color w:val="000000" w:themeColor="text1"/>
          <w:sz w:val="24"/>
        </w:rPr>
        <w:t>投資具控制與從屬關係存款</w:t>
      </w:r>
    </w:p>
    <w:p w14:paraId="42BD76BE"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2. </w:t>
      </w:r>
      <w:r w:rsidRPr="00E224E9">
        <w:rPr>
          <w:rFonts w:ascii="Book Antiqua" w:hAnsi="Book Antiqua"/>
          <w:color w:val="000000" w:themeColor="text1"/>
          <w:sz w:val="24"/>
        </w:rPr>
        <w:t>投資具控制與從屬關係債券型受益憑證</w:t>
      </w:r>
    </w:p>
    <w:p w14:paraId="79812FF6"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3. </w:t>
      </w:r>
      <w:r w:rsidRPr="00E224E9">
        <w:rPr>
          <w:rFonts w:ascii="Book Antiqua" w:hAnsi="Book Antiqua"/>
          <w:color w:val="000000" w:themeColor="text1"/>
          <w:sz w:val="24"/>
        </w:rPr>
        <w:t>投資具控制與從屬關係貨幣型受益憑證</w:t>
      </w:r>
    </w:p>
    <w:p w14:paraId="6C19E182"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4. </w:t>
      </w:r>
      <w:r w:rsidRPr="00E224E9">
        <w:rPr>
          <w:rFonts w:ascii="Book Antiqua" w:hAnsi="Book Antiqua"/>
          <w:color w:val="000000" w:themeColor="text1"/>
          <w:sz w:val="24"/>
        </w:rPr>
        <w:t>投資非控制與從屬關係關係人存款</w:t>
      </w:r>
    </w:p>
    <w:p w14:paraId="37ED1CDB"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5. </w:t>
      </w:r>
      <w:r w:rsidRPr="00E224E9">
        <w:rPr>
          <w:rFonts w:ascii="Book Antiqua" w:hAnsi="Book Antiqua"/>
          <w:color w:val="000000" w:themeColor="text1"/>
          <w:sz w:val="24"/>
        </w:rPr>
        <w:t>投資非控制與從屬關係關係人債券型受益憑證</w:t>
      </w:r>
    </w:p>
    <w:p w14:paraId="1E78D54D"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6. </w:t>
      </w:r>
      <w:r w:rsidRPr="00E224E9">
        <w:rPr>
          <w:rFonts w:ascii="Book Antiqua" w:hAnsi="Book Antiqua"/>
          <w:color w:val="000000" w:themeColor="text1"/>
          <w:sz w:val="24"/>
        </w:rPr>
        <w:t>投資非控制與從屬關係貨幣型受益憑證</w:t>
      </w:r>
    </w:p>
    <w:p w14:paraId="1C9BB95A" w14:textId="77777777" w:rsidR="00065C53" w:rsidRPr="00E224E9" w:rsidRDefault="00825A92">
      <w:pPr>
        <w:spacing w:line="440" w:lineRule="exact"/>
        <w:ind w:left="480"/>
        <w:jc w:val="both"/>
        <w:rPr>
          <w:rFonts w:ascii="Book Antiqua" w:hAnsi="Book Antiqua"/>
          <w:color w:val="000000" w:themeColor="text1"/>
          <w:sz w:val="24"/>
        </w:rPr>
      </w:pPr>
      <w:r w:rsidRPr="00E224E9">
        <w:rPr>
          <w:rFonts w:ascii="Book Antiqua" w:hAnsi="Book Antiqua" w:hint="eastAsia"/>
          <w:color w:val="000000" w:themeColor="text1"/>
          <w:sz w:val="24"/>
        </w:rPr>
        <w:t>(</w:t>
      </w:r>
      <w:r w:rsidR="00065C53" w:rsidRPr="00E224E9">
        <w:rPr>
          <w:rFonts w:ascii="Book Antiqua" w:hAnsi="Book Antiqua"/>
          <w:color w:val="000000" w:themeColor="text1"/>
          <w:sz w:val="24"/>
        </w:rPr>
        <w:t>二</w:t>
      </w:r>
      <w:r w:rsidRPr="00E224E9">
        <w:rPr>
          <w:rFonts w:ascii="Book Antiqua" w:hAnsi="Book Antiqua" w:hint="eastAsia"/>
          <w:color w:val="000000" w:themeColor="text1"/>
          <w:sz w:val="24"/>
        </w:rPr>
        <w:t xml:space="preserve">) </w:t>
      </w:r>
      <w:r w:rsidR="00065C53" w:rsidRPr="00E224E9">
        <w:rPr>
          <w:rFonts w:ascii="Book Antiqua" w:hAnsi="Book Antiqua"/>
          <w:color w:val="000000" w:themeColor="text1"/>
          <w:sz w:val="24"/>
        </w:rPr>
        <w:t>資產風險－非關係人風險：</w:t>
      </w:r>
    </w:p>
    <w:p w14:paraId="1D226506"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1. </w:t>
      </w:r>
      <w:r w:rsidRPr="00E224E9">
        <w:rPr>
          <w:rFonts w:ascii="Book Antiqua" w:hAnsi="Book Antiqua"/>
          <w:color w:val="000000" w:themeColor="text1"/>
          <w:sz w:val="24"/>
        </w:rPr>
        <w:t>債券型共同基金</w:t>
      </w:r>
    </w:p>
    <w:p w14:paraId="4B8A5AEA"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2. </w:t>
      </w:r>
      <w:r w:rsidRPr="00E224E9">
        <w:rPr>
          <w:rFonts w:ascii="Book Antiqua" w:hAnsi="Book Antiqua"/>
          <w:color w:val="000000" w:themeColor="text1"/>
          <w:sz w:val="24"/>
        </w:rPr>
        <w:t>貨幣型共同基金</w:t>
      </w:r>
    </w:p>
    <w:p w14:paraId="15CEA4A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二、信用評等機構：</w:t>
      </w:r>
    </w:p>
    <w:p w14:paraId="338EF50E" w14:textId="72CB16EC"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 xml:space="preserve">    Standard </w:t>
      </w:r>
      <w:r w:rsidRPr="00E224E9">
        <w:rPr>
          <w:rFonts w:ascii="Book Antiqua" w:hAnsi="Book Antiqua"/>
          <w:color w:val="000000" w:themeColor="text1"/>
          <w:sz w:val="24"/>
        </w:rPr>
        <w:t>＆</w:t>
      </w:r>
      <w:r w:rsidRPr="00E224E9">
        <w:rPr>
          <w:rFonts w:ascii="Book Antiqua" w:hAnsi="Book Antiqua"/>
          <w:color w:val="000000" w:themeColor="text1"/>
          <w:sz w:val="24"/>
        </w:rPr>
        <w:t xml:space="preserve"> Poor’s </w:t>
      </w:r>
      <w:r w:rsidRPr="00E224E9">
        <w:rPr>
          <w:rFonts w:ascii="Book Antiqua" w:hAnsi="Book Antiqua"/>
          <w:color w:val="000000" w:themeColor="text1"/>
          <w:sz w:val="24"/>
        </w:rPr>
        <w:t>公司、</w:t>
      </w:r>
      <w:r w:rsidRPr="00E224E9">
        <w:rPr>
          <w:rFonts w:ascii="Book Antiqua" w:hAnsi="Book Antiqua"/>
          <w:color w:val="000000" w:themeColor="text1"/>
          <w:sz w:val="24"/>
        </w:rPr>
        <w:t xml:space="preserve">A.M. Best </w:t>
      </w:r>
      <w:r w:rsidRPr="00E224E9">
        <w:rPr>
          <w:rFonts w:ascii="Book Antiqua" w:hAnsi="Book Antiqua"/>
          <w:color w:val="000000" w:themeColor="text1"/>
          <w:sz w:val="24"/>
        </w:rPr>
        <w:t>公司、</w:t>
      </w:r>
      <w:r w:rsidRPr="00E224E9">
        <w:rPr>
          <w:rFonts w:ascii="Book Antiqua" w:hAnsi="Book Antiqua"/>
          <w:color w:val="000000" w:themeColor="text1"/>
          <w:sz w:val="24"/>
        </w:rPr>
        <w:t xml:space="preserve">Moody’s </w:t>
      </w:r>
      <w:r w:rsidRPr="00E224E9">
        <w:rPr>
          <w:rFonts w:ascii="Book Antiqua" w:hAnsi="Book Antiqua"/>
          <w:color w:val="000000" w:themeColor="text1"/>
          <w:sz w:val="24"/>
        </w:rPr>
        <w:t>公司、</w:t>
      </w:r>
      <w:r w:rsidRPr="00E224E9">
        <w:rPr>
          <w:rFonts w:ascii="Book Antiqua" w:hAnsi="Book Antiqua"/>
          <w:color w:val="000000" w:themeColor="text1"/>
          <w:sz w:val="24"/>
        </w:rPr>
        <w:t xml:space="preserve">Fitch </w:t>
      </w:r>
      <w:r w:rsidRPr="00E224E9">
        <w:rPr>
          <w:rFonts w:ascii="Book Antiqua" w:hAnsi="Book Antiqua"/>
          <w:color w:val="000000" w:themeColor="text1"/>
          <w:sz w:val="24"/>
        </w:rPr>
        <w:t>公司</w:t>
      </w:r>
      <w:r w:rsidR="004C6F0A" w:rsidRPr="00E224E9">
        <w:rPr>
          <w:rFonts w:ascii="Book Antiqua" w:hAnsi="Book Antiqua" w:hint="eastAsia"/>
          <w:color w:val="000000" w:themeColor="text1"/>
          <w:sz w:val="24"/>
        </w:rPr>
        <w:t>、</w:t>
      </w:r>
      <w:r w:rsidR="004C6F0A" w:rsidRPr="00E224E9">
        <w:rPr>
          <w:rFonts w:ascii="Book Antiqua" w:hAnsi="Book Antiqua"/>
          <w:color w:val="000000" w:themeColor="text1"/>
          <w:sz w:val="24"/>
        </w:rPr>
        <w:t>KBRA</w:t>
      </w:r>
      <w:r w:rsidR="004C6F0A" w:rsidRPr="00E224E9">
        <w:rPr>
          <w:rFonts w:ascii="Book Antiqua" w:hAnsi="Book Antiqua" w:hint="eastAsia"/>
          <w:color w:val="000000" w:themeColor="text1"/>
          <w:sz w:val="24"/>
        </w:rPr>
        <w:t>公司</w:t>
      </w:r>
      <w:r w:rsidRPr="00E224E9">
        <w:rPr>
          <w:rFonts w:ascii="Book Antiqua" w:hAnsi="Book Antiqua"/>
          <w:color w:val="000000" w:themeColor="text1"/>
          <w:sz w:val="24"/>
        </w:rPr>
        <w:t>及中華信用評等公司之長期債信評等資訊。</w:t>
      </w:r>
    </w:p>
    <w:p w14:paraId="0E5BECE3"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三、信用評等標準：</w:t>
      </w:r>
    </w:p>
    <w:p w14:paraId="779B68EC" w14:textId="58D1F16F"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 xml:space="preserve">    Standard </w:t>
      </w:r>
      <w:r w:rsidRPr="00E224E9">
        <w:rPr>
          <w:rFonts w:ascii="Book Antiqua" w:hAnsi="Book Antiqua"/>
          <w:color w:val="000000" w:themeColor="text1"/>
          <w:sz w:val="24"/>
        </w:rPr>
        <w:t>＆</w:t>
      </w:r>
      <w:r w:rsidRPr="00E224E9">
        <w:rPr>
          <w:rFonts w:ascii="Book Antiqua" w:hAnsi="Book Antiqua"/>
          <w:color w:val="000000" w:themeColor="text1"/>
          <w:sz w:val="24"/>
        </w:rPr>
        <w:t xml:space="preserve"> Poor’s </w:t>
      </w:r>
      <w:r w:rsidRPr="00E224E9">
        <w:rPr>
          <w:rFonts w:ascii="Book Antiqua" w:hAnsi="Book Antiqua"/>
          <w:color w:val="000000" w:themeColor="text1"/>
          <w:sz w:val="24"/>
        </w:rPr>
        <w:t>公司</w:t>
      </w:r>
      <w:r w:rsidRPr="00E224E9">
        <w:rPr>
          <w:rFonts w:ascii="Book Antiqua" w:hAnsi="Book Antiqua"/>
          <w:color w:val="000000" w:themeColor="text1"/>
          <w:sz w:val="24"/>
        </w:rPr>
        <w:t>A</w:t>
      </w:r>
      <w:r w:rsidRPr="00E224E9">
        <w:rPr>
          <w:rFonts w:ascii="Book Antiqua" w:hAnsi="Book Antiqua"/>
          <w:color w:val="000000" w:themeColor="text1"/>
          <w:sz w:val="24"/>
        </w:rPr>
        <w:t>等級以上者；</w:t>
      </w:r>
      <w:r w:rsidRPr="00E224E9">
        <w:rPr>
          <w:rFonts w:ascii="Book Antiqua" w:hAnsi="Book Antiqua"/>
          <w:color w:val="000000" w:themeColor="text1"/>
          <w:sz w:val="24"/>
        </w:rPr>
        <w:t xml:space="preserve">A.M. Best </w:t>
      </w:r>
      <w:r w:rsidRPr="00E224E9">
        <w:rPr>
          <w:rFonts w:ascii="Book Antiqua" w:hAnsi="Book Antiqua"/>
          <w:color w:val="000000" w:themeColor="text1"/>
          <w:sz w:val="24"/>
        </w:rPr>
        <w:t>公司</w:t>
      </w:r>
      <w:r w:rsidRPr="00E224E9">
        <w:rPr>
          <w:rFonts w:ascii="Book Antiqua" w:hAnsi="Book Antiqua"/>
          <w:color w:val="000000" w:themeColor="text1"/>
          <w:sz w:val="24"/>
        </w:rPr>
        <w:t>a</w:t>
      </w:r>
      <w:r w:rsidRPr="00E224E9">
        <w:rPr>
          <w:rFonts w:ascii="Book Antiqua" w:hAnsi="Book Antiqua"/>
          <w:color w:val="000000" w:themeColor="text1"/>
          <w:sz w:val="24"/>
        </w:rPr>
        <w:t>等級以上者；</w:t>
      </w:r>
      <w:r w:rsidRPr="00E224E9">
        <w:rPr>
          <w:rFonts w:ascii="Book Antiqua" w:hAnsi="Book Antiqua"/>
          <w:color w:val="000000" w:themeColor="text1"/>
          <w:sz w:val="24"/>
        </w:rPr>
        <w:t xml:space="preserve">Moody’s </w:t>
      </w:r>
      <w:r w:rsidRPr="00E224E9">
        <w:rPr>
          <w:rFonts w:ascii="Book Antiqua" w:hAnsi="Book Antiqua"/>
          <w:color w:val="000000" w:themeColor="text1"/>
          <w:sz w:val="24"/>
        </w:rPr>
        <w:t>公司</w:t>
      </w:r>
      <w:r w:rsidRPr="00E224E9">
        <w:rPr>
          <w:rFonts w:ascii="Book Antiqua" w:hAnsi="Book Antiqua"/>
          <w:color w:val="000000" w:themeColor="text1"/>
          <w:sz w:val="24"/>
        </w:rPr>
        <w:t>A</w:t>
      </w:r>
      <w:r w:rsidRPr="00E224E9">
        <w:rPr>
          <w:rFonts w:ascii="Book Antiqua" w:hAnsi="Book Antiqua"/>
          <w:color w:val="000000" w:themeColor="text1"/>
          <w:sz w:val="24"/>
        </w:rPr>
        <w:t>等級以上者；</w:t>
      </w:r>
      <w:r w:rsidRPr="00E224E9">
        <w:rPr>
          <w:rFonts w:ascii="Book Antiqua" w:hAnsi="Book Antiqua"/>
          <w:color w:val="000000" w:themeColor="text1"/>
          <w:sz w:val="24"/>
        </w:rPr>
        <w:t xml:space="preserve">Fitch </w:t>
      </w:r>
      <w:r w:rsidRPr="00E224E9">
        <w:rPr>
          <w:rFonts w:ascii="Book Antiqua" w:hAnsi="Book Antiqua"/>
          <w:color w:val="000000" w:themeColor="text1"/>
          <w:sz w:val="24"/>
        </w:rPr>
        <w:t>公司</w:t>
      </w:r>
      <w:r w:rsidRPr="00E224E9">
        <w:rPr>
          <w:rFonts w:ascii="Book Antiqua" w:hAnsi="Book Antiqua"/>
          <w:color w:val="000000" w:themeColor="text1"/>
          <w:sz w:val="24"/>
        </w:rPr>
        <w:t>A</w:t>
      </w:r>
      <w:r w:rsidRPr="00E224E9">
        <w:rPr>
          <w:rFonts w:ascii="Book Antiqua" w:hAnsi="Book Antiqua"/>
          <w:color w:val="000000" w:themeColor="text1"/>
          <w:sz w:val="24"/>
        </w:rPr>
        <w:t>等級以上者</w:t>
      </w:r>
      <w:r w:rsidR="004C6F0A" w:rsidRPr="00E224E9">
        <w:rPr>
          <w:rFonts w:ascii="Book Antiqua" w:hAnsi="Book Antiqua" w:hint="eastAsia"/>
          <w:color w:val="000000" w:themeColor="text1"/>
          <w:sz w:val="24"/>
        </w:rPr>
        <w:t>；</w:t>
      </w:r>
      <w:r w:rsidR="004C6F0A" w:rsidRPr="00E224E9">
        <w:rPr>
          <w:rFonts w:ascii="Book Antiqua" w:hAnsi="Book Antiqua"/>
          <w:color w:val="000000" w:themeColor="text1"/>
          <w:sz w:val="24"/>
        </w:rPr>
        <w:t>KBRA</w:t>
      </w:r>
      <w:r w:rsidR="004C6F0A" w:rsidRPr="00E224E9">
        <w:rPr>
          <w:rFonts w:ascii="Book Antiqua" w:hAnsi="Book Antiqua" w:hint="eastAsia"/>
          <w:color w:val="000000" w:themeColor="text1"/>
          <w:sz w:val="24"/>
        </w:rPr>
        <w:t>公司</w:t>
      </w:r>
      <w:r w:rsidR="004C6F0A" w:rsidRPr="00E224E9">
        <w:rPr>
          <w:rFonts w:ascii="Book Antiqua" w:hAnsi="Book Antiqua"/>
          <w:color w:val="000000" w:themeColor="text1"/>
          <w:sz w:val="24"/>
        </w:rPr>
        <w:t>A</w:t>
      </w:r>
      <w:r w:rsidR="004C6F0A" w:rsidRPr="00E224E9">
        <w:rPr>
          <w:rFonts w:ascii="Book Antiqua" w:hAnsi="Book Antiqua" w:hint="eastAsia"/>
          <w:color w:val="000000" w:themeColor="text1"/>
          <w:sz w:val="24"/>
        </w:rPr>
        <w:t>等級以上者</w:t>
      </w:r>
      <w:r w:rsidRPr="00E224E9">
        <w:rPr>
          <w:rFonts w:ascii="Book Antiqua" w:hAnsi="Book Antiqua"/>
          <w:color w:val="000000" w:themeColor="text1"/>
          <w:sz w:val="24"/>
        </w:rPr>
        <w:t>及中華信用評等公司</w:t>
      </w:r>
      <w:r w:rsidRPr="00E224E9">
        <w:rPr>
          <w:rFonts w:ascii="Book Antiqua" w:hAnsi="Book Antiqua"/>
          <w:color w:val="000000" w:themeColor="text1"/>
          <w:sz w:val="24"/>
        </w:rPr>
        <w:t>twAA</w:t>
      </w:r>
      <w:r w:rsidRPr="00E224E9">
        <w:rPr>
          <w:rFonts w:ascii="Book Antiqua" w:hAnsi="Book Antiqua"/>
          <w:color w:val="000000" w:themeColor="text1"/>
          <w:sz w:val="24"/>
        </w:rPr>
        <w:t>等級以上者。</w:t>
      </w:r>
    </w:p>
    <w:p w14:paraId="2015293C"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6"/>
      </w:tblGrid>
      <w:tr w:rsidR="00E224E9" w:rsidRPr="00E224E9" w14:paraId="006EAC1B" w14:textId="77777777">
        <w:trPr>
          <w:trHeight w:val="287"/>
        </w:trPr>
        <w:tc>
          <w:tcPr>
            <w:tcW w:w="2397" w:type="dxa"/>
          </w:tcPr>
          <w:p w14:paraId="66DBB43E"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係數折扣數</w:t>
            </w:r>
          </w:p>
        </w:tc>
        <w:tc>
          <w:tcPr>
            <w:tcW w:w="6792" w:type="dxa"/>
          </w:tcPr>
          <w:p w14:paraId="159E996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評等機構及等級</w:t>
            </w:r>
          </w:p>
        </w:tc>
      </w:tr>
      <w:tr w:rsidR="00E224E9" w:rsidRPr="00E224E9" w14:paraId="625E11E3" w14:textId="77777777">
        <w:trPr>
          <w:trHeight w:val="575"/>
        </w:trPr>
        <w:tc>
          <w:tcPr>
            <w:tcW w:w="2397" w:type="dxa"/>
            <w:vAlign w:val="center"/>
          </w:tcPr>
          <w:p w14:paraId="30CD2C1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AAA</w:t>
            </w:r>
            <w:r w:rsidRPr="00E224E9">
              <w:rPr>
                <w:rFonts w:ascii="Book Antiqua" w:hAnsi="Book Antiqua"/>
                <w:color w:val="000000" w:themeColor="text1"/>
                <w:sz w:val="24"/>
              </w:rPr>
              <w:t>者折扣</w:t>
            </w:r>
            <w:r w:rsidRPr="00E224E9">
              <w:rPr>
                <w:rFonts w:ascii="Book Antiqua" w:hAnsi="Book Antiqua"/>
                <w:color w:val="000000" w:themeColor="text1"/>
                <w:sz w:val="24"/>
              </w:rPr>
              <w:t>15</w:t>
            </w:r>
            <w:r w:rsidRPr="00E224E9">
              <w:rPr>
                <w:rFonts w:ascii="Book Antiqua" w:hAnsi="Book Antiqua"/>
                <w:color w:val="000000" w:themeColor="text1"/>
                <w:sz w:val="24"/>
              </w:rPr>
              <w:t>％</w:t>
            </w:r>
          </w:p>
        </w:tc>
        <w:tc>
          <w:tcPr>
            <w:tcW w:w="6792" w:type="dxa"/>
          </w:tcPr>
          <w:p w14:paraId="4A20AB72" w14:textId="0C17963E"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S&amp;P AAA</w:t>
            </w:r>
            <w:r w:rsidRPr="00E224E9">
              <w:rPr>
                <w:rFonts w:ascii="Book Antiqua" w:hAnsi="Book Antiqua"/>
                <w:color w:val="000000" w:themeColor="text1"/>
                <w:sz w:val="24"/>
              </w:rPr>
              <w:t>等級、</w:t>
            </w:r>
            <w:r w:rsidRPr="00E224E9">
              <w:rPr>
                <w:rFonts w:ascii="Book Antiqua" w:hAnsi="Book Antiqua"/>
                <w:color w:val="000000" w:themeColor="text1"/>
                <w:sz w:val="24"/>
              </w:rPr>
              <w:t>A.M. Best aaa</w:t>
            </w:r>
            <w:r w:rsidRPr="00E224E9">
              <w:rPr>
                <w:rFonts w:ascii="Book Antiqua" w:hAnsi="Book Antiqua"/>
                <w:color w:val="000000" w:themeColor="text1"/>
                <w:sz w:val="24"/>
              </w:rPr>
              <w:t>等級、</w:t>
            </w:r>
            <w:r w:rsidRPr="00E224E9">
              <w:rPr>
                <w:rFonts w:ascii="Book Antiqua" w:hAnsi="Book Antiqua"/>
                <w:color w:val="000000" w:themeColor="text1"/>
                <w:sz w:val="24"/>
              </w:rPr>
              <w:t>Moody’s Aaa</w:t>
            </w:r>
            <w:r w:rsidRPr="00E224E9">
              <w:rPr>
                <w:rFonts w:ascii="Book Antiqua" w:hAnsi="Book Antiqua"/>
                <w:color w:val="000000" w:themeColor="text1"/>
                <w:sz w:val="24"/>
              </w:rPr>
              <w:t>等級、</w:t>
            </w:r>
            <w:r w:rsidRPr="00E224E9">
              <w:rPr>
                <w:rFonts w:ascii="Book Antiqua" w:hAnsi="Book Antiqua"/>
                <w:color w:val="000000" w:themeColor="text1"/>
                <w:sz w:val="24"/>
              </w:rPr>
              <w:t>Fitch AAA</w:t>
            </w:r>
            <w:r w:rsidRPr="00E224E9">
              <w:rPr>
                <w:rFonts w:ascii="Book Antiqua" w:hAnsi="Book Antiqua"/>
                <w:color w:val="000000" w:themeColor="text1"/>
                <w:sz w:val="24"/>
              </w:rPr>
              <w:t>等級</w:t>
            </w:r>
            <w:r w:rsidR="004C6F0A" w:rsidRPr="00E224E9">
              <w:rPr>
                <w:rFonts w:ascii="Book Antiqua" w:hAnsi="Book Antiqua" w:hint="eastAsia"/>
                <w:color w:val="000000" w:themeColor="text1"/>
                <w:sz w:val="24"/>
              </w:rPr>
              <w:t>、</w:t>
            </w:r>
            <w:r w:rsidR="004C6F0A" w:rsidRPr="00E224E9">
              <w:rPr>
                <w:rFonts w:ascii="Book Antiqua" w:hAnsi="Book Antiqua"/>
                <w:color w:val="000000" w:themeColor="text1"/>
                <w:sz w:val="24"/>
              </w:rPr>
              <w:t>KBRA AAA</w:t>
            </w:r>
            <w:r w:rsidR="004C6F0A" w:rsidRPr="00E224E9">
              <w:rPr>
                <w:rFonts w:ascii="Book Antiqua" w:hAnsi="Book Antiqua" w:hint="eastAsia"/>
                <w:color w:val="000000" w:themeColor="text1"/>
                <w:sz w:val="24"/>
              </w:rPr>
              <w:t>等級</w:t>
            </w:r>
            <w:r w:rsidRPr="00E224E9">
              <w:rPr>
                <w:rFonts w:ascii="Book Antiqua" w:hAnsi="Book Antiqua"/>
                <w:color w:val="000000" w:themeColor="text1"/>
                <w:sz w:val="24"/>
              </w:rPr>
              <w:t>者。</w:t>
            </w:r>
          </w:p>
        </w:tc>
      </w:tr>
      <w:tr w:rsidR="00E224E9" w:rsidRPr="00E224E9" w14:paraId="318B47C2" w14:textId="77777777">
        <w:trPr>
          <w:trHeight w:val="575"/>
        </w:trPr>
        <w:tc>
          <w:tcPr>
            <w:tcW w:w="2397" w:type="dxa"/>
            <w:vAlign w:val="center"/>
          </w:tcPr>
          <w:p w14:paraId="4DE10EF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AA</w:t>
            </w:r>
            <w:r w:rsidRPr="00E224E9">
              <w:rPr>
                <w:rFonts w:ascii="Book Antiqua" w:hAnsi="Book Antiqua"/>
                <w:color w:val="000000" w:themeColor="text1"/>
                <w:sz w:val="24"/>
              </w:rPr>
              <w:t>者折扣</w:t>
            </w:r>
            <w:r w:rsidRPr="00E224E9">
              <w:rPr>
                <w:rFonts w:ascii="Book Antiqua" w:hAnsi="Book Antiqua"/>
                <w:color w:val="000000" w:themeColor="text1"/>
                <w:sz w:val="24"/>
              </w:rPr>
              <w:t>10</w:t>
            </w:r>
            <w:r w:rsidRPr="00E224E9">
              <w:rPr>
                <w:rFonts w:ascii="Book Antiqua" w:hAnsi="Book Antiqua"/>
                <w:color w:val="000000" w:themeColor="text1"/>
                <w:sz w:val="24"/>
              </w:rPr>
              <w:t>％</w:t>
            </w:r>
          </w:p>
        </w:tc>
        <w:tc>
          <w:tcPr>
            <w:tcW w:w="6792" w:type="dxa"/>
          </w:tcPr>
          <w:p w14:paraId="4E085AAC" w14:textId="4494EF50"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S&amp;P AA</w:t>
            </w:r>
            <w:r w:rsidRPr="00E224E9">
              <w:rPr>
                <w:rFonts w:ascii="Book Antiqua" w:hAnsi="Book Antiqua"/>
                <w:color w:val="000000" w:themeColor="text1"/>
                <w:sz w:val="24"/>
              </w:rPr>
              <w:t>等級、</w:t>
            </w:r>
            <w:r w:rsidRPr="00E224E9">
              <w:rPr>
                <w:rFonts w:ascii="Book Antiqua" w:hAnsi="Book Antiqua"/>
                <w:color w:val="000000" w:themeColor="text1"/>
                <w:sz w:val="24"/>
              </w:rPr>
              <w:t>A.M. Best aa</w:t>
            </w:r>
            <w:r w:rsidRPr="00E224E9">
              <w:rPr>
                <w:rFonts w:ascii="Book Antiqua" w:hAnsi="Book Antiqua"/>
                <w:color w:val="000000" w:themeColor="text1"/>
                <w:sz w:val="24"/>
              </w:rPr>
              <w:t>等級、</w:t>
            </w:r>
            <w:r w:rsidRPr="00E224E9">
              <w:rPr>
                <w:rFonts w:ascii="Book Antiqua" w:hAnsi="Book Antiqua"/>
                <w:color w:val="000000" w:themeColor="text1"/>
                <w:sz w:val="24"/>
              </w:rPr>
              <w:t>Moody’s Aa</w:t>
            </w:r>
            <w:r w:rsidRPr="00E224E9">
              <w:rPr>
                <w:rFonts w:ascii="Book Antiqua" w:hAnsi="Book Antiqua"/>
                <w:color w:val="000000" w:themeColor="text1"/>
                <w:sz w:val="24"/>
              </w:rPr>
              <w:t>等級、</w:t>
            </w:r>
            <w:r w:rsidRPr="00E224E9">
              <w:rPr>
                <w:rFonts w:ascii="Book Antiqua" w:hAnsi="Book Antiqua"/>
                <w:color w:val="000000" w:themeColor="text1"/>
                <w:sz w:val="24"/>
              </w:rPr>
              <w:t>Fitch AA</w:t>
            </w:r>
            <w:r w:rsidRPr="00E224E9">
              <w:rPr>
                <w:rFonts w:ascii="Book Antiqua" w:hAnsi="Book Antiqua"/>
                <w:color w:val="000000" w:themeColor="text1"/>
                <w:sz w:val="24"/>
              </w:rPr>
              <w:t>等級、中華信用評等公司</w:t>
            </w:r>
            <w:r w:rsidRPr="00E224E9">
              <w:rPr>
                <w:rFonts w:ascii="Book Antiqua" w:hAnsi="Book Antiqua"/>
                <w:color w:val="000000" w:themeColor="text1"/>
                <w:sz w:val="24"/>
              </w:rPr>
              <w:t>twAAA</w:t>
            </w:r>
            <w:r w:rsidRPr="00E224E9">
              <w:rPr>
                <w:rFonts w:ascii="Book Antiqua" w:hAnsi="Book Antiqua"/>
                <w:color w:val="000000" w:themeColor="text1"/>
                <w:sz w:val="24"/>
              </w:rPr>
              <w:t>等級</w:t>
            </w:r>
            <w:r w:rsidR="004C6F0A" w:rsidRPr="00E224E9">
              <w:rPr>
                <w:rFonts w:ascii="Book Antiqua" w:hAnsi="Book Antiqua" w:hint="eastAsia"/>
                <w:color w:val="000000" w:themeColor="text1"/>
                <w:sz w:val="24"/>
              </w:rPr>
              <w:t>、</w:t>
            </w:r>
            <w:r w:rsidR="004C6F0A" w:rsidRPr="00E224E9">
              <w:rPr>
                <w:rFonts w:ascii="Book Antiqua" w:hAnsi="Book Antiqua"/>
                <w:color w:val="000000" w:themeColor="text1"/>
                <w:sz w:val="24"/>
              </w:rPr>
              <w:t>KBRA AA</w:t>
            </w:r>
            <w:r w:rsidR="004C6F0A" w:rsidRPr="00E224E9">
              <w:rPr>
                <w:rFonts w:ascii="Book Antiqua" w:hAnsi="Book Antiqua" w:hint="eastAsia"/>
                <w:color w:val="000000" w:themeColor="text1"/>
                <w:sz w:val="24"/>
              </w:rPr>
              <w:t>等級</w:t>
            </w:r>
            <w:r w:rsidRPr="00E224E9">
              <w:rPr>
                <w:rFonts w:ascii="Book Antiqua" w:hAnsi="Book Antiqua"/>
                <w:color w:val="000000" w:themeColor="text1"/>
                <w:sz w:val="24"/>
              </w:rPr>
              <w:t>者。</w:t>
            </w:r>
          </w:p>
        </w:tc>
      </w:tr>
      <w:tr w:rsidR="00E224E9" w:rsidRPr="00E224E9" w14:paraId="139782A2" w14:textId="77777777">
        <w:trPr>
          <w:trHeight w:val="575"/>
        </w:trPr>
        <w:tc>
          <w:tcPr>
            <w:tcW w:w="2397" w:type="dxa"/>
            <w:vAlign w:val="center"/>
          </w:tcPr>
          <w:p w14:paraId="474CBE0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lastRenderedPageBreak/>
              <w:t>A</w:t>
            </w:r>
            <w:r w:rsidRPr="00E224E9">
              <w:rPr>
                <w:rFonts w:ascii="Book Antiqua" w:hAnsi="Book Antiqua"/>
                <w:color w:val="000000" w:themeColor="text1"/>
                <w:sz w:val="24"/>
              </w:rPr>
              <w:t>者折扣</w:t>
            </w:r>
            <w:r w:rsidRPr="00E224E9">
              <w:rPr>
                <w:rFonts w:ascii="Book Antiqua" w:hAnsi="Book Antiqua"/>
                <w:color w:val="000000" w:themeColor="text1"/>
                <w:sz w:val="24"/>
              </w:rPr>
              <w:t>5</w:t>
            </w:r>
            <w:r w:rsidRPr="00E224E9">
              <w:rPr>
                <w:rFonts w:ascii="Book Antiqua" w:hAnsi="Book Antiqua"/>
                <w:color w:val="000000" w:themeColor="text1"/>
                <w:sz w:val="24"/>
              </w:rPr>
              <w:t>％</w:t>
            </w:r>
          </w:p>
        </w:tc>
        <w:tc>
          <w:tcPr>
            <w:tcW w:w="6792" w:type="dxa"/>
          </w:tcPr>
          <w:p w14:paraId="66242475" w14:textId="743B7F25"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S&amp;P A</w:t>
            </w:r>
            <w:r w:rsidRPr="00E224E9">
              <w:rPr>
                <w:rFonts w:ascii="Book Antiqua" w:hAnsi="Book Antiqua"/>
                <w:color w:val="000000" w:themeColor="text1"/>
                <w:sz w:val="24"/>
              </w:rPr>
              <w:t>等級、</w:t>
            </w:r>
            <w:r w:rsidRPr="00E224E9">
              <w:rPr>
                <w:rFonts w:ascii="Book Antiqua" w:hAnsi="Book Antiqua"/>
                <w:color w:val="000000" w:themeColor="text1"/>
                <w:sz w:val="24"/>
              </w:rPr>
              <w:t>A.M. Best a</w:t>
            </w:r>
            <w:r w:rsidRPr="00E224E9">
              <w:rPr>
                <w:rFonts w:ascii="Book Antiqua" w:hAnsi="Book Antiqua"/>
                <w:color w:val="000000" w:themeColor="text1"/>
                <w:sz w:val="24"/>
              </w:rPr>
              <w:t>等級、</w:t>
            </w:r>
            <w:r w:rsidRPr="00E224E9">
              <w:rPr>
                <w:rFonts w:ascii="Book Antiqua" w:hAnsi="Book Antiqua"/>
                <w:color w:val="000000" w:themeColor="text1"/>
                <w:sz w:val="24"/>
              </w:rPr>
              <w:t>Moody’s A</w:t>
            </w:r>
            <w:r w:rsidRPr="00E224E9">
              <w:rPr>
                <w:rFonts w:ascii="Book Antiqua" w:hAnsi="Book Antiqua"/>
                <w:color w:val="000000" w:themeColor="text1"/>
                <w:sz w:val="24"/>
              </w:rPr>
              <w:t>等級、</w:t>
            </w:r>
            <w:r w:rsidRPr="00E224E9">
              <w:rPr>
                <w:rFonts w:ascii="Book Antiqua" w:hAnsi="Book Antiqua"/>
                <w:color w:val="000000" w:themeColor="text1"/>
                <w:sz w:val="24"/>
              </w:rPr>
              <w:t>Fitch A</w:t>
            </w:r>
            <w:r w:rsidRPr="00E224E9">
              <w:rPr>
                <w:rFonts w:ascii="Book Antiqua" w:hAnsi="Book Antiqua"/>
                <w:color w:val="000000" w:themeColor="text1"/>
                <w:sz w:val="24"/>
              </w:rPr>
              <w:t>等級、中華信用評等公司</w:t>
            </w:r>
            <w:r w:rsidRPr="00E224E9">
              <w:rPr>
                <w:rFonts w:ascii="Book Antiqua" w:hAnsi="Book Antiqua"/>
                <w:color w:val="000000" w:themeColor="text1"/>
                <w:sz w:val="24"/>
              </w:rPr>
              <w:t>twAA</w:t>
            </w:r>
            <w:r w:rsidRPr="00E224E9">
              <w:rPr>
                <w:rFonts w:ascii="Book Antiqua" w:hAnsi="Book Antiqua"/>
                <w:color w:val="000000" w:themeColor="text1"/>
                <w:sz w:val="24"/>
              </w:rPr>
              <w:t>等級</w:t>
            </w:r>
            <w:r w:rsidR="004C6F0A" w:rsidRPr="00E224E9">
              <w:rPr>
                <w:rFonts w:ascii="Book Antiqua" w:hAnsi="Book Antiqua" w:hint="eastAsia"/>
                <w:color w:val="000000" w:themeColor="text1"/>
                <w:sz w:val="24"/>
              </w:rPr>
              <w:t>、</w:t>
            </w:r>
            <w:r w:rsidR="004C6F0A" w:rsidRPr="00E224E9">
              <w:rPr>
                <w:rFonts w:ascii="Book Antiqua" w:hAnsi="Book Antiqua"/>
                <w:color w:val="000000" w:themeColor="text1"/>
                <w:sz w:val="24"/>
              </w:rPr>
              <w:t>KBRA A</w:t>
            </w:r>
            <w:r w:rsidR="004C6F0A" w:rsidRPr="00E224E9">
              <w:rPr>
                <w:rFonts w:ascii="Book Antiqua" w:hAnsi="Book Antiqua" w:hint="eastAsia"/>
                <w:color w:val="000000" w:themeColor="text1"/>
                <w:sz w:val="24"/>
              </w:rPr>
              <w:t>等級</w:t>
            </w:r>
            <w:r w:rsidRPr="00E224E9">
              <w:rPr>
                <w:rFonts w:ascii="Book Antiqua" w:hAnsi="Book Antiqua"/>
                <w:color w:val="000000" w:themeColor="text1"/>
                <w:sz w:val="24"/>
              </w:rPr>
              <w:t>者。</w:t>
            </w:r>
          </w:p>
        </w:tc>
      </w:tr>
    </w:tbl>
    <w:p w14:paraId="367B4A6F" w14:textId="77777777" w:rsidR="00065C53" w:rsidRPr="00E224E9" w:rsidRDefault="00065C53">
      <w:pPr>
        <w:pStyle w:val="af1"/>
        <w:spacing w:before="0" w:after="0" w:line="440" w:lineRule="exact"/>
        <w:jc w:val="both"/>
        <w:rPr>
          <w:rFonts w:ascii="Book Antiqua" w:eastAsia="標楷體" w:hAnsi="Book Antiqua"/>
          <w:color w:val="000000" w:themeColor="text1"/>
          <w:sz w:val="24"/>
          <w:szCs w:val="24"/>
        </w:rPr>
      </w:pPr>
      <w:r w:rsidRPr="00E224E9">
        <w:rPr>
          <w:rFonts w:ascii="Book Antiqua" w:eastAsia="標楷體" w:hAnsi="Book Antiqua"/>
          <w:color w:val="000000" w:themeColor="text1"/>
          <w:sz w:val="24"/>
          <w:szCs w:val="24"/>
        </w:rPr>
        <w:t xml:space="preserve">    </w:t>
      </w:r>
      <w:r w:rsidRPr="00E224E9">
        <w:rPr>
          <w:rFonts w:ascii="Book Antiqua" w:eastAsia="標楷體" w:hAnsi="Book Antiqua"/>
          <w:color w:val="000000" w:themeColor="text1"/>
          <w:sz w:val="24"/>
          <w:szCs w:val="24"/>
        </w:rPr>
        <w:t>註：若同一投資標的或金融機構經多家信用評等機構評估，則保險業者可擇優提報。</w:t>
      </w:r>
    </w:p>
    <w:p w14:paraId="32E3460A"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五、評等時點：</w:t>
      </w:r>
    </w:p>
    <w:p w14:paraId="5402AC92"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以該評估</w:t>
      </w:r>
      <w:r w:rsidRPr="00E224E9">
        <w:rPr>
          <w:rFonts w:ascii="Book Antiqua" w:hAnsi="Book Antiqua"/>
          <w:color w:val="000000" w:themeColor="text1"/>
          <w:sz w:val="24"/>
        </w:rPr>
        <w:t>(</w:t>
      </w:r>
      <w:r w:rsidRPr="00E224E9">
        <w:rPr>
          <w:rFonts w:ascii="Book Antiqua" w:hAnsi="Book Antiqua"/>
          <w:color w:val="000000" w:themeColor="text1"/>
          <w:sz w:val="24"/>
        </w:rPr>
        <w:t>半</w:t>
      </w:r>
      <w:r w:rsidRPr="00E224E9">
        <w:rPr>
          <w:rFonts w:ascii="Book Antiqua" w:hAnsi="Book Antiqua"/>
          <w:color w:val="000000" w:themeColor="text1"/>
          <w:sz w:val="24"/>
        </w:rPr>
        <w:t>)</w:t>
      </w:r>
      <w:r w:rsidRPr="00E224E9">
        <w:rPr>
          <w:rFonts w:ascii="Book Antiqua" w:hAnsi="Book Antiqua"/>
          <w:color w:val="000000" w:themeColor="text1"/>
          <w:sz w:val="24"/>
        </w:rPr>
        <w:t>年度</w:t>
      </w:r>
      <w:r w:rsidRPr="00E224E9">
        <w:rPr>
          <w:rFonts w:ascii="Book Antiqua" w:hAnsi="Book Antiqua"/>
          <w:color w:val="000000" w:themeColor="text1"/>
          <w:sz w:val="24"/>
        </w:rPr>
        <w:t>(</w:t>
      </w:r>
      <w:r w:rsidRPr="00E224E9">
        <w:rPr>
          <w:rFonts w:ascii="Book Antiqua" w:hAnsi="Book Antiqua"/>
          <w:color w:val="000000" w:themeColor="text1"/>
          <w:sz w:val="24"/>
        </w:rPr>
        <w:t>六</w:t>
      </w:r>
      <w:r w:rsidRPr="00E224E9">
        <w:rPr>
          <w:rFonts w:ascii="Book Antiqua" w:hAnsi="Book Antiqua"/>
          <w:color w:val="000000" w:themeColor="text1"/>
          <w:sz w:val="24"/>
        </w:rPr>
        <w:t>)</w:t>
      </w:r>
      <w:r w:rsidRPr="00E224E9">
        <w:rPr>
          <w:rFonts w:ascii="Book Antiqua" w:hAnsi="Book Antiqua"/>
          <w:color w:val="000000" w:themeColor="text1"/>
          <w:sz w:val="24"/>
        </w:rPr>
        <w:t>十二月</w:t>
      </w:r>
      <w:r w:rsidRPr="00E224E9">
        <w:rPr>
          <w:rFonts w:ascii="Book Antiqua" w:hAnsi="Book Antiqua"/>
          <w:color w:val="000000" w:themeColor="text1"/>
          <w:sz w:val="24"/>
        </w:rPr>
        <w:t>(</w:t>
      </w:r>
      <w:r w:rsidRPr="00E224E9">
        <w:rPr>
          <w:rFonts w:ascii="Book Antiqua" w:hAnsi="Book Antiqua"/>
          <w:color w:val="000000" w:themeColor="text1"/>
          <w:sz w:val="24"/>
        </w:rPr>
        <w:t>三十</w:t>
      </w:r>
      <w:r w:rsidRPr="00E224E9">
        <w:rPr>
          <w:rFonts w:ascii="Book Antiqua" w:hAnsi="Book Antiqua"/>
          <w:color w:val="000000" w:themeColor="text1"/>
          <w:sz w:val="24"/>
        </w:rPr>
        <w:t>)</w:t>
      </w:r>
      <w:r w:rsidRPr="00E224E9">
        <w:rPr>
          <w:rFonts w:ascii="Book Antiqua" w:hAnsi="Book Antiqua"/>
          <w:color w:val="000000" w:themeColor="text1"/>
          <w:sz w:val="24"/>
        </w:rPr>
        <w:t>三十一日前最新公佈之評等資訊為準。</w:t>
      </w:r>
    </w:p>
    <w:p w14:paraId="05A34D1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六、資料提供：</w:t>
      </w:r>
    </w:p>
    <w:p w14:paraId="64D00121"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關於各項投資資產之信用評等資訊由保險業自行提供，依據上述規範需提供下列資料，以作為風險係數扣抵之依據：</w:t>
      </w:r>
    </w:p>
    <w:p w14:paraId="1AC8302C"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 xml:space="preserve">    </w:t>
      </w:r>
      <w:r w:rsidR="00825A92" w:rsidRPr="00E224E9">
        <w:rPr>
          <w:rFonts w:ascii="Book Antiqua" w:hAnsi="Book Antiqua" w:hint="eastAsia"/>
          <w:color w:val="000000" w:themeColor="text1"/>
          <w:sz w:val="24"/>
        </w:rPr>
        <w:t>(</w:t>
      </w:r>
      <w:r w:rsidRPr="00E224E9">
        <w:rPr>
          <w:rFonts w:ascii="Book Antiqua" w:hAnsi="Book Antiqua"/>
          <w:color w:val="000000" w:themeColor="text1"/>
          <w:sz w:val="24"/>
        </w:rPr>
        <w:t>一</w:t>
      </w:r>
      <w:r w:rsidR="00825A92" w:rsidRPr="00E224E9">
        <w:rPr>
          <w:rFonts w:ascii="Book Antiqua" w:hAnsi="Book Antiqua" w:hint="eastAsia"/>
          <w:color w:val="000000" w:themeColor="text1"/>
          <w:sz w:val="24"/>
        </w:rPr>
        <w:t xml:space="preserve">) </w:t>
      </w:r>
      <w:r w:rsidRPr="00E224E9">
        <w:rPr>
          <w:rFonts w:ascii="Book Antiqua" w:hAnsi="Book Antiqua"/>
          <w:color w:val="000000" w:themeColor="text1"/>
          <w:sz w:val="24"/>
        </w:rPr>
        <w:t>填具「投資資產信用評等資訊表」。</w:t>
      </w:r>
    </w:p>
    <w:p w14:paraId="0CECD204" w14:textId="77777777" w:rsidR="00065C53" w:rsidRPr="00E224E9" w:rsidRDefault="00825A92">
      <w:pPr>
        <w:pStyle w:val="Layer10"/>
        <w:spacing w:line="440" w:lineRule="exact"/>
        <w:ind w:firstLineChars="200" w:firstLine="480"/>
        <w:jc w:val="both"/>
        <w:rPr>
          <w:rFonts w:ascii="Book Antiqua" w:hAnsi="Book Antiqua"/>
          <w:b w:val="0"/>
          <w:color w:val="000000" w:themeColor="text1"/>
          <w:sz w:val="24"/>
        </w:rPr>
      </w:pPr>
      <w:r w:rsidRPr="00E224E9">
        <w:rPr>
          <w:rFonts w:ascii="Book Antiqua" w:hAnsi="Book Antiqua" w:hint="eastAsia"/>
          <w:b w:val="0"/>
          <w:color w:val="000000" w:themeColor="text1"/>
          <w:sz w:val="24"/>
        </w:rPr>
        <w:t>(</w:t>
      </w:r>
      <w:r w:rsidR="00065C53" w:rsidRPr="00E224E9">
        <w:rPr>
          <w:rFonts w:ascii="Book Antiqua" w:hAnsi="Book Antiqua"/>
          <w:b w:val="0"/>
          <w:color w:val="000000" w:themeColor="text1"/>
          <w:sz w:val="24"/>
        </w:rPr>
        <w:t>二</w:t>
      </w:r>
      <w:r w:rsidRPr="00E224E9">
        <w:rPr>
          <w:rFonts w:ascii="Book Antiqua" w:hAnsi="Book Antiqua" w:hint="eastAsia"/>
          <w:b w:val="0"/>
          <w:color w:val="000000" w:themeColor="text1"/>
          <w:sz w:val="24"/>
        </w:rPr>
        <w:t xml:space="preserve">) </w:t>
      </w:r>
      <w:r w:rsidR="00065C53" w:rsidRPr="00E224E9">
        <w:rPr>
          <w:rFonts w:ascii="Book Antiqua" w:hAnsi="Book Antiqua"/>
          <w:b w:val="0"/>
          <w:color w:val="000000" w:themeColor="text1"/>
          <w:sz w:val="24"/>
        </w:rPr>
        <w:t>檢附欲扣抵風險係數之投資資產信用評等報告。</w:t>
      </w:r>
    </w:p>
    <w:p w14:paraId="7441A89C" w14:textId="77777777" w:rsidR="00065C53" w:rsidRPr="00E224E9" w:rsidRDefault="00065C53">
      <w:pPr>
        <w:pStyle w:val="1"/>
        <w:spacing w:afterLines="0" w:line="440" w:lineRule="exact"/>
        <w:jc w:val="both"/>
        <w:rPr>
          <w:color w:val="000000" w:themeColor="text1"/>
        </w:rPr>
      </w:pPr>
      <w:r w:rsidRPr="00E224E9">
        <w:rPr>
          <w:b w:val="0"/>
          <w:bCs w:val="0"/>
          <w:color w:val="000000" w:themeColor="text1"/>
          <w:sz w:val="24"/>
          <w:szCs w:val="24"/>
        </w:rPr>
        <w:br w:type="page"/>
      </w:r>
      <w:bookmarkStart w:id="183" w:name="_Toc219262263"/>
      <w:bookmarkStart w:id="184" w:name="_Toc200468569"/>
      <w:r w:rsidRPr="00E224E9">
        <w:rPr>
          <w:rFonts w:hint="eastAsia"/>
          <w:color w:val="000000" w:themeColor="text1"/>
        </w:rPr>
        <w:lastRenderedPageBreak/>
        <w:t>表</w:t>
      </w:r>
      <w:r w:rsidRPr="00E224E9">
        <w:rPr>
          <w:color w:val="000000" w:themeColor="text1"/>
        </w:rPr>
        <w:t>30-9：資產集中</w:t>
      </w:r>
      <w:r w:rsidRPr="00E224E9">
        <w:rPr>
          <w:rFonts w:hint="eastAsia"/>
          <w:color w:val="000000" w:themeColor="text1"/>
        </w:rPr>
        <w:t>度係數計算表</w:t>
      </w:r>
      <w:bookmarkEnd w:id="183"/>
      <w:bookmarkEnd w:id="184"/>
    </w:p>
    <w:p w14:paraId="15EE5B9D"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為反映過度投資特定資產之風險，本報告使用</w:t>
      </w:r>
      <w:r w:rsidRPr="00E224E9">
        <w:rPr>
          <w:rFonts w:ascii="Book Antiqua" w:hAnsi="Book Antiqua"/>
          <w:color w:val="000000" w:themeColor="text1"/>
        </w:rPr>
        <w:t>Herfindahl Index</w:t>
      </w:r>
      <w:r w:rsidRPr="00E224E9">
        <w:rPr>
          <w:rFonts w:ascii="Book Antiqua" w:hAnsi="Book Antiqua"/>
          <w:color w:val="000000" w:themeColor="text1"/>
        </w:rPr>
        <w:t>所給定之風險係數調整計算風險資本額。</w:t>
      </w:r>
    </w:p>
    <w:p w14:paraId="743D6216" w14:textId="77777777" w:rsidR="00065C53" w:rsidRPr="00E224E9" w:rsidRDefault="00065C53">
      <w:pPr>
        <w:pStyle w:val="Layer30"/>
        <w:spacing w:line="440" w:lineRule="exact"/>
        <w:ind w:left="975"/>
        <w:jc w:val="both"/>
        <w:rPr>
          <w:rFonts w:ascii="Book Antiqua" w:hAnsi="Book Antiqua"/>
          <w:color w:val="000000" w:themeColor="text1"/>
        </w:rPr>
      </w:pPr>
    </w:p>
    <w:p w14:paraId="71E8CDD7"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至於</w:t>
      </w:r>
      <w:r w:rsidRPr="00E224E9">
        <w:rPr>
          <w:rFonts w:ascii="Book Antiqua" w:hAnsi="Book Antiqua"/>
          <w:color w:val="000000" w:themeColor="text1"/>
        </w:rPr>
        <w:t>Herfindahl Index</w:t>
      </w:r>
      <w:r w:rsidRPr="00E224E9">
        <w:rPr>
          <w:rFonts w:ascii="Book Antiqua" w:hAnsi="Book Antiqua"/>
          <w:color w:val="000000" w:themeColor="text1"/>
        </w:rPr>
        <w:t>則是以</w:t>
      </w:r>
      <w:r w:rsidR="006C1F22" w:rsidRPr="00E224E9">
        <w:rPr>
          <w:rFonts w:ascii="Book Antiqua" w:hAnsi="Book Antiqua"/>
          <w:color w:val="000000" w:themeColor="text1"/>
        </w:rPr>
        <w:t>表列</w:t>
      </w:r>
      <w:r w:rsidR="004C5680" w:rsidRPr="00E224E9">
        <w:rPr>
          <w:rFonts w:ascii="Book Antiqua" w:hAnsi="Book Antiqua"/>
          <w:color w:val="000000" w:themeColor="text1"/>
        </w:rPr>
        <w:t>國內外各</w:t>
      </w:r>
      <w:r w:rsidRPr="00E224E9">
        <w:rPr>
          <w:rFonts w:ascii="Book Antiqua" w:hAnsi="Book Antiqua"/>
          <w:color w:val="000000" w:themeColor="text1"/>
        </w:rPr>
        <w:t>資產</w:t>
      </w:r>
      <w:r w:rsidR="004C5680" w:rsidRPr="00E224E9">
        <w:rPr>
          <w:rFonts w:ascii="Book Antiqua" w:hAnsi="Book Antiqua"/>
          <w:color w:val="000000" w:themeColor="text1"/>
        </w:rPr>
        <w:t>項目</w:t>
      </w:r>
      <w:r w:rsidRPr="00E224E9">
        <w:rPr>
          <w:rFonts w:ascii="Book Antiqua" w:hAnsi="Book Antiqua"/>
          <w:color w:val="000000" w:themeColor="text1"/>
        </w:rPr>
        <w:t>之各項資產投資金額佔</w:t>
      </w:r>
      <w:r w:rsidR="006C1F22" w:rsidRPr="00E224E9">
        <w:rPr>
          <w:rFonts w:ascii="Book Antiqua" w:hAnsi="Book Antiqua"/>
          <w:color w:val="000000" w:themeColor="text1"/>
        </w:rPr>
        <w:t>表列</w:t>
      </w:r>
      <w:r w:rsidRPr="00E224E9">
        <w:rPr>
          <w:rFonts w:ascii="Book Antiqua" w:hAnsi="Book Antiqua"/>
          <w:color w:val="000000" w:themeColor="text1"/>
        </w:rPr>
        <w:t>國內外資產總和比例之平方值予以加總。根據前述所得之值對照如下之「</w:t>
      </w:r>
      <w:r w:rsidRPr="00E224E9">
        <w:rPr>
          <w:rFonts w:ascii="Book Antiqua" w:hAnsi="Book Antiqua"/>
          <w:color w:val="000000" w:themeColor="text1"/>
        </w:rPr>
        <w:t>Herfindahl Index</w:t>
      </w:r>
      <w:r w:rsidRPr="00E224E9">
        <w:rPr>
          <w:rFonts w:ascii="Book Antiqua" w:hAnsi="Book Antiqua"/>
          <w:color w:val="000000" w:themeColor="text1"/>
        </w:rPr>
        <w:t>係數表」查得國內外資產集中度</w:t>
      </w:r>
      <w:r w:rsidR="00BE643C" w:rsidRPr="00E224E9">
        <w:rPr>
          <w:rFonts w:ascii="Book Antiqua" w:hAnsi="Book Antiqua" w:hint="eastAsia"/>
          <w:color w:val="000000" w:themeColor="text1"/>
        </w:rPr>
        <w:t>區間，以上下限線性夾差方式計算</w:t>
      </w:r>
      <w:r w:rsidRPr="00E224E9">
        <w:rPr>
          <w:rFonts w:ascii="Book Antiqua" w:hAnsi="Book Antiqua"/>
          <w:color w:val="000000" w:themeColor="text1"/>
        </w:rPr>
        <w:t>風險係數。再按前述之各項資產風險資本額之總額乘以所查得之係數計算</w:t>
      </w:r>
      <w:r w:rsidR="006C1F22" w:rsidRPr="00E224E9">
        <w:rPr>
          <w:rFonts w:ascii="Book Antiqua" w:hAnsi="Book Antiqua"/>
          <w:color w:val="000000" w:themeColor="text1"/>
        </w:rPr>
        <w:t>表列</w:t>
      </w:r>
      <w:r w:rsidRPr="00E224E9">
        <w:rPr>
          <w:rFonts w:ascii="Book Antiqua" w:hAnsi="Book Antiqua"/>
          <w:color w:val="000000" w:themeColor="text1"/>
        </w:rPr>
        <w:t>國內</w:t>
      </w:r>
      <w:r w:rsidR="004C5680" w:rsidRPr="00E224E9">
        <w:rPr>
          <w:rFonts w:ascii="Book Antiqua" w:hAnsi="Book Antiqua"/>
          <w:color w:val="000000" w:themeColor="text1"/>
        </w:rPr>
        <w:t>外</w:t>
      </w:r>
      <w:r w:rsidRPr="00E224E9">
        <w:rPr>
          <w:rFonts w:ascii="Book Antiqua" w:hAnsi="Book Antiqua"/>
          <w:color w:val="000000" w:themeColor="text1"/>
        </w:rPr>
        <w:t>資產之風險資本額。</w:t>
      </w:r>
    </w:p>
    <w:p w14:paraId="0B2DA805"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Herfindahl Index</w:t>
      </w:r>
      <w:r w:rsidRPr="00E224E9">
        <w:rPr>
          <w:rFonts w:ascii="Book Antiqua" w:hAnsi="Book Antiqua"/>
          <w:color w:val="000000" w:themeColor="text1"/>
        </w:rPr>
        <w:t>：</w:t>
      </w:r>
      <w:r w:rsidRPr="00E224E9">
        <w:rPr>
          <w:rFonts w:ascii="Book Antiqua" w:hAnsi="Book Antiqua"/>
          <w:color w:val="000000" w:themeColor="text1"/>
          <w:position w:val="-28"/>
        </w:rPr>
        <w:object w:dxaOrig="1080" w:dyaOrig="680" w14:anchorId="47A7FA9B">
          <v:shape id="_x0000_i1028" type="#_x0000_t75" style="width:57.5pt;height:37.05pt" o:ole="" filled="t">
            <v:imagedata r:id="rId16" o:title=""/>
          </v:shape>
          <o:OLEObject Type="Embed" ProgID="Equation.3" ShapeID="_x0000_i1028" DrawAspect="Content" ObjectID="_1814015521" r:id="rId17"/>
        </w:object>
      </w:r>
    </w:p>
    <w:p w14:paraId="7193857B" w14:textId="77777777" w:rsidR="00065C53" w:rsidRPr="00E224E9" w:rsidRDefault="00065C53">
      <w:pPr>
        <w:pStyle w:val="Layer30"/>
        <w:spacing w:line="440" w:lineRule="exact"/>
        <w:ind w:left="975" w:firstLineChars="1050" w:firstLine="2520"/>
        <w:jc w:val="both"/>
        <w:rPr>
          <w:rFonts w:ascii="Book Antiqua" w:hAnsi="Book Antiqua"/>
          <w:color w:val="000000" w:themeColor="text1"/>
        </w:rPr>
      </w:pPr>
      <w:r w:rsidRPr="00E224E9">
        <w:rPr>
          <w:rFonts w:ascii="Book Antiqua" w:hAnsi="Book Antiqua"/>
          <w:color w:val="000000" w:themeColor="text1"/>
        </w:rPr>
        <w:t>Zi</w:t>
      </w:r>
      <w:r w:rsidRPr="00E224E9">
        <w:rPr>
          <w:rFonts w:ascii="Book Antiqua" w:hAnsi="Book Antiqua"/>
          <w:color w:val="000000" w:themeColor="text1"/>
        </w:rPr>
        <w:t>為投資金額佔國內外資產比例</w:t>
      </w:r>
    </w:p>
    <w:p w14:paraId="4374AC54"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目前以計算國內資產及國外資產之</w:t>
      </w:r>
      <w:r w:rsidRPr="00E224E9">
        <w:rPr>
          <w:rFonts w:ascii="Book Antiqua" w:hAnsi="Book Antiqua"/>
          <w:color w:val="000000" w:themeColor="text1"/>
        </w:rPr>
        <w:t>Herfindahl Index</w:t>
      </w:r>
      <w:r w:rsidRPr="00E224E9">
        <w:rPr>
          <w:rFonts w:ascii="Book Antiqua" w:hAnsi="Book Antiqua"/>
          <w:color w:val="000000" w:themeColor="text1"/>
        </w:rPr>
        <w:t>，並分層給予係數。</w:t>
      </w:r>
    </w:p>
    <w:p w14:paraId="6E03FB0A" w14:textId="77777777" w:rsidR="00065C53" w:rsidRPr="00E224E9" w:rsidRDefault="00065C53">
      <w:pPr>
        <w:pStyle w:val="Layer30"/>
        <w:spacing w:line="440" w:lineRule="exact"/>
        <w:ind w:left="975"/>
        <w:jc w:val="both"/>
        <w:rPr>
          <w:rFonts w:ascii="Book Antiqua" w:hAnsi="Book Antiqua"/>
          <w:color w:val="000000" w:themeColor="text1"/>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E224E9" w:rsidRPr="00E224E9" w14:paraId="2936620B" w14:textId="77777777">
        <w:trPr>
          <w:trHeight w:val="288"/>
          <w:jc w:val="center"/>
        </w:trPr>
        <w:tc>
          <w:tcPr>
            <w:tcW w:w="7020" w:type="dxa"/>
            <w:gridSpan w:val="2"/>
          </w:tcPr>
          <w:p w14:paraId="29C29762" w14:textId="77777777" w:rsidR="00065C53" w:rsidRPr="00E224E9" w:rsidRDefault="00065C53">
            <w:pPr>
              <w:autoSpaceDE w:val="0"/>
              <w:autoSpaceDN w:val="0"/>
              <w:adjustRightInd w:val="0"/>
              <w:spacing w:line="440" w:lineRule="exact"/>
              <w:jc w:val="both"/>
              <w:rPr>
                <w:rFonts w:ascii="標楷體" w:hAnsi="標楷體"/>
                <w:b/>
                <w:color w:val="000000" w:themeColor="text1"/>
                <w:kern w:val="0"/>
                <w:sz w:val="24"/>
              </w:rPr>
            </w:pPr>
            <w:r w:rsidRPr="00E224E9">
              <w:rPr>
                <w:rFonts w:ascii="標楷體" w:hAnsi="標楷體"/>
                <w:b/>
                <w:color w:val="000000" w:themeColor="text1"/>
                <w:kern w:val="0"/>
                <w:sz w:val="24"/>
              </w:rPr>
              <w:t xml:space="preserve">Herfindahl Index  </w:t>
            </w:r>
            <w:r w:rsidRPr="00E224E9">
              <w:rPr>
                <w:rFonts w:ascii="標楷體" w:hAnsi="標楷體" w:hint="eastAsia"/>
                <w:b/>
                <w:color w:val="000000" w:themeColor="text1"/>
                <w:kern w:val="0"/>
                <w:sz w:val="24"/>
              </w:rPr>
              <w:t>係數表</w:t>
            </w:r>
          </w:p>
        </w:tc>
      </w:tr>
      <w:tr w:rsidR="00E224E9" w:rsidRPr="00E224E9" w14:paraId="4E4E7351" w14:textId="77777777">
        <w:trPr>
          <w:trHeight w:val="288"/>
          <w:jc w:val="center"/>
        </w:trPr>
        <w:tc>
          <w:tcPr>
            <w:tcW w:w="3379" w:type="dxa"/>
            <w:tcBorders>
              <w:bottom w:val="single" w:sz="6" w:space="0" w:color="auto"/>
            </w:tcBorders>
          </w:tcPr>
          <w:p w14:paraId="265C18DD" w14:textId="77777777" w:rsidR="00065C53" w:rsidRPr="00E224E9" w:rsidRDefault="00065C53">
            <w:pPr>
              <w:pStyle w:val="a9"/>
              <w:spacing w:line="440" w:lineRule="exact"/>
              <w:rPr>
                <w:color w:val="000000" w:themeColor="text1"/>
                <w:sz w:val="24"/>
                <w:lang w:val="en-US" w:eastAsia="zh-TW"/>
              </w:rPr>
            </w:pPr>
            <w:r w:rsidRPr="00E224E9">
              <w:rPr>
                <w:color w:val="000000" w:themeColor="text1"/>
                <w:sz w:val="24"/>
                <w:lang w:val="en-US" w:eastAsia="zh-TW"/>
              </w:rPr>
              <w:t>Herfindahl Index</w:t>
            </w:r>
          </w:p>
        </w:tc>
        <w:tc>
          <w:tcPr>
            <w:tcW w:w="3641" w:type="dxa"/>
            <w:tcBorders>
              <w:bottom w:val="single" w:sz="6" w:space="0" w:color="auto"/>
            </w:tcBorders>
          </w:tcPr>
          <w:p w14:paraId="36329A19" w14:textId="77777777" w:rsidR="00065C53" w:rsidRPr="00E224E9" w:rsidRDefault="00065C53">
            <w:pPr>
              <w:autoSpaceDE w:val="0"/>
              <w:autoSpaceDN w:val="0"/>
              <w:adjustRightInd w:val="0"/>
              <w:spacing w:line="440" w:lineRule="exact"/>
              <w:jc w:val="both"/>
              <w:rPr>
                <w:rFonts w:ascii="標楷體" w:hAnsi="標楷體"/>
                <w:b/>
                <w:color w:val="000000" w:themeColor="text1"/>
                <w:kern w:val="0"/>
                <w:sz w:val="24"/>
              </w:rPr>
            </w:pPr>
            <w:r w:rsidRPr="00E224E9">
              <w:rPr>
                <w:rFonts w:ascii="標楷體" w:hAnsi="標楷體" w:hint="eastAsia"/>
                <w:b/>
                <w:color w:val="000000" w:themeColor="text1"/>
                <w:kern w:val="0"/>
                <w:sz w:val="24"/>
              </w:rPr>
              <w:t>係數</w:t>
            </w:r>
          </w:p>
        </w:tc>
      </w:tr>
      <w:tr w:rsidR="00E224E9" w:rsidRPr="00E224E9" w14:paraId="3BDBA257" w14:textId="77777777" w:rsidTr="006E3E15">
        <w:trPr>
          <w:trHeight w:val="283"/>
          <w:jc w:val="center"/>
        </w:trPr>
        <w:tc>
          <w:tcPr>
            <w:tcW w:w="3379" w:type="dxa"/>
            <w:tcBorders>
              <w:top w:val="single" w:sz="6" w:space="0" w:color="auto"/>
              <w:bottom w:val="dashSmallGap" w:sz="4" w:space="0" w:color="auto"/>
            </w:tcBorders>
            <w:vAlign w:val="center"/>
          </w:tcPr>
          <w:p w14:paraId="32AADA25" w14:textId="77777777" w:rsidR="004C5680" w:rsidRPr="00E224E9" w:rsidRDefault="00BE643C">
            <w:pPr>
              <w:jc w:val="center"/>
              <w:rPr>
                <w:rFonts w:ascii="Book Antiqua" w:eastAsia="新細明體" w:hAnsi="Book Antiqua"/>
                <w:color w:val="000000" w:themeColor="text1"/>
                <w:sz w:val="24"/>
              </w:rPr>
            </w:pPr>
            <w:r w:rsidRPr="00E224E9">
              <w:rPr>
                <w:rFonts w:ascii="Book Antiqua" w:hAnsi="Book Antiqua"/>
                <w:color w:val="000000" w:themeColor="text1"/>
                <w:sz w:val="24"/>
              </w:rPr>
              <w:t>1/</w:t>
            </w:r>
            <w:r w:rsidRPr="00E224E9">
              <w:rPr>
                <w:rFonts w:ascii="Book Antiqua" w:hAnsi="Book Antiqua" w:hint="eastAsia"/>
                <w:color w:val="000000" w:themeColor="text1"/>
                <w:sz w:val="24"/>
              </w:rPr>
              <w:t>9</w:t>
            </w:r>
            <w:r w:rsidR="004C5680" w:rsidRPr="00E224E9">
              <w:rPr>
                <w:rFonts w:ascii="Book Antiqua" w:hAnsi="Book Antiqua"/>
                <w:color w:val="000000" w:themeColor="text1"/>
                <w:sz w:val="24"/>
              </w:rPr>
              <w:t xml:space="preserve"> </w:t>
            </w:r>
            <w:r w:rsidR="004C5680" w:rsidRPr="00E224E9">
              <w:rPr>
                <w:rFonts w:ascii="標楷體" w:hAnsi="標楷體" w:hint="eastAsia"/>
                <w:color w:val="000000" w:themeColor="text1"/>
                <w:sz w:val="24"/>
              </w:rPr>
              <w:t>≦</w:t>
            </w:r>
            <w:r w:rsidRPr="00E224E9">
              <w:rPr>
                <w:rFonts w:ascii="Book Antiqua" w:hAnsi="Book Antiqua"/>
                <w:color w:val="000000" w:themeColor="text1"/>
                <w:sz w:val="24"/>
              </w:rPr>
              <w:t xml:space="preserve"> H &lt; 1/</w:t>
            </w:r>
            <w:r w:rsidRPr="00E224E9">
              <w:rPr>
                <w:rFonts w:ascii="Book Antiqua" w:hAnsi="Book Antiqua" w:hint="eastAsia"/>
                <w:color w:val="000000" w:themeColor="text1"/>
                <w:sz w:val="24"/>
              </w:rPr>
              <w:t>8</w:t>
            </w:r>
            <w:r w:rsidR="004C5680" w:rsidRPr="00E224E9">
              <w:rPr>
                <w:rFonts w:ascii="Book Antiqua" w:hAnsi="Book Antiqua"/>
                <w:color w:val="000000" w:themeColor="text1"/>
                <w:sz w:val="24"/>
              </w:rPr>
              <w:br/>
            </w:r>
            <w:r w:rsidR="004C5680" w:rsidRPr="00E224E9">
              <w:rPr>
                <w:rFonts w:ascii="標楷體" w:hAnsi="標楷體" w:hint="eastAsia"/>
                <w:color w:val="000000" w:themeColor="text1"/>
                <w:sz w:val="24"/>
              </w:rPr>
              <w:t>或</w:t>
            </w:r>
            <w:r w:rsidR="004C5680" w:rsidRPr="00E224E9">
              <w:rPr>
                <w:rFonts w:ascii="Book Antiqua" w:hAnsi="Book Antiqua"/>
                <w:color w:val="000000" w:themeColor="text1"/>
                <w:sz w:val="24"/>
              </w:rPr>
              <w:t>H</w:t>
            </w:r>
            <w:r w:rsidR="004C5680" w:rsidRPr="00E224E9">
              <w:rPr>
                <w:rFonts w:ascii="標楷體" w:hAnsi="標楷體" w:hint="eastAsia"/>
                <w:color w:val="000000" w:themeColor="text1"/>
                <w:sz w:val="24"/>
              </w:rPr>
              <w:t>＝</w:t>
            </w:r>
            <w:r w:rsidR="004C5680" w:rsidRPr="00E224E9">
              <w:rPr>
                <w:rFonts w:ascii="Book Antiqua" w:hAnsi="Book Antiqua"/>
                <w:color w:val="000000" w:themeColor="text1"/>
                <w:sz w:val="24"/>
              </w:rPr>
              <w:t>0</w:t>
            </w:r>
          </w:p>
        </w:tc>
        <w:tc>
          <w:tcPr>
            <w:tcW w:w="3641" w:type="dxa"/>
            <w:tcBorders>
              <w:top w:val="single" w:sz="6" w:space="0" w:color="auto"/>
              <w:bottom w:val="dashSmallGap" w:sz="4" w:space="0" w:color="auto"/>
            </w:tcBorders>
            <w:vAlign w:val="center"/>
          </w:tcPr>
          <w:p w14:paraId="5F7F909C"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1.000 </w:t>
            </w:r>
          </w:p>
        </w:tc>
      </w:tr>
      <w:tr w:rsidR="00E224E9" w:rsidRPr="00E224E9" w14:paraId="6C71E8B6" w14:textId="77777777" w:rsidTr="006E3E15">
        <w:trPr>
          <w:trHeight w:val="283"/>
          <w:jc w:val="center"/>
        </w:trPr>
        <w:tc>
          <w:tcPr>
            <w:tcW w:w="3379" w:type="dxa"/>
            <w:tcBorders>
              <w:top w:val="single" w:sz="6" w:space="0" w:color="auto"/>
              <w:bottom w:val="dashSmallGap" w:sz="4" w:space="0" w:color="auto"/>
            </w:tcBorders>
            <w:vAlign w:val="center"/>
          </w:tcPr>
          <w:p w14:paraId="73EFAC22" w14:textId="77777777" w:rsidR="00BE643C" w:rsidRPr="00E224E9" w:rsidRDefault="00BE643C">
            <w:pPr>
              <w:jc w:val="center"/>
              <w:rPr>
                <w:rFonts w:ascii="Book Antiqua" w:hAnsi="Book Antiqua"/>
                <w:color w:val="000000" w:themeColor="text1"/>
                <w:sz w:val="24"/>
              </w:rPr>
            </w:pPr>
            <w:r w:rsidRPr="00E224E9">
              <w:rPr>
                <w:rFonts w:ascii="Book Antiqua" w:hAnsi="Book Antiqua" w:hint="eastAsia"/>
                <w:color w:val="000000" w:themeColor="text1"/>
                <w:sz w:val="24"/>
              </w:rPr>
              <w:t xml:space="preserve">1/8 </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 xml:space="preserve"> H &lt; 1/7</w:t>
            </w:r>
          </w:p>
        </w:tc>
        <w:tc>
          <w:tcPr>
            <w:tcW w:w="3641" w:type="dxa"/>
            <w:tcBorders>
              <w:top w:val="single" w:sz="6" w:space="0" w:color="auto"/>
              <w:bottom w:val="dashSmallGap" w:sz="4" w:space="0" w:color="auto"/>
            </w:tcBorders>
            <w:vAlign w:val="center"/>
          </w:tcPr>
          <w:p w14:paraId="4CAB8DF6" w14:textId="77777777" w:rsidR="00BE643C" w:rsidRPr="00E224E9" w:rsidRDefault="00BE643C">
            <w:pPr>
              <w:jc w:val="center"/>
              <w:rPr>
                <w:rFonts w:ascii="Book Antiqua" w:hAnsi="Book Antiqua"/>
                <w:color w:val="000000" w:themeColor="text1"/>
                <w:sz w:val="24"/>
              </w:rPr>
            </w:pPr>
            <w:r w:rsidRPr="00E224E9">
              <w:rPr>
                <w:rFonts w:ascii="Book Antiqua" w:hAnsi="Book Antiqua" w:hint="eastAsia"/>
                <w:color w:val="000000" w:themeColor="text1"/>
                <w:sz w:val="24"/>
              </w:rPr>
              <w:t>1.005</w:t>
            </w:r>
          </w:p>
        </w:tc>
      </w:tr>
      <w:tr w:rsidR="00E224E9" w:rsidRPr="00E224E9" w14:paraId="25F5C01A" w14:textId="77777777" w:rsidTr="006E3E15">
        <w:trPr>
          <w:trHeight w:val="283"/>
          <w:jc w:val="center"/>
        </w:trPr>
        <w:tc>
          <w:tcPr>
            <w:tcW w:w="3379" w:type="dxa"/>
            <w:tcBorders>
              <w:top w:val="single" w:sz="6" w:space="0" w:color="auto"/>
              <w:bottom w:val="dashSmallGap" w:sz="4" w:space="0" w:color="auto"/>
            </w:tcBorders>
            <w:vAlign w:val="center"/>
          </w:tcPr>
          <w:p w14:paraId="68F97FDB"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1/7 </w:t>
            </w:r>
            <w:r w:rsidRPr="00E224E9">
              <w:rPr>
                <w:rFonts w:ascii="標楷體" w:hAnsi="標楷體" w:hint="eastAsia"/>
                <w:color w:val="000000" w:themeColor="text1"/>
                <w:sz w:val="24"/>
              </w:rPr>
              <w:t>≦</w:t>
            </w:r>
            <w:r w:rsidRPr="00E224E9">
              <w:rPr>
                <w:rFonts w:ascii="Book Antiqua" w:hAnsi="Book Antiqua"/>
                <w:color w:val="000000" w:themeColor="text1"/>
                <w:sz w:val="24"/>
              </w:rPr>
              <w:t xml:space="preserve"> H &lt; 1/6</w:t>
            </w:r>
          </w:p>
        </w:tc>
        <w:tc>
          <w:tcPr>
            <w:tcW w:w="3641" w:type="dxa"/>
            <w:tcBorders>
              <w:top w:val="single" w:sz="6" w:space="0" w:color="auto"/>
              <w:bottom w:val="dashSmallGap" w:sz="4" w:space="0" w:color="auto"/>
            </w:tcBorders>
            <w:vAlign w:val="center"/>
          </w:tcPr>
          <w:p w14:paraId="46AAEA92"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1.010 </w:t>
            </w:r>
          </w:p>
        </w:tc>
      </w:tr>
      <w:tr w:rsidR="00E224E9" w:rsidRPr="00E224E9" w14:paraId="56CE2CB6" w14:textId="77777777" w:rsidTr="006E3E15">
        <w:trPr>
          <w:trHeight w:val="283"/>
          <w:jc w:val="center"/>
        </w:trPr>
        <w:tc>
          <w:tcPr>
            <w:tcW w:w="3379" w:type="dxa"/>
            <w:tcBorders>
              <w:top w:val="dashSmallGap" w:sz="4" w:space="0" w:color="auto"/>
              <w:bottom w:val="dashSmallGap" w:sz="4" w:space="0" w:color="auto"/>
            </w:tcBorders>
            <w:vAlign w:val="center"/>
          </w:tcPr>
          <w:p w14:paraId="5FD76FD9"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1/6 </w:t>
            </w:r>
            <w:r w:rsidRPr="00E224E9">
              <w:rPr>
                <w:rFonts w:ascii="標楷體" w:hAnsi="標楷體" w:hint="eastAsia"/>
                <w:color w:val="000000" w:themeColor="text1"/>
                <w:sz w:val="24"/>
              </w:rPr>
              <w:t>≦</w:t>
            </w:r>
            <w:r w:rsidRPr="00E224E9">
              <w:rPr>
                <w:rFonts w:ascii="Book Antiqua" w:hAnsi="Book Antiqua"/>
                <w:color w:val="000000" w:themeColor="text1"/>
                <w:sz w:val="24"/>
              </w:rPr>
              <w:t xml:space="preserve"> H &lt; 1/5</w:t>
            </w:r>
          </w:p>
        </w:tc>
        <w:tc>
          <w:tcPr>
            <w:tcW w:w="3641" w:type="dxa"/>
            <w:tcBorders>
              <w:top w:val="dashSmallGap" w:sz="4" w:space="0" w:color="auto"/>
              <w:bottom w:val="dashSmallGap" w:sz="4" w:space="0" w:color="auto"/>
            </w:tcBorders>
            <w:vAlign w:val="center"/>
          </w:tcPr>
          <w:p w14:paraId="66EABFD5"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1.015 </w:t>
            </w:r>
          </w:p>
        </w:tc>
      </w:tr>
      <w:tr w:rsidR="00E224E9" w:rsidRPr="00E224E9" w14:paraId="23AA90DD" w14:textId="77777777" w:rsidTr="006E3E15">
        <w:trPr>
          <w:trHeight w:val="283"/>
          <w:jc w:val="center"/>
        </w:trPr>
        <w:tc>
          <w:tcPr>
            <w:tcW w:w="3379" w:type="dxa"/>
            <w:tcBorders>
              <w:top w:val="dashSmallGap" w:sz="4" w:space="0" w:color="auto"/>
              <w:bottom w:val="dashSmallGap" w:sz="4" w:space="0" w:color="auto"/>
            </w:tcBorders>
            <w:vAlign w:val="center"/>
          </w:tcPr>
          <w:p w14:paraId="3E963642"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1/5 </w:t>
            </w:r>
            <w:r w:rsidRPr="00E224E9">
              <w:rPr>
                <w:rFonts w:ascii="標楷體" w:hAnsi="標楷體" w:hint="eastAsia"/>
                <w:color w:val="000000" w:themeColor="text1"/>
                <w:sz w:val="24"/>
              </w:rPr>
              <w:t>≦</w:t>
            </w:r>
            <w:r w:rsidRPr="00E224E9">
              <w:rPr>
                <w:rFonts w:ascii="Book Antiqua" w:hAnsi="Book Antiqua"/>
                <w:color w:val="000000" w:themeColor="text1"/>
                <w:sz w:val="24"/>
              </w:rPr>
              <w:t xml:space="preserve"> H &lt; 1/4</w:t>
            </w:r>
          </w:p>
        </w:tc>
        <w:tc>
          <w:tcPr>
            <w:tcW w:w="3641" w:type="dxa"/>
            <w:tcBorders>
              <w:top w:val="dashSmallGap" w:sz="4" w:space="0" w:color="auto"/>
              <w:bottom w:val="dashSmallGap" w:sz="4" w:space="0" w:color="auto"/>
            </w:tcBorders>
            <w:vAlign w:val="center"/>
          </w:tcPr>
          <w:p w14:paraId="23AC4A49"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1.020 </w:t>
            </w:r>
          </w:p>
        </w:tc>
      </w:tr>
      <w:tr w:rsidR="00E224E9" w:rsidRPr="00E224E9" w14:paraId="04977EFC" w14:textId="77777777" w:rsidTr="006E3E15">
        <w:trPr>
          <w:trHeight w:val="283"/>
          <w:jc w:val="center"/>
        </w:trPr>
        <w:tc>
          <w:tcPr>
            <w:tcW w:w="3379" w:type="dxa"/>
            <w:tcBorders>
              <w:top w:val="dashSmallGap" w:sz="4" w:space="0" w:color="auto"/>
              <w:bottom w:val="dashSmallGap" w:sz="4" w:space="0" w:color="auto"/>
            </w:tcBorders>
            <w:vAlign w:val="center"/>
          </w:tcPr>
          <w:p w14:paraId="6184268E"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1/4 </w:t>
            </w:r>
            <w:r w:rsidRPr="00E224E9">
              <w:rPr>
                <w:rFonts w:ascii="標楷體" w:hAnsi="標楷體" w:hint="eastAsia"/>
                <w:color w:val="000000" w:themeColor="text1"/>
                <w:sz w:val="24"/>
              </w:rPr>
              <w:t>≦</w:t>
            </w:r>
            <w:r w:rsidRPr="00E224E9">
              <w:rPr>
                <w:rFonts w:ascii="Book Antiqua" w:hAnsi="Book Antiqua"/>
                <w:color w:val="000000" w:themeColor="text1"/>
                <w:sz w:val="24"/>
              </w:rPr>
              <w:t xml:space="preserve"> H &lt; 1/3</w:t>
            </w:r>
          </w:p>
        </w:tc>
        <w:tc>
          <w:tcPr>
            <w:tcW w:w="3641" w:type="dxa"/>
            <w:tcBorders>
              <w:top w:val="dashSmallGap" w:sz="4" w:space="0" w:color="auto"/>
              <w:bottom w:val="dashSmallGap" w:sz="4" w:space="0" w:color="auto"/>
            </w:tcBorders>
            <w:vAlign w:val="center"/>
          </w:tcPr>
          <w:p w14:paraId="25C7FF3D"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1.040 </w:t>
            </w:r>
          </w:p>
        </w:tc>
      </w:tr>
      <w:tr w:rsidR="00E224E9" w:rsidRPr="00E224E9" w14:paraId="3C95248B" w14:textId="77777777" w:rsidTr="006E3E15">
        <w:trPr>
          <w:trHeight w:val="283"/>
          <w:jc w:val="center"/>
        </w:trPr>
        <w:tc>
          <w:tcPr>
            <w:tcW w:w="3379" w:type="dxa"/>
            <w:tcBorders>
              <w:top w:val="dashSmallGap" w:sz="4" w:space="0" w:color="auto"/>
              <w:bottom w:val="dashSmallGap" w:sz="4" w:space="0" w:color="auto"/>
            </w:tcBorders>
            <w:vAlign w:val="center"/>
          </w:tcPr>
          <w:p w14:paraId="42EF4963"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1/3 </w:t>
            </w:r>
            <w:r w:rsidRPr="00E224E9">
              <w:rPr>
                <w:rFonts w:ascii="標楷體" w:hAnsi="標楷體" w:hint="eastAsia"/>
                <w:color w:val="000000" w:themeColor="text1"/>
                <w:sz w:val="24"/>
              </w:rPr>
              <w:t>≦</w:t>
            </w:r>
            <w:r w:rsidRPr="00E224E9">
              <w:rPr>
                <w:rFonts w:ascii="Book Antiqua" w:hAnsi="Book Antiqua"/>
                <w:color w:val="000000" w:themeColor="text1"/>
                <w:sz w:val="24"/>
              </w:rPr>
              <w:t xml:space="preserve"> H &lt; 1/2</w:t>
            </w:r>
          </w:p>
        </w:tc>
        <w:tc>
          <w:tcPr>
            <w:tcW w:w="3641" w:type="dxa"/>
            <w:tcBorders>
              <w:top w:val="dashSmallGap" w:sz="4" w:space="0" w:color="auto"/>
              <w:bottom w:val="dashSmallGap" w:sz="4" w:space="0" w:color="auto"/>
            </w:tcBorders>
            <w:vAlign w:val="center"/>
          </w:tcPr>
          <w:p w14:paraId="70DF2B83"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1.080 </w:t>
            </w:r>
          </w:p>
        </w:tc>
      </w:tr>
      <w:tr w:rsidR="006C1F22" w:rsidRPr="00E224E9" w14:paraId="0C31CEE8" w14:textId="77777777" w:rsidTr="006E3E15">
        <w:trPr>
          <w:trHeight w:val="288"/>
          <w:jc w:val="center"/>
        </w:trPr>
        <w:tc>
          <w:tcPr>
            <w:tcW w:w="3379" w:type="dxa"/>
            <w:tcBorders>
              <w:top w:val="dashSmallGap" w:sz="4" w:space="0" w:color="auto"/>
              <w:bottom w:val="threeDEmboss" w:sz="24" w:space="0" w:color="auto"/>
            </w:tcBorders>
            <w:vAlign w:val="center"/>
          </w:tcPr>
          <w:p w14:paraId="40A7CE53" w14:textId="77777777" w:rsidR="006C1F22" w:rsidRPr="00E224E9" w:rsidRDefault="006C1F22" w:rsidP="00C84599">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1/2 </w:t>
            </w:r>
            <w:r w:rsidRPr="00E224E9">
              <w:rPr>
                <w:rFonts w:ascii="標楷體" w:hAnsi="標楷體" w:hint="eastAsia"/>
                <w:color w:val="000000" w:themeColor="text1"/>
                <w:sz w:val="24"/>
              </w:rPr>
              <w:t>≦</w:t>
            </w:r>
            <w:r w:rsidRPr="00E224E9">
              <w:rPr>
                <w:rFonts w:ascii="Book Antiqua" w:hAnsi="Book Antiqua"/>
                <w:color w:val="000000" w:themeColor="text1"/>
                <w:sz w:val="24"/>
              </w:rPr>
              <w:t xml:space="preserve"> H &lt;   1</w:t>
            </w:r>
          </w:p>
        </w:tc>
        <w:tc>
          <w:tcPr>
            <w:tcW w:w="3641" w:type="dxa"/>
            <w:tcBorders>
              <w:top w:val="dashSmallGap" w:sz="4" w:space="0" w:color="auto"/>
              <w:bottom w:val="threeDEmboss" w:sz="24" w:space="0" w:color="auto"/>
            </w:tcBorders>
            <w:vAlign w:val="center"/>
          </w:tcPr>
          <w:p w14:paraId="00A31A3A" w14:textId="77777777" w:rsidR="006C1F22" w:rsidRPr="00E224E9" w:rsidRDefault="006C1F22" w:rsidP="00C84599">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1.160 </w:t>
            </w:r>
          </w:p>
        </w:tc>
      </w:tr>
    </w:tbl>
    <w:p w14:paraId="6DDB57B9" w14:textId="77777777" w:rsidR="00065C53" w:rsidRPr="00E224E9" w:rsidRDefault="00065C53">
      <w:pPr>
        <w:pStyle w:val="Layer30"/>
        <w:spacing w:line="440" w:lineRule="exact"/>
        <w:ind w:left="975"/>
        <w:jc w:val="both"/>
        <w:rPr>
          <w:rFonts w:ascii="標楷體" w:hAnsi="標楷體"/>
          <w:color w:val="000000" w:themeColor="text1"/>
        </w:rPr>
      </w:pPr>
    </w:p>
    <w:p w14:paraId="12C13774"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國內資產之風險資本額為：</w:t>
      </w:r>
    </w:p>
    <w:p w14:paraId="197913EA" w14:textId="77777777" w:rsidR="00065C53" w:rsidRPr="00E224E9" w:rsidRDefault="00FF5A7E">
      <w:pPr>
        <w:pStyle w:val="Layer30"/>
        <w:autoSpaceDN w:val="0"/>
        <w:spacing w:line="440" w:lineRule="exact"/>
        <w:ind w:left="975"/>
        <w:jc w:val="both"/>
        <w:rPr>
          <w:rFonts w:ascii="Book Antiqua" w:hAnsi="Book Antiqua"/>
          <w:color w:val="000000" w:themeColor="text1"/>
        </w:rPr>
      </w:pPr>
      <w:r w:rsidRPr="00E224E9">
        <w:rPr>
          <w:rFonts w:ascii="Book Antiqua" w:hAnsi="Book Antiqua" w:hint="eastAsia"/>
          <w:color w:val="000000" w:themeColor="text1"/>
        </w:rPr>
        <w:t>表</w:t>
      </w:r>
      <w:r w:rsidRPr="00E224E9">
        <w:rPr>
          <w:rFonts w:ascii="Book Antiqua" w:hAnsi="Book Antiqua" w:hint="eastAsia"/>
          <w:color w:val="000000" w:themeColor="text1"/>
        </w:rPr>
        <w:t>30-3</w:t>
      </w:r>
      <w:r w:rsidR="00065C53" w:rsidRPr="00E224E9">
        <w:rPr>
          <w:rFonts w:ascii="Book Antiqua" w:hAnsi="Book Antiqua"/>
          <w:color w:val="000000" w:themeColor="text1"/>
        </w:rPr>
        <w:t>[1.2</w:t>
      </w:r>
      <w:r w:rsidR="00065C53" w:rsidRPr="00E224E9">
        <w:rPr>
          <w:rFonts w:ascii="Book Antiqua" w:hAnsi="Book Antiqua"/>
          <w:color w:val="000000" w:themeColor="text1"/>
        </w:rPr>
        <w:t>＋</w:t>
      </w:r>
      <w:r w:rsidR="00065C53" w:rsidRPr="00E224E9">
        <w:rPr>
          <w:rFonts w:ascii="Book Antiqua" w:hAnsi="Book Antiqua"/>
          <w:color w:val="000000" w:themeColor="text1"/>
        </w:rPr>
        <w:t>1.3</w:t>
      </w:r>
      <w:r w:rsidR="00065C53" w:rsidRPr="00E224E9">
        <w:rPr>
          <w:rFonts w:ascii="Book Antiqua" w:hAnsi="Book Antiqua"/>
          <w:color w:val="000000" w:themeColor="text1"/>
        </w:rPr>
        <w:t>＋</w:t>
      </w:r>
      <w:r w:rsidR="00065C53" w:rsidRPr="00E224E9">
        <w:rPr>
          <w:rFonts w:ascii="Book Antiqua" w:hAnsi="Book Antiqua"/>
          <w:color w:val="000000" w:themeColor="text1"/>
        </w:rPr>
        <w:t>1.4]</w:t>
      </w:r>
      <w:r w:rsidR="00065C53" w:rsidRPr="00E224E9">
        <w:rPr>
          <w:rFonts w:ascii="Book Antiqua" w:hAnsi="Book Antiqua"/>
          <w:color w:val="000000" w:themeColor="text1"/>
        </w:rPr>
        <w:t>之風險資本額＊依上表查得之係數</w:t>
      </w:r>
    </w:p>
    <w:p w14:paraId="54FDC961"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國外資產之風險資本額為：</w:t>
      </w:r>
    </w:p>
    <w:p w14:paraId="2723721F" w14:textId="77777777" w:rsidR="00065C53" w:rsidRPr="00E224E9" w:rsidRDefault="00FF5A7E">
      <w:pPr>
        <w:pStyle w:val="Layer30"/>
        <w:autoSpaceDN w:val="0"/>
        <w:spacing w:line="440" w:lineRule="exact"/>
        <w:ind w:left="975"/>
        <w:jc w:val="both"/>
        <w:rPr>
          <w:rFonts w:ascii="Book Antiqua" w:hAnsi="Book Antiqua"/>
          <w:color w:val="000000" w:themeColor="text1"/>
        </w:rPr>
      </w:pPr>
      <w:r w:rsidRPr="00E224E9">
        <w:rPr>
          <w:rFonts w:ascii="Book Antiqua" w:hAnsi="Book Antiqua" w:hint="eastAsia"/>
          <w:color w:val="000000" w:themeColor="text1"/>
        </w:rPr>
        <w:t>表</w:t>
      </w:r>
      <w:r w:rsidRPr="00E224E9">
        <w:rPr>
          <w:rFonts w:ascii="Book Antiqua" w:hAnsi="Book Antiqua" w:hint="eastAsia"/>
          <w:color w:val="000000" w:themeColor="text1"/>
        </w:rPr>
        <w:t>30-3</w:t>
      </w:r>
      <w:r w:rsidR="00065C53" w:rsidRPr="00E224E9">
        <w:rPr>
          <w:rFonts w:ascii="Book Antiqua" w:hAnsi="Book Antiqua"/>
          <w:color w:val="000000" w:themeColor="text1"/>
        </w:rPr>
        <w:t>[</w:t>
      </w:r>
      <w:r w:rsidR="00D817B1" w:rsidRPr="00E224E9">
        <w:rPr>
          <w:rFonts w:ascii="Book Antiqua" w:hAnsi="Book Antiqua"/>
          <w:color w:val="000000" w:themeColor="text1"/>
        </w:rPr>
        <w:t>公債、公司債及金融資產受益證券、股票、</w:t>
      </w:r>
      <w:r w:rsidR="00D817B1" w:rsidRPr="00E224E9">
        <w:rPr>
          <w:rFonts w:ascii="Book Antiqua" w:hAnsi="Book Antiqua"/>
          <w:color w:val="000000" w:themeColor="text1"/>
        </w:rPr>
        <w:t>ETF</w:t>
      </w:r>
      <w:r w:rsidR="007452D5" w:rsidRPr="00E224E9">
        <w:rPr>
          <w:rFonts w:ascii="Book Antiqua" w:hAnsi="Book Antiqua" w:hint="eastAsia"/>
          <w:color w:val="000000" w:themeColor="text1"/>
        </w:rPr>
        <w:t>、</w:t>
      </w:r>
      <w:r w:rsidR="007452D5" w:rsidRPr="00E224E9">
        <w:rPr>
          <w:rFonts w:ascii="Book Antiqua" w:hAnsi="Book Antiqua" w:hint="eastAsia"/>
          <w:color w:val="000000" w:themeColor="text1"/>
        </w:rPr>
        <w:t>ETN</w:t>
      </w:r>
      <w:r w:rsidR="00D817B1" w:rsidRPr="00E224E9">
        <w:rPr>
          <w:rFonts w:ascii="Book Antiqua" w:hAnsi="Book Antiqua"/>
          <w:color w:val="000000" w:themeColor="text1"/>
        </w:rPr>
        <w:t>、受益憑證及信託資金、不動產投資信託基金、不動產、放款</w:t>
      </w:r>
      <w:r w:rsidR="00065C53" w:rsidRPr="00E224E9">
        <w:rPr>
          <w:rFonts w:ascii="Book Antiqua" w:hAnsi="Book Antiqua"/>
          <w:color w:val="000000" w:themeColor="text1"/>
        </w:rPr>
        <w:t>]</w:t>
      </w:r>
      <w:r w:rsidR="00065C53" w:rsidRPr="00E224E9">
        <w:rPr>
          <w:rFonts w:ascii="Book Antiqua" w:hAnsi="Book Antiqua"/>
          <w:color w:val="000000" w:themeColor="text1"/>
        </w:rPr>
        <w:t>之風險資本額＊依上表查得之係數。</w:t>
      </w:r>
    </w:p>
    <w:p w14:paraId="15DDC79C" w14:textId="77777777" w:rsidR="00065C53" w:rsidRPr="00E224E9" w:rsidRDefault="00065C53">
      <w:pPr>
        <w:pStyle w:val="1"/>
        <w:spacing w:afterLines="0" w:line="440" w:lineRule="exact"/>
        <w:jc w:val="both"/>
        <w:rPr>
          <w:color w:val="000000" w:themeColor="text1"/>
        </w:rPr>
      </w:pPr>
      <w:r w:rsidRPr="00E224E9">
        <w:rPr>
          <w:color w:val="000000" w:themeColor="text1"/>
          <w:sz w:val="24"/>
          <w:szCs w:val="24"/>
        </w:rPr>
        <w:br w:type="page"/>
      </w:r>
      <w:bookmarkStart w:id="185" w:name="_Toc219262264"/>
      <w:bookmarkStart w:id="186" w:name="_Toc200468570"/>
      <w:r w:rsidRPr="00E224E9">
        <w:rPr>
          <w:color w:val="000000" w:themeColor="text1"/>
        </w:rPr>
        <w:lastRenderedPageBreak/>
        <w:t>表30-10：淨危險保額報告表</w:t>
      </w:r>
      <w:bookmarkEnd w:id="185"/>
      <w:bookmarkEnd w:id="186"/>
    </w:p>
    <w:p w14:paraId="783F75EC" w14:textId="77777777" w:rsidR="00065C53" w:rsidRPr="00E224E9" w:rsidRDefault="00065C53">
      <w:pPr>
        <w:pStyle w:val="30"/>
        <w:spacing w:line="440" w:lineRule="exact"/>
        <w:ind w:leftChars="0" w:left="2" w:firstLineChars="206" w:firstLine="494"/>
        <w:rPr>
          <w:rFonts w:ascii="Book Antiqua" w:hAnsi="Book Antiqua"/>
          <w:color w:val="000000" w:themeColor="text1"/>
          <w:sz w:val="24"/>
        </w:rPr>
      </w:pPr>
      <w:r w:rsidRPr="00E224E9">
        <w:rPr>
          <w:rFonts w:ascii="Book Antiqua" w:hAnsi="Book Antiqua"/>
          <w:color w:val="000000" w:themeColor="text1"/>
          <w:sz w:val="24"/>
        </w:rPr>
        <w:t>淨危險保額報告表係表達保險公司之保費收入與其風險暴露程度。本說明的目的為配合相關法令之規定，簡介該表之填列規則，以利保險公司之填報。</w:t>
      </w:r>
    </w:p>
    <w:p w14:paraId="359BDF2A"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Book Antiqua"/>
          <w:color w:val="000000" w:themeColor="text1"/>
          <w:sz w:val="24"/>
        </w:rPr>
        <w:t>個人及團體業務茲以下欄、列表示</w:t>
      </w:r>
      <w:r w:rsidRPr="00E224E9">
        <w:rPr>
          <w:rFonts w:ascii="Book Antiqua" w:hAnsi="Book Antiqua"/>
          <w:color w:val="000000" w:themeColor="text1"/>
          <w:sz w:val="24"/>
        </w:rPr>
        <w:t>:</w:t>
      </w:r>
    </w:p>
    <w:p w14:paraId="37CD0E9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2</w:t>
      </w:r>
      <w:r w:rsidRPr="00E224E9">
        <w:rPr>
          <w:rFonts w:ascii="Book Antiqua" w:hAnsi="Book Antiqua"/>
          <w:color w:val="000000" w:themeColor="text1"/>
          <w:sz w:val="24"/>
        </w:rPr>
        <w:t>欄－有效契約保額</w:t>
      </w:r>
    </w:p>
    <w:p w14:paraId="50B6C4B9"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保險公司目前所承保或承受風險之所有業務其保障之總金額。有效契約係指在決算日猶在已繳納保費所涵蓋之期間內或仍在其寬限期間內者。</w:t>
      </w:r>
    </w:p>
    <w:p w14:paraId="0EA5DAAE"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3</w:t>
      </w:r>
      <w:r w:rsidRPr="00E224E9">
        <w:rPr>
          <w:rFonts w:ascii="Book Antiqua" w:hAnsi="Book Antiqua"/>
          <w:color w:val="000000" w:themeColor="text1"/>
          <w:sz w:val="24"/>
        </w:rPr>
        <w:t>欄－責任準備金</w:t>
      </w:r>
    </w:p>
    <w:p w14:paraId="0BC30727"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係指依保險法之規定所需提存之責任準備金金額，其應包括長期保單未屆保單年度所提之準備金及本保單年度未經過部分所提之準備金。</w:t>
      </w:r>
    </w:p>
    <w:p w14:paraId="53F610A6"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4</w:t>
      </w:r>
      <w:r w:rsidRPr="00E224E9">
        <w:rPr>
          <w:rFonts w:ascii="Book Antiqua" w:hAnsi="Book Antiqua"/>
          <w:color w:val="000000" w:themeColor="text1"/>
          <w:sz w:val="24"/>
        </w:rPr>
        <w:t>欄－淨危險保額</w:t>
      </w:r>
    </w:p>
    <w:p w14:paraId="21E993F6"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本欄之金額為第</w:t>
      </w:r>
      <w:r w:rsidRPr="00E224E9">
        <w:rPr>
          <w:rFonts w:ascii="Book Antiqua" w:hAnsi="Book Antiqua"/>
          <w:color w:val="000000" w:themeColor="text1"/>
          <w:sz w:val="24"/>
        </w:rPr>
        <w:t>2</w:t>
      </w:r>
      <w:r w:rsidRPr="00E224E9">
        <w:rPr>
          <w:rFonts w:ascii="Book Antiqua" w:hAnsi="Book Antiqua"/>
          <w:color w:val="000000" w:themeColor="text1"/>
          <w:sz w:val="24"/>
        </w:rPr>
        <w:t>欄減除第</w:t>
      </w:r>
      <w:r w:rsidRPr="00E224E9">
        <w:rPr>
          <w:rFonts w:ascii="Book Antiqua" w:hAnsi="Book Antiqua"/>
          <w:color w:val="000000" w:themeColor="text1"/>
          <w:sz w:val="24"/>
        </w:rPr>
        <w:t>3</w:t>
      </w:r>
      <w:r w:rsidRPr="00E224E9">
        <w:rPr>
          <w:rFonts w:ascii="Book Antiqua" w:hAnsi="Book Antiqua"/>
          <w:color w:val="000000" w:themeColor="text1"/>
          <w:sz w:val="24"/>
        </w:rPr>
        <w:t>欄後之金額。</w:t>
      </w:r>
    </w:p>
    <w:p w14:paraId="18DE0E2D"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各淨危險保額項目之分類及其帳載內涵，應依保險法及其施行細則及其相關解釋函令之規定。</w:t>
      </w:r>
    </w:p>
    <w:p w14:paraId="19D2849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w:t>
      </w:r>
      <w:r w:rsidRPr="00E224E9">
        <w:rPr>
          <w:rFonts w:ascii="Book Antiqua" w:hAnsi="Book Antiqua"/>
          <w:color w:val="000000" w:themeColor="text1"/>
          <w:sz w:val="24"/>
        </w:rPr>
        <w:t>列－個人壽險</w:t>
      </w:r>
    </w:p>
    <w:p w14:paraId="3C35E0E3" w14:textId="77777777" w:rsidR="00065C53" w:rsidRPr="00E224E9" w:rsidRDefault="00065C53">
      <w:pPr>
        <w:spacing w:line="440" w:lineRule="exact"/>
        <w:ind w:firstLineChars="276" w:firstLine="662"/>
        <w:jc w:val="both"/>
        <w:rPr>
          <w:rFonts w:ascii="Book Antiqua" w:hAnsi="Book Antiqua"/>
          <w:color w:val="000000" w:themeColor="text1"/>
          <w:sz w:val="24"/>
        </w:rPr>
      </w:pPr>
      <w:r w:rsidRPr="00E224E9">
        <w:rPr>
          <w:rFonts w:ascii="Book Antiqua" w:hAnsi="Book Antiqua"/>
          <w:color w:val="000000" w:themeColor="text1"/>
          <w:sz w:val="24"/>
        </w:rPr>
        <w:t>以下分為死亡保險、生死合險。</w:t>
      </w:r>
    </w:p>
    <w:p w14:paraId="7A012F3D"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2</w:t>
      </w:r>
      <w:r w:rsidRPr="00E224E9">
        <w:rPr>
          <w:rFonts w:ascii="Book Antiqua" w:hAnsi="Book Antiqua"/>
          <w:color w:val="000000" w:themeColor="text1"/>
          <w:sz w:val="24"/>
        </w:rPr>
        <w:t>列－死亡保險</w:t>
      </w:r>
    </w:p>
    <w:p w14:paraId="1A7E4201" w14:textId="77777777" w:rsidR="00065C53" w:rsidRPr="00E224E9" w:rsidRDefault="00065C53">
      <w:pPr>
        <w:spacing w:line="440" w:lineRule="exact"/>
        <w:ind w:firstLineChars="276" w:firstLine="662"/>
        <w:jc w:val="both"/>
        <w:rPr>
          <w:rFonts w:ascii="Book Antiqua" w:hAnsi="Book Antiqua"/>
          <w:color w:val="000000" w:themeColor="text1"/>
          <w:sz w:val="24"/>
        </w:rPr>
      </w:pPr>
      <w:r w:rsidRPr="00E224E9">
        <w:rPr>
          <w:rFonts w:ascii="Book Antiqua" w:hAnsi="Book Antiqua"/>
          <w:color w:val="000000" w:themeColor="text1"/>
          <w:sz w:val="24"/>
        </w:rPr>
        <w:t>以下分為終身保險、定期保險。</w:t>
      </w:r>
    </w:p>
    <w:p w14:paraId="78B6EA2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3</w:t>
      </w:r>
      <w:r w:rsidRPr="00E224E9">
        <w:rPr>
          <w:rFonts w:ascii="Book Antiqua" w:hAnsi="Book Antiqua"/>
          <w:color w:val="000000" w:themeColor="text1"/>
          <w:sz w:val="24"/>
        </w:rPr>
        <w:t>列</w:t>
      </w:r>
      <w:r w:rsidRPr="00E224E9">
        <w:rPr>
          <w:rFonts w:ascii="Book Antiqua" w:hAnsi="Book Antiqua"/>
          <w:color w:val="000000" w:themeColor="text1"/>
          <w:sz w:val="24"/>
        </w:rPr>
        <w:t>—</w:t>
      </w:r>
      <w:r w:rsidRPr="00E224E9">
        <w:rPr>
          <w:rFonts w:ascii="Book Antiqua" w:hAnsi="Book Antiqua"/>
          <w:color w:val="000000" w:themeColor="text1"/>
          <w:sz w:val="24"/>
        </w:rPr>
        <w:t>終身保險</w:t>
      </w:r>
    </w:p>
    <w:p w14:paraId="1C424A3E"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係指以被保險人在以終身生存期間內繼續生存者為條件，由保險人給付保險金為責任之保險。</w:t>
      </w:r>
    </w:p>
    <w:p w14:paraId="3626DF1A"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以下分為非自由分紅保單、自由分紅保單。</w:t>
      </w:r>
    </w:p>
    <w:p w14:paraId="0C49B33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4</w:t>
      </w:r>
      <w:r w:rsidRPr="00E224E9">
        <w:rPr>
          <w:rFonts w:ascii="Book Antiqua" w:hAnsi="Book Antiqua"/>
          <w:color w:val="000000" w:themeColor="text1"/>
          <w:sz w:val="24"/>
        </w:rPr>
        <w:t>列</w:t>
      </w:r>
      <w:r w:rsidRPr="00E224E9">
        <w:rPr>
          <w:rFonts w:ascii="Book Antiqua" w:hAnsi="Book Antiqua"/>
          <w:color w:val="000000" w:themeColor="text1"/>
          <w:sz w:val="24"/>
        </w:rPr>
        <w:t>—</w:t>
      </w:r>
      <w:r w:rsidRPr="00E224E9">
        <w:rPr>
          <w:rFonts w:ascii="Book Antiqua" w:hAnsi="Book Antiqua"/>
          <w:color w:val="000000" w:themeColor="text1"/>
          <w:sz w:val="24"/>
        </w:rPr>
        <w:t>非自由分紅保單</w:t>
      </w:r>
    </w:p>
    <w:p w14:paraId="026D7631"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係指保單分紅項目為不分紅、依據法令分紅</w:t>
      </w:r>
      <w:r w:rsidRPr="00E224E9">
        <w:rPr>
          <w:rFonts w:ascii="Book Antiqua" w:hAnsi="Book Antiqua"/>
          <w:color w:val="000000" w:themeColor="text1"/>
          <w:sz w:val="24"/>
        </w:rPr>
        <w:t>(</w:t>
      </w:r>
      <w:r w:rsidRPr="00E224E9">
        <w:rPr>
          <w:rFonts w:ascii="Book Antiqua" w:hAnsi="Book Antiqua"/>
          <w:color w:val="000000" w:themeColor="text1"/>
          <w:sz w:val="24"/>
        </w:rPr>
        <w:t>強制分紅</w:t>
      </w:r>
      <w:r w:rsidRPr="00E224E9">
        <w:rPr>
          <w:rFonts w:ascii="Book Antiqua" w:hAnsi="Book Antiqua"/>
          <w:color w:val="000000" w:themeColor="text1"/>
          <w:sz w:val="24"/>
        </w:rPr>
        <w:t>)</w:t>
      </w:r>
      <w:r w:rsidRPr="00E224E9">
        <w:rPr>
          <w:rFonts w:ascii="Book Antiqua" w:hAnsi="Book Antiqua"/>
          <w:color w:val="000000" w:themeColor="text1"/>
          <w:sz w:val="24"/>
        </w:rPr>
        <w:t>及其他非自由分紅保單。</w:t>
      </w:r>
    </w:p>
    <w:p w14:paraId="3C5BD92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5</w:t>
      </w:r>
      <w:r w:rsidRPr="00E224E9">
        <w:rPr>
          <w:rFonts w:ascii="Book Antiqua" w:hAnsi="Book Antiqua"/>
          <w:color w:val="000000" w:themeColor="text1"/>
          <w:sz w:val="24"/>
        </w:rPr>
        <w:t>列</w:t>
      </w:r>
      <w:r w:rsidRPr="00E224E9">
        <w:rPr>
          <w:rFonts w:ascii="Book Antiqua" w:hAnsi="Book Antiqua"/>
          <w:color w:val="000000" w:themeColor="text1"/>
          <w:sz w:val="24"/>
        </w:rPr>
        <w:t>—</w:t>
      </w:r>
      <w:r w:rsidRPr="00E224E9">
        <w:rPr>
          <w:rFonts w:ascii="Book Antiqua" w:hAnsi="Book Antiqua"/>
          <w:color w:val="000000" w:themeColor="text1"/>
          <w:sz w:val="24"/>
        </w:rPr>
        <w:t>自由分紅保單</w:t>
      </w:r>
    </w:p>
    <w:p w14:paraId="2AA71646"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係指保單分紅方式依據公司經營績效提供保單之紅利者之保單。</w:t>
      </w:r>
    </w:p>
    <w:p w14:paraId="670E4921"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6</w:t>
      </w:r>
      <w:r w:rsidRPr="00E224E9">
        <w:rPr>
          <w:rFonts w:ascii="Book Antiqua" w:hAnsi="Book Antiqua"/>
          <w:color w:val="000000" w:themeColor="text1"/>
          <w:sz w:val="24"/>
        </w:rPr>
        <w:t>列</w:t>
      </w:r>
      <w:r w:rsidRPr="00E224E9">
        <w:rPr>
          <w:rFonts w:ascii="Book Antiqua" w:hAnsi="Book Antiqua"/>
          <w:color w:val="000000" w:themeColor="text1"/>
          <w:sz w:val="24"/>
        </w:rPr>
        <w:t>—</w:t>
      </w:r>
      <w:r w:rsidRPr="00E224E9">
        <w:rPr>
          <w:rFonts w:ascii="Book Antiqua" w:hAnsi="Book Antiqua"/>
          <w:color w:val="000000" w:themeColor="text1"/>
          <w:sz w:val="24"/>
        </w:rPr>
        <w:t>定期保險</w:t>
      </w:r>
    </w:p>
    <w:p w14:paraId="2A185EB1"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係指以被保險人在約定期間內繼續生存者為條件，由保險人給付保險金為責任之保險。</w:t>
      </w:r>
    </w:p>
    <w:p w14:paraId="03F56EC4"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以下分為非自由分紅保單、自由分紅保單。</w:t>
      </w:r>
    </w:p>
    <w:p w14:paraId="79A70D19" w14:textId="77777777" w:rsidR="00065C53" w:rsidRPr="00E224E9" w:rsidRDefault="00065C53">
      <w:pPr>
        <w:spacing w:line="440" w:lineRule="exact"/>
        <w:jc w:val="both"/>
        <w:rPr>
          <w:rFonts w:ascii="標楷體" w:hAnsi="標楷體"/>
          <w:color w:val="000000" w:themeColor="text1"/>
          <w:sz w:val="24"/>
        </w:rPr>
      </w:pPr>
    </w:p>
    <w:p w14:paraId="18AE6541"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lastRenderedPageBreak/>
        <w:t>第</w:t>
      </w:r>
      <w:r w:rsidRPr="00E224E9">
        <w:rPr>
          <w:rFonts w:ascii="Book Antiqua" w:hAnsi="Book Antiqua"/>
          <w:color w:val="000000" w:themeColor="text1"/>
          <w:sz w:val="24"/>
        </w:rPr>
        <w:t>9</w:t>
      </w:r>
      <w:r w:rsidRPr="00E224E9">
        <w:rPr>
          <w:rFonts w:ascii="Book Antiqua" w:hAnsi="Book Antiqua"/>
          <w:color w:val="000000" w:themeColor="text1"/>
          <w:sz w:val="24"/>
        </w:rPr>
        <w:t>列－生死合險</w:t>
      </w:r>
    </w:p>
    <w:p w14:paraId="756F3B1D" w14:textId="77777777" w:rsidR="00065C53" w:rsidRPr="00E224E9" w:rsidRDefault="00065C53">
      <w:pPr>
        <w:pStyle w:val="a7"/>
        <w:spacing w:after="0"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14:paraId="473BB2D5"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16</w:t>
      </w:r>
      <w:r w:rsidRPr="00E224E9">
        <w:rPr>
          <w:rFonts w:ascii="Book Antiqua" w:hAnsi="Book Antiqua"/>
          <w:color w:val="000000" w:themeColor="text1"/>
          <w:sz w:val="24"/>
        </w:rPr>
        <w:t>列－合計</w:t>
      </w:r>
    </w:p>
    <w:p w14:paraId="5848736A"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本列之金額為第</w:t>
      </w:r>
      <w:r w:rsidRPr="00E224E9">
        <w:rPr>
          <w:rFonts w:ascii="Book Antiqua" w:hAnsi="Book Antiqua"/>
          <w:color w:val="000000" w:themeColor="text1"/>
          <w:sz w:val="24"/>
        </w:rPr>
        <w:t>4</w:t>
      </w:r>
      <w:r w:rsidRPr="00E224E9">
        <w:rPr>
          <w:rFonts w:ascii="Book Antiqua" w:hAnsi="Book Antiqua"/>
          <w:color w:val="000000" w:themeColor="text1"/>
          <w:sz w:val="24"/>
        </w:rPr>
        <w:t>、</w:t>
      </w:r>
      <w:r w:rsidRPr="00E224E9">
        <w:rPr>
          <w:rFonts w:ascii="Book Antiqua" w:hAnsi="Book Antiqua"/>
          <w:color w:val="000000" w:themeColor="text1"/>
          <w:sz w:val="24"/>
        </w:rPr>
        <w:t>5</w:t>
      </w:r>
      <w:r w:rsidRPr="00E224E9">
        <w:rPr>
          <w:rFonts w:ascii="Book Antiqua" w:hAnsi="Book Antiqua"/>
          <w:color w:val="000000" w:themeColor="text1"/>
          <w:sz w:val="24"/>
        </w:rPr>
        <w:t>、</w:t>
      </w:r>
      <w:r w:rsidRPr="00E224E9">
        <w:rPr>
          <w:rFonts w:ascii="Book Antiqua" w:hAnsi="Book Antiqua"/>
          <w:color w:val="000000" w:themeColor="text1"/>
          <w:sz w:val="24"/>
        </w:rPr>
        <w:t>7</w:t>
      </w:r>
      <w:r w:rsidRPr="00E224E9">
        <w:rPr>
          <w:rFonts w:ascii="Book Antiqua" w:hAnsi="Book Antiqua"/>
          <w:color w:val="000000" w:themeColor="text1"/>
          <w:sz w:val="24"/>
        </w:rPr>
        <w:t>、</w:t>
      </w:r>
      <w:r w:rsidRPr="00E224E9">
        <w:rPr>
          <w:rFonts w:ascii="Book Antiqua" w:hAnsi="Book Antiqua"/>
          <w:color w:val="000000" w:themeColor="text1"/>
          <w:sz w:val="24"/>
        </w:rPr>
        <w:t>8</w:t>
      </w:r>
      <w:r w:rsidRPr="00E224E9">
        <w:rPr>
          <w:rFonts w:ascii="Book Antiqua" w:hAnsi="Book Antiqua"/>
          <w:color w:val="000000" w:themeColor="text1"/>
          <w:sz w:val="24"/>
        </w:rPr>
        <w:t>、</w:t>
      </w:r>
      <w:r w:rsidRPr="00E224E9">
        <w:rPr>
          <w:rFonts w:ascii="Book Antiqua" w:hAnsi="Book Antiqua"/>
          <w:color w:val="000000" w:themeColor="text1"/>
          <w:sz w:val="24"/>
        </w:rPr>
        <w:t>11</w:t>
      </w:r>
      <w:r w:rsidRPr="00E224E9">
        <w:rPr>
          <w:rFonts w:ascii="Book Antiqua" w:hAnsi="Book Antiqua"/>
          <w:color w:val="000000" w:themeColor="text1"/>
          <w:sz w:val="24"/>
        </w:rPr>
        <w:t>、</w:t>
      </w:r>
      <w:r w:rsidRPr="00E224E9">
        <w:rPr>
          <w:rFonts w:ascii="Book Antiqua" w:hAnsi="Book Antiqua"/>
          <w:color w:val="000000" w:themeColor="text1"/>
          <w:sz w:val="24"/>
        </w:rPr>
        <w:t>12</w:t>
      </w:r>
      <w:r w:rsidRPr="00E224E9">
        <w:rPr>
          <w:rFonts w:ascii="Book Antiqua" w:hAnsi="Book Antiqua"/>
          <w:color w:val="000000" w:themeColor="text1"/>
          <w:sz w:val="24"/>
        </w:rPr>
        <w:t>、</w:t>
      </w:r>
      <w:r w:rsidRPr="00E224E9">
        <w:rPr>
          <w:rFonts w:ascii="Book Antiqua" w:hAnsi="Book Antiqua"/>
          <w:color w:val="000000" w:themeColor="text1"/>
          <w:sz w:val="24"/>
        </w:rPr>
        <w:t>14</w:t>
      </w:r>
      <w:r w:rsidRPr="00E224E9">
        <w:rPr>
          <w:rFonts w:ascii="Book Antiqua" w:hAnsi="Book Antiqua"/>
          <w:color w:val="000000" w:themeColor="text1"/>
          <w:sz w:val="24"/>
        </w:rPr>
        <w:t>及</w:t>
      </w:r>
      <w:r w:rsidRPr="00E224E9">
        <w:rPr>
          <w:rFonts w:ascii="Book Antiqua" w:hAnsi="Book Antiqua"/>
          <w:color w:val="000000" w:themeColor="text1"/>
          <w:sz w:val="24"/>
        </w:rPr>
        <w:t>15</w:t>
      </w:r>
      <w:r w:rsidRPr="00E224E9">
        <w:rPr>
          <w:rFonts w:ascii="Book Antiqua" w:hAnsi="Book Antiqua"/>
          <w:color w:val="000000" w:themeColor="text1"/>
          <w:sz w:val="24"/>
        </w:rPr>
        <w:t>列加總之和。</w:t>
      </w:r>
    </w:p>
    <w:p w14:paraId="6E8081C5"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17</w:t>
      </w:r>
      <w:r w:rsidRPr="00E224E9">
        <w:rPr>
          <w:rFonts w:ascii="Book Antiqua" w:hAnsi="Book Antiqua"/>
          <w:color w:val="000000" w:themeColor="text1"/>
          <w:sz w:val="24"/>
        </w:rPr>
        <w:t>列－團體壽險</w:t>
      </w:r>
      <w:r w:rsidRPr="00E224E9">
        <w:rPr>
          <w:rFonts w:ascii="Book Antiqua" w:hAnsi="Book Antiqua"/>
          <w:color w:val="000000" w:themeColor="text1"/>
          <w:sz w:val="24"/>
        </w:rPr>
        <w:t>—</w:t>
      </w:r>
      <w:r w:rsidRPr="00E224E9">
        <w:rPr>
          <w:rFonts w:ascii="Book Antiqua" w:hAnsi="Book Antiqua"/>
          <w:color w:val="000000" w:themeColor="text1"/>
          <w:sz w:val="24"/>
        </w:rPr>
        <w:t>非一年期</w:t>
      </w:r>
    </w:p>
    <w:p w14:paraId="52FF61B8" w14:textId="77777777" w:rsidR="00065C53" w:rsidRPr="00E224E9" w:rsidRDefault="00065C53">
      <w:pPr>
        <w:pStyle w:val="20"/>
        <w:spacing w:line="440" w:lineRule="exact"/>
        <w:ind w:leftChars="300" w:left="780"/>
        <w:rPr>
          <w:rFonts w:ascii="Book Antiqua" w:hAnsi="Book Antiqua"/>
          <w:color w:val="000000" w:themeColor="text1"/>
          <w:sz w:val="24"/>
        </w:rPr>
      </w:pPr>
      <w:r w:rsidRPr="00E224E9">
        <w:rPr>
          <w:rFonts w:ascii="Book Antiqua" w:hAnsi="Book Antiqua"/>
          <w:color w:val="000000" w:themeColor="text1"/>
          <w:sz w:val="24"/>
        </w:rPr>
        <w:t>所謂團體保險指其承保對象為具有共同利益或活動的一群人，本欄應填列之金額為非一年期之保險，指其投保期間為一年以上之保險。</w:t>
      </w:r>
    </w:p>
    <w:p w14:paraId="2A54B32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18</w:t>
      </w:r>
      <w:r w:rsidRPr="00E224E9">
        <w:rPr>
          <w:rFonts w:ascii="Book Antiqua" w:hAnsi="Book Antiqua"/>
          <w:color w:val="000000" w:themeColor="text1"/>
          <w:sz w:val="24"/>
        </w:rPr>
        <w:t>列－總計</w:t>
      </w:r>
    </w:p>
    <w:p w14:paraId="0E689FF4"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本列之金額為第</w:t>
      </w:r>
      <w:r w:rsidRPr="00E224E9">
        <w:rPr>
          <w:rFonts w:ascii="Book Antiqua" w:hAnsi="Book Antiqua"/>
          <w:color w:val="000000" w:themeColor="text1"/>
          <w:sz w:val="24"/>
        </w:rPr>
        <w:t>16</w:t>
      </w:r>
      <w:r w:rsidRPr="00E224E9">
        <w:rPr>
          <w:rFonts w:ascii="Book Antiqua" w:hAnsi="Book Antiqua"/>
          <w:color w:val="000000" w:themeColor="text1"/>
          <w:sz w:val="24"/>
        </w:rPr>
        <w:t>列與第</w:t>
      </w:r>
      <w:r w:rsidRPr="00E224E9">
        <w:rPr>
          <w:rFonts w:ascii="Book Antiqua" w:hAnsi="Book Antiqua"/>
          <w:color w:val="000000" w:themeColor="text1"/>
          <w:sz w:val="24"/>
        </w:rPr>
        <w:t>17</w:t>
      </w:r>
      <w:r w:rsidRPr="00E224E9">
        <w:rPr>
          <w:rFonts w:ascii="Book Antiqua" w:hAnsi="Book Antiqua"/>
          <w:color w:val="000000" w:themeColor="text1"/>
          <w:sz w:val="24"/>
        </w:rPr>
        <w:t>列兩列加總之和。</w:t>
      </w:r>
    </w:p>
    <w:p w14:paraId="5ECD1880" w14:textId="77777777" w:rsidR="00065C53" w:rsidRPr="00E224E9" w:rsidRDefault="00065C53">
      <w:pPr>
        <w:pStyle w:val="1"/>
        <w:spacing w:afterLines="0" w:line="440" w:lineRule="exact"/>
        <w:jc w:val="both"/>
        <w:rPr>
          <w:color w:val="000000" w:themeColor="text1"/>
        </w:rPr>
      </w:pPr>
      <w:r w:rsidRPr="00E224E9">
        <w:rPr>
          <w:color w:val="000000" w:themeColor="text1"/>
          <w:sz w:val="24"/>
          <w:szCs w:val="24"/>
        </w:rPr>
        <w:br w:type="page"/>
      </w:r>
      <w:bookmarkStart w:id="187" w:name="_Toc219262265"/>
      <w:bookmarkStart w:id="188" w:name="_Toc200468571"/>
      <w:r w:rsidRPr="00E224E9">
        <w:rPr>
          <w:rFonts w:hint="eastAsia"/>
          <w:color w:val="000000" w:themeColor="text1"/>
        </w:rPr>
        <w:lastRenderedPageBreak/>
        <w:t>表30-11：保單價值準備金表</w:t>
      </w:r>
      <w:bookmarkEnd w:id="187"/>
      <w:bookmarkEnd w:id="188"/>
    </w:p>
    <w:p w14:paraId="7D31BD90"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表為人身保險業計算利率風險之填報基礎，此項利率風險採逐單計算的方式，以「保單價值準備金」為基礎，將公司投資報酬率與保單預定利率、保單分紅利率兩者較高者比較之，若為自由分紅保單或不分紅保單則以保單預定利率，不需要與保單分紅利率比較，再將其保單價值準備金乘以前述經比較後計算所得的正利差(若為負利差則以零計算)，即可計算出利率風險之風險基礎資本額。</w:t>
      </w:r>
    </w:p>
    <w:p w14:paraId="7842400F"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投資型保單附有保證給付下之保息帳戶，依其保證利率及其帳戶保單價值計算其利率風險。</w:t>
      </w:r>
    </w:p>
    <w:p w14:paraId="20A07E4E"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主要欄位說明如下：</w:t>
      </w:r>
    </w:p>
    <w:p w14:paraId="481A3DB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第1欄－保單預定利率/保息帳戶保證利率</w:t>
      </w:r>
    </w:p>
    <w:p w14:paraId="31BF7FD6"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本欄為各人壽保險保單現行之保單預定利率/保息帳戶保證利率，以0.25％為一間距，若有其他未於表上列示之保單利率可於空白列填列之。</w:t>
      </w:r>
    </w:p>
    <w:p w14:paraId="1A97F81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第2欄－傳統壽險</w:t>
      </w:r>
    </w:p>
    <w:p w14:paraId="5315E29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本欄之金額為依第1欄保單預定利率為基準所計算傳統壽險之保單價值準備金，若無保單價值準備金者，請填責任準備金，以作為利率風險之衡量基礎。</w:t>
      </w:r>
    </w:p>
    <w:p w14:paraId="09A2E9A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第3欄－長期健康險</w:t>
      </w:r>
    </w:p>
    <w:p w14:paraId="49EAEFA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本欄之金額為依第1欄保單預定利率為基準所計算長期健康險之保單價值準備金，若無保單價值準備金者，請填責任準備金，以作為利率風險之衡量基礎。</w:t>
      </w:r>
    </w:p>
    <w:p w14:paraId="54F9C6A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第4欄－傳統年金</w:t>
      </w:r>
    </w:p>
    <w:p w14:paraId="0D467904"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本欄之金額為依第1欄保單預定利率為基準所計算傳統年金之保單價值準備金，若無保單價值準備金者，請填責任準備金，以作為利率風險之衡量基礎。</w:t>
      </w:r>
    </w:p>
    <w:p w14:paraId="639D567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第5欄－傳統型商品合計</w:t>
      </w:r>
    </w:p>
    <w:p w14:paraId="260AB5B3"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本欄之金額為依第2欄、第3欄、第4欄數值之合計。</w:t>
      </w:r>
    </w:p>
    <w:p w14:paraId="03E95CC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第6欄－利變年金</w:t>
      </w:r>
    </w:p>
    <w:p w14:paraId="2A994CC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本欄之金額為依第1欄保單預定利率為基準所計算利變年金之保單價值準備金，若無保單價值準備金者，請填責任準備金，以作為利率風險之衡量基礎。</w:t>
      </w:r>
    </w:p>
    <w:p w14:paraId="5624671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第7欄－利變壽險</w:t>
      </w:r>
    </w:p>
    <w:p w14:paraId="4D9462B4"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本欄之金額為依第1欄保單預定利率為基準所計算利變壽險之保單價值準備金，若無保單價值準備金者，請填責任準備金，以作為利率風險之衡量基礎。</w:t>
      </w:r>
    </w:p>
    <w:p w14:paraId="509B82CF" w14:textId="77777777" w:rsidR="00065C53" w:rsidRPr="00E224E9" w:rsidRDefault="00065C53">
      <w:pPr>
        <w:spacing w:line="440" w:lineRule="exact"/>
        <w:ind w:left="780" w:hangingChars="325" w:hanging="780"/>
        <w:jc w:val="both"/>
        <w:rPr>
          <w:rFonts w:ascii="標楷體" w:hAnsi="標楷體"/>
          <w:color w:val="000000" w:themeColor="text1"/>
          <w:sz w:val="24"/>
        </w:rPr>
      </w:pPr>
      <w:r w:rsidRPr="00E224E9">
        <w:rPr>
          <w:rFonts w:ascii="標楷體" w:hAnsi="標楷體" w:hint="eastAsia"/>
          <w:color w:val="000000" w:themeColor="text1"/>
          <w:sz w:val="24"/>
        </w:rPr>
        <w:t>第8欄－勞退年金</w:t>
      </w:r>
    </w:p>
    <w:p w14:paraId="78F61CD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本欄之金額為依第1欄保單預定利率為基準所計算勞退年金之保單價值準備金，</w:t>
      </w:r>
      <w:r w:rsidRPr="00E224E9">
        <w:rPr>
          <w:rFonts w:ascii="標楷體" w:hAnsi="標楷體" w:hint="eastAsia"/>
          <w:color w:val="000000" w:themeColor="text1"/>
          <w:sz w:val="24"/>
        </w:rPr>
        <w:lastRenderedPageBreak/>
        <w:t>若無保單價值準備金者，請填責任準備金，以作為利率風險之衡量基礎。</w:t>
      </w:r>
    </w:p>
    <w:p w14:paraId="14BDFFB6" w14:textId="77777777" w:rsidR="00065C53" w:rsidRPr="00E224E9" w:rsidRDefault="00065C53">
      <w:pPr>
        <w:spacing w:line="440" w:lineRule="exact"/>
        <w:ind w:left="780" w:hangingChars="325" w:hanging="780"/>
        <w:jc w:val="both"/>
        <w:rPr>
          <w:rFonts w:ascii="標楷體" w:hAnsi="標楷體"/>
          <w:color w:val="000000" w:themeColor="text1"/>
          <w:sz w:val="24"/>
        </w:rPr>
      </w:pPr>
      <w:r w:rsidRPr="00E224E9">
        <w:rPr>
          <w:rFonts w:ascii="標楷體" w:hAnsi="標楷體" w:hint="eastAsia"/>
          <w:color w:val="000000" w:themeColor="text1"/>
          <w:sz w:val="24"/>
        </w:rPr>
        <w:t>第9欄－萬能壽險</w:t>
      </w:r>
    </w:p>
    <w:p w14:paraId="5807B039"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本欄之金額為依第1欄保單預定利率為基準所計算萬能壽險之保單價值準備金，若無保單價值準備金者，請填責任準備金，以作為利率風險之衡量基礎。</w:t>
      </w:r>
    </w:p>
    <w:p w14:paraId="3A006302" w14:textId="77777777" w:rsidR="00065C53" w:rsidRPr="00E224E9" w:rsidRDefault="00065C53">
      <w:pPr>
        <w:spacing w:line="440" w:lineRule="exact"/>
        <w:ind w:leftChars="300" w:left="780"/>
        <w:jc w:val="both"/>
        <w:rPr>
          <w:rFonts w:ascii="標楷體" w:hAnsi="標楷體"/>
          <w:color w:val="000000" w:themeColor="text1"/>
          <w:sz w:val="24"/>
        </w:rPr>
      </w:pPr>
    </w:p>
    <w:p w14:paraId="3BE31792"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主要列說明如下：</w:t>
      </w:r>
    </w:p>
    <w:p w14:paraId="120C1FB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第1列－強制分紅保單(保單預定利率)</w:t>
      </w:r>
    </w:p>
    <w:p w14:paraId="7628B97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本列之金額按各欄險別項目填報強制分紅保單不同預定利率下第2列~第42列的縱向合計。</w:t>
      </w:r>
    </w:p>
    <w:p w14:paraId="1360073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第2列~第42列－預定利率(0%~10%)</w:t>
      </w:r>
    </w:p>
    <w:p w14:paraId="66017B8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本列之金額按各欄險別項目填報強制分紅保單不同預定利率下的保單價值準備金。</w:t>
      </w:r>
    </w:p>
    <w:p w14:paraId="61EDE7B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第43列－其他(請自行填列非上述利率)</w:t>
      </w:r>
    </w:p>
    <w:p w14:paraId="7EDFAF0C"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本列之金額按各欄險別項目填報強制分紅保單不同於第2列~第42列預定利率的其他預定利率下第44列~第59列的縱向合計。</w:t>
      </w:r>
    </w:p>
    <w:p w14:paraId="664B4F7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第44列~第59列－預定利率(其他)</w:t>
      </w:r>
    </w:p>
    <w:p w14:paraId="7233E4C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本列之金額按各欄險別項目填報強制分紅保單不同預定利率下的保單價值準備金。</w:t>
      </w:r>
    </w:p>
    <w:p w14:paraId="4BDCF67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第60列－不分紅保單(保單預定利率)</w:t>
      </w:r>
    </w:p>
    <w:p w14:paraId="76E73DF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本列之金額按各欄險別項目填報不分紅保單不同預定利率下的保單價值準備金第61列~第75列之縱向合計。</w:t>
      </w:r>
    </w:p>
    <w:p w14:paraId="204122A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第61列~第75列－預定利率(2%~3%)</w:t>
      </w:r>
    </w:p>
    <w:p w14:paraId="7DDBD05C"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本列之金額按各欄險別項目填報不分紅保單不同預定利率下的保單價值準備金。</w:t>
      </w:r>
    </w:p>
    <w:p w14:paraId="74D55C3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第76列－自由分紅保單(保單預定利率)</w:t>
      </w:r>
    </w:p>
    <w:p w14:paraId="3840BC6C"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本列之金額按各欄險別項目填報自由分紅保單不同預定利率下的保單價值準備金第77列~第91列之縱向合計。</w:t>
      </w:r>
    </w:p>
    <w:p w14:paraId="2689457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第77列~第96列－預定利率(2%~3%)</w:t>
      </w:r>
    </w:p>
    <w:p w14:paraId="7B3BA678"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本列之金額按各欄險別項目填報自由分紅保單不同預定利率下的保單價值準備金。</w:t>
      </w:r>
    </w:p>
    <w:p w14:paraId="3A6E568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第97列－總計</w:t>
      </w:r>
    </w:p>
    <w:p w14:paraId="35FA92D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本列之金額按各欄險別項目填報第1列、第43列、第60列、第76列之縱向合計。</w:t>
      </w:r>
    </w:p>
    <w:p w14:paraId="68E14B54" w14:textId="77777777" w:rsidR="00065C53" w:rsidRPr="00E224E9" w:rsidRDefault="00065C53">
      <w:pPr>
        <w:pStyle w:val="1"/>
        <w:spacing w:afterLines="0" w:line="440" w:lineRule="exact"/>
        <w:jc w:val="both"/>
        <w:rPr>
          <w:color w:val="000000" w:themeColor="text1"/>
        </w:rPr>
      </w:pPr>
      <w:r w:rsidRPr="00E224E9">
        <w:rPr>
          <w:color w:val="000000" w:themeColor="text1"/>
          <w:sz w:val="24"/>
          <w:szCs w:val="24"/>
        </w:rPr>
        <w:br w:type="page"/>
      </w:r>
      <w:bookmarkStart w:id="189" w:name="_Toc219262266"/>
      <w:bookmarkStart w:id="190" w:name="_Toc200468572"/>
      <w:r w:rsidRPr="00E224E9">
        <w:rPr>
          <w:rFonts w:hint="eastAsia"/>
          <w:color w:val="000000" w:themeColor="text1"/>
        </w:rPr>
        <w:lastRenderedPageBreak/>
        <w:t>表30-12：投資資產信用評等資訊表</w:t>
      </w:r>
      <w:bookmarkEnd w:id="189"/>
      <w:bookmarkEnd w:id="190"/>
    </w:p>
    <w:p w14:paraId="2613B8F3" w14:textId="77777777" w:rsidR="00065C53" w:rsidRPr="00E224E9" w:rsidRDefault="00065C53">
      <w:pPr>
        <w:spacing w:line="440" w:lineRule="exact"/>
        <w:ind w:firstLine="480"/>
        <w:jc w:val="both"/>
        <w:rPr>
          <w:rFonts w:ascii="標楷體" w:hAnsi="標楷體"/>
          <w:color w:val="000000" w:themeColor="text1"/>
          <w:sz w:val="24"/>
        </w:rPr>
      </w:pPr>
      <w:r w:rsidRPr="00E224E9">
        <w:rPr>
          <w:rFonts w:ascii="標楷體" w:hAnsi="標楷體" w:hint="eastAsia"/>
          <w:color w:val="000000" w:themeColor="text1"/>
          <w:sz w:val="24"/>
        </w:rPr>
        <w:t>為填報『表30-8』信用評等資訊調整表，保險業者應提供相關投資資產資訊，填報方式如下：</w:t>
      </w:r>
    </w:p>
    <w:p w14:paraId="5DAAF72D" w14:textId="77777777" w:rsidR="00065C53" w:rsidRPr="00E224E9" w:rsidRDefault="00065C53">
      <w:pPr>
        <w:spacing w:line="440" w:lineRule="exact"/>
        <w:jc w:val="both"/>
        <w:rPr>
          <w:rFonts w:ascii="標楷體" w:hAnsi="標楷體"/>
          <w:color w:val="000000" w:themeColor="text1"/>
          <w:sz w:val="24"/>
        </w:rPr>
      </w:pPr>
    </w:p>
    <w:p w14:paraId="02D95C5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一、保險業風險資本額制度調整項目：</w:t>
      </w:r>
    </w:p>
    <w:p w14:paraId="67B7DA54" w14:textId="77777777" w:rsidR="00065C53" w:rsidRPr="00E224E9" w:rsidRDefault="00065C53">
      <w:pPr>
        <w:spacing w:line="440" w:lineRule="exact"/>
        <w:ind w:left="480" w:hangingChars="200" w:hanging="480"/>
        <w:jc w:val="both"/>
        <w:rPr>
          <w:rFonts w:ascii="標楷體" w:hAnsi="標楷體"/>
          <w:color w:val="000000" w:themeColor="text1"/>
          <w:sz w:val="24"/>
        </w:rPr>
      </w:pPr>
      <w:r w:rsidRPr="00E224E9">
        <w:rPr>
          <w:rFonts w:ascii="標楷體" w:hAnsi="標楷體" w:hint="eastAsia"/>
          <w:color w:val="000000" w:themeColor="text1"/>
          <w:sz w:val="24"/>
        </w:rPr>
        <w:t xml:space="preserve">    目前保險業風險資本額制度考量納入信用評等額外資訊以作為係數扣減之風險項目如下：</w:t>
      </w:r>
    </w:p>
    <w:p w14:paraId="133FC43A" w14:textId="77777777" w:rsidR="00065C53" w:rsidRPr="00E224E9" w:rsidRDefault="00065C53">
      <w:pPr>
        <w:spacing w:line="440" w:lineRule="exact"/>
        <w:ind w:left="480"/>
        <w:jc w:val="both"/>
        <w:rPr>
          <w:rFonts w:ascii="標楷體" w:hAnsi="標楷體"/>
          <w:color w:val="000000" w:themeColor="text1"/>
          <w:sz w:val="24"/>
        </w:rPr>
      </w:pPr>
      <w:r w:rsidRPr="00E224E9">
        <w:rPr>
          <w:rFonts w:ascii="標楷體" w:hAnsi="標楷體" w:hint="eastAsia"/>
          <w:color w:val="000000" w:themeColor="text1"/>
          <w:sz w:val="24"/>
        </w:rPr>
        <w:t>（一）資產風險－關係人風險：</w:t>
      </w:r>
    </w:p>
    <w:p w14:paraId="1057AB48"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 xml:space="preserve">0.1.3.1 </w:t>
      </w:r>
      <w:r w:rsidRPr="00E224E9">
        <w:rPr>
          <w:rFonts w:ascii="標楷體" w:hAnsi="標楷體" w:hint="eastAsia"/>
          <w:color w:val="000000" w:themeColor="text1"/>
          <w:sz w:val="24"/>
        </w:rPr>
        <w:t>投資具控制與從屬關係之存款</w:t>
      </w:r>
    </w:p>
    <w:p w14:paraId="0E52A434"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 xml:space="preserve">0.1.3.3 </w:t>
      </w:r>
      <w:r w:rsidRPr="00E224E9">
        <w:rPr>
          <w:rFonts w:ascii="標楷體" w:hAnsi="標楷體" w:hint="eastAsia"/>
          <w:color w:val="000000" w:themeColor="text1"/>
          <w:sz w:val="24"/>
        </w:rPr>
        <w:t>投資具控制與從屬關係之受益憑證</w:t>
      </w:r>
    </w:p>
    <w:p w14:paraId="13721777"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 xml:space="preserve">0.2.1 </w:t>
      </w:r>
      <w:r w:rsidRPr="00E224E9">
        <w:rPr>
          <w:rFonts w:ascii="標楷體" w:hAnsi="標楷體" w:hint="eastAsia"/>
          <w:color w:val="000000" w:themeColor="text1"/>
          <w:sz w:val="24"/>
        </w:rPr>
        <w:t>非控制與從屬關係之關係人存款</w:t>
      </w:r>
    </w:p>
    <w:p w14:paraId="1AFAE907"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 xml:space="preserve">0.2.4 </w:t>
      </w:r>
      <w:r w:rsidRPr="00E224E9">
        <w:rPr>
          <w:rFonts w:ascii="標楷體" w:hAnsi="標楷體" w:hint="eastAsia"/>
          <w:color w:val="000000" w:themeColor="text1"/>
          <w:sz w:val="24"/>
        </w:rPr>
        <w:t>非控制與從屬關係之關係人受益憑證</w:t>
      </w:r>
    </w:p>
    <w:p w14:paraId="26CA7F3F" w14:textId="77777777" w:rsidR="00065C53" w:rsidRPr="00E224E9" w:rsidRDefault="00065C53">
      <w:pPr>
        <w:spacing w:line="440" w:lineRule="exact"/>
        <w:ind w:left="480"/>
        <w:jc w:val="both"/>
        <w:rPr>
          <w:rFonts w:ascii="標楷體" w:hAnsi="標楷體"/>
          <w:color w:val="000000" w:themeColor="text1"/>
          <w:sz w:val="24"/>
        </w:rPr>
      </w:pPr>
      <w:r w:rsidRPr="00E224E9">
        <w:rPr>
          <w:rFonts w:ascii="標楷體" w:hAnsi="標楷體" w:hint="eastAsia"/>
          <w:color w:val="000000" w:themeColor="text1"/>
          <w:sz w:val="24"/>
        </w:rPr>
        <w:t>（二）資產風險－非關係人風險：</w:t>
      </w:r>
    </w:p>
    <w:p w14:paraId="41805539"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 xml:space="preserve">1.2.4.1 </w:t>
      </w:r>
      <w:r w:rsidRPr="00E224E9">
        <w:rPr>
          <w:rFonts w:ascii="標楷體" w:hAnsi="標楷體" w:hint="eastAsia"/>
          <w:color w:val="000000" w:themeColor="text1"/>
          <w:sz w:val="24"/>
        </w:rPr>
        <w:t>股票型共同基金</w:t>
      </w:r>
    </w:p>
    <w:p w14:paraId="73525487"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1.2.4.2</w:t>
      </w:r>
      <w:r w:rsidRPr="00E224E9">
        <w:rPr>
          <w:rFonts w:ascii="標楷體" w:hAnsi="標楷體" w:hint="eastAsia"/>
          <w:color w:val="000000" w:themeColor="text1"/>
          <w:sz w:val="24"/>
        </w:rPr>
        <w:t xml:space="preserve"> 債券型共同基金</w:t>
      </w:r>
    </w:p>
    <w:p w14:paraId="3881C3AB"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1.2.4.3</w:t>
      </w:r>
      <w:r w:rsidRPr="00E224E9">
        <w:rPr>
          <w:rFonts w:ascii="標楷體" w:hAnsi="標楷體" w:hint="eastAsia"/>
          <w:color w:val="000000" w:themeColor="text1"/>
          <w:sz w:val="24"/>
        </w:rPr>
        <w:t xml:space="preserve"> 平衡型共同基金</w:t>
      </w:r>
      <w:r w:rsidR="0049273A" w:rsidRPr="00E224E9">
        <w:rPr>
          <w:rFonts w:ascii="標楷體" w:hAnsi="標楷體" w:hint="eastAsia"/>
          <w:color w:val="000000" w:themeColor="text1"/>
          <w:sz w:val="24"/>
        </w:rPr>
        <w:t>及多重資產型基金</w:t>
      </w:r>
    </w:p>
    <w:p w14:paraId="653C3E14" w14:textId="77777777" w:rsidR="00065C53" w:rsidRPr="00E224E9" w:rsidRDefault="00065C53">
      <w:pPr>
        <w:spacing w:line="440" w:lineRule="exact"/>
        <w:ind w:left="1200"/>
        <w:jc w:val="both"/>
        <w:rPr>
          <w:rFonts w:ascii="標楷體" w:hAnsi="標楷體"/>
          <w:color w:val="000000" w:themeColor="text1"/>
          <w:sz w:val="24"/>
        </w:rPr>
      </w:pPr>
    </w:p>
    <w:p w14:paraId="53265FA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二、信用評等機構：</w:t>
      </w:r>
    </w:p>
    <w:p w14:paraId="022F7F94" w14:textId="2DC26600" w:rsidR="00065C53" w:rsidRPr="00E224E9" w:rsidRDefault="00065C53">
      <w:pPr>
        <w:spacing w:line="440" w:lineRule="exact"/>
        <w:ind w:left="480" w:hangingChars="200" w:hanging="480"/>
        <w:jc w:val="both"/>
        <w:rPr>
          <w:rFonts w:ascii="標楷體" w:hAnsi="標楷體"/>
          <w:color w:val="000000" w:themeColor="text1"/>
          <w:sz w:val="24"/>
        </w:rPr>
      </w:pPr>
      <w:r w:rsidRPr="00E224E9">
        <w:rPr>
          <w:rFonts w:ascii="標楷體" w:hAnsi="標楷體" w:hint="eastAsia"/>
          <w:color w:val="000000" w:themeColor="text1"/>
          <w:sz w:val="24"/>
        </w:rPr>
        <w:t xml:space="preserve">    </w:t>
      </w:r>
      <w:r w:rsidRPr="00E224E9">
        <w:rPr>
          <w:rFonts w:ascii="標楷體" w:hAnsi="標楷體"/>
          <w:color w:val="000000" w:themeColor="text1"/>
          <w:sz w:val="24"/>
        </w:rPr>
        <w:t xml:space="preserve">Standard </w:t>
      </w:r>
      <w:r w:rsidRPr="00E224E9">
        <w:rPr>
          <w:rFonts w:ascii="標楷體" w:hAnsi="標楷體" w:hint="eastAsia"/>
          <w:color w:val="000000" w:themeColor="text1"/>
          <w:sz w:val="24"/>
        </w:rPr>
        <w:t>＆</w:t>
      </w:r>
      <w:r w:rsidRPr="00E224E9">
        <w:rPr>
          <w:rFonts w:ascii="標楷體" w:hAnsi="標楷體"/>
          <w:color w:val="000000" w:themeColor="text1"/>
          <w:sz w:val="24"/>
        </w:rPr>
        <w:t xml:space="preserve"> Poor’s </w:t>
      </w:r>
      <w:r w:rsidRPr="00E224E9">
        <w:rPr>
          <w:rFonts w:ascii="標楷體" w:hAnsi="標楷體" w:hint="eastAsia"/>
          <w:color w:val="000000" w:themeColor="text1"/>
          <w:sz w:val="24"/>
        </w:rPr>
        <w:t>公司、</w:t>
      </w:r>
      <w:r w:rsidRPr="00E224E9">
        <w:rPr>
          <w:rFonts w:ascii="標楷體" w:hAnsi="標楷體"/>
          <w:color w:val="000000" w:themeColor="text1"/>
          <w:sz w:val="24"/>
        </w:rPr>
        <w:t xml:space="preserve">A.M. Best </w:t>
      </w:r>
      <w:r w:rsidRPr="00E224E9">
        <w:rPr>
          <w:rFonts w:ascii="標楷體" w:hAnsi="標楷體" w:hint="eastAsia"/>
          <w:color w:val="000000" w:themeColor="text1"/>
          <w:sz w:val="24"/>
        </w:rPr>
        <w:t>公司、</w:t>
      </w:r>
      <w:r w:rsidRPr="00E224E9">
        <w:rPr>
          <w:rFonts w:ascii="標楷體" w:hAnsi="標楷體"/>
          <w:color w:val="000000" w:themeColor="text1"/>
          <w:sz w:val="24"/>
        </w:rPr>
        <w:t xml:space="preserve">Moody’s </w:t>
      </w:r>
      <w:r w:rsidRPr="00E224E9">
        <w:rPr>
          <w:rFonts w:ascii="標楷體" w:hAnsi="標楷體" w:hint="eastAsia"/>
          <w:color w:val="000000" w:themeColor="text1"/>
          <w:sz w:val="24"/>
        </w:rPr>
        <w:t>公司、</w:t>
      </w:r>
      <w:r w:rsidRPr="00E224E9">
        <w:rPr>
          <w:rFonts w:ascii="標楷體" w:hAnsi="標楷體"/>
          <w:color w:val="000000" w:themeColor="text1"/>
          <w:sz w:val="24"/>
        </w:rPr>
        <w:t>Fitch</w:t>
      </w:r>
      <w:r w:rsidRPr="00E224E9">
        <w:rPr>
          <w:rFonts w:ascii="標楷體" w:hAnsi="標楷體" w:hint="eastAsia"/>
          <w:color w:val="000000" w:themeColor="text1"/>
          <w:sz w:val="24"/>
        </w:rPr>
        <w:t xml:space="preserve"> 公司</w:t>
      </w:r>
      <w:r w:rsidR="004C6F0A" w:rsidRPr="00E224E9">
        <w:rPr>
          <w:rFonts w:ascii="標楷體" w:hAnsi="標楷體" w:hint="eastAsia"/>
          <w:color w:val="000000" w:themeColor="text1"/>
          <w:sz w:val="24"/>
        </w:rPr>
        <w:t>、</w:t>
      </w:r>
      <w:r w:rsidR="004C6F0A" w:rsidRPr="00E224E9">
        <w:rPr>
          <w:rFonts w:ascii="標楷體" w:hAnsi="標楷體"/>
          <w:color w:val="000000" w:themeColor="text1"/>
          <w:sz w:val="24"/>
        </w:rPr>
        <w:t>KBRA公司</w:t>
      </w:r>
      <w:r w:rsidRPr="00E224E9">
        <w:rPr>
          <w:rFonts w:ascii="標楷體" w:hAnsi="標楷體" w:hint="eastAsia"/>
          <w:color w:val="000000" w:themeColor="text1"/>
          <w:sz w:val="24"/>
        </w:rPr>
        <w:t>及中華信用評等公司之長期債信評等資訊。</w:t>
      </w:r>
    </w:p>
    <w:p w14:paraId="733E0D4E" w14:textId="77777777" w:rsidR="00065C53" w:rsidRPr="00E224E9" w:rsidRDefault="00065C53">
      <w:pPr>
        <w:spacing w:line="440" w:lineRule="exact"/>
        <w:ind w:left="480" w:hangingChars="200" w:hanging="480"/>
        <w:jc w:val="both"/>
        <w:rPr>
          <w:rFonts w:ascii="標楷體" w:hAnsi="標楷體"/>
          <w:color w:val="000000" w:themeColor="text1"/>
          <w:sz w:val="24"/>
        </w:rPr>
      </w:pPr>
    </w:p>
    <w:p w14:paraId="2E91608D" w14:textId="77777777" w:rsidR="00065C53" w:rsidRPr="00E224E9" w:rsidRDefault="00065C53">
      <w:pPr>
        <w:spacing w:line="440" w:lineRule="exact"/>
        <w:ind w:left="480" w:hangingChars="200" w:hanging="480"/>
        <w:jc w:val="both"/>
        <w:rPr>
          <w:rFonts w:ascii="標楷體" w:hAnsi="標楷體"/>
          <w:color w:val="000000" w:themeColor="text1"/>
          <w:sz w:val="24"/>
        </w:rPr>
      </w:pPr>
      <w:r w:rsidRPr="00E224E9">
        <w:rPr>
          <w:rFonts w:ascii="標楷體" w:hAnsi="標楷體" w:hint="eastAsia"/>
          <w:color w:val="000000" w:themeColor="text1"/>
          <w:sz w:val="24"/>
        </w:rPr>
        <w:t>三、信用評等標準：</w:t>
      </w:r>
    </w:p>
    <w:p w14:paraId="1A31CB54" w14:textId="2D6806EC" w:rsidR="00065C53" w:rsidRPr="00E224E9" w:rsidRDefault="00065C53">
      <w:pPr>
        <w:spacing w:line="440" w:lineRule="exact"/>
        <w:ind w:left="480" w:hangingChars="200" w:hanging="480"/>
        <w:jc w:val="both"/>
        <w:rPr>
          <w:rFonts w:ascii="標楷體" w:hAnsi="標楷體"/>
          <w:color w:val="000000" w:themeColor="text1"/>
          <w:sz w:val="24"/>
        </w:rPr>
      </w:pPr>
      <w:r w:rsidRPr="00E224E9">
        <w:rPr>
          <w:rFonts w:ascii="標楷體" w:hAnsi="標楷體" w:hint="eastAsia"/>
          <w:color w:val="000000" w:themeColor="text1"/>
          <w:sz w:val="24"/>
        </w:rPr>
        <w:t xml:space="preserve">    </w:t>
      </w:r>
      <w:r w:rsidRPr="00E224E9">
        <w:rPr>
          <w:rFonts w:ascii="標楷體" w:hAnsi="標楷體"/>
          <w:color w:val="000000" w:themeColor="text1"/>
          <w:sz w:val="24"/>
        </w:rPr>
        <w:t xml:space="preserve">Standard </w:t>
      </w:r>
      <w:r w:rsidRPr="00E224E9">
        <w:rPr>
          <w:rFonts w:ascii="標楷體" w:hAnsi="標楷體" w:hint="eastAsia"/>
          <w:color w:val="000000" w:themeColor="text1"/>
          <w:sz w:val="24"/>
        </w:rPr>
        <w:t>＆</w:t>
      </w:r>
      <w:r w:rsidRPr="00E224E9">
        <w:rPr>
          <w:rFonts w:ascii="標楷體" w:hAnsi="標楷體"/>
          <w:color w:val="000000" w:themeColor="text1"/>
          <w:sz w:val="24"/>
        </w:rPr>
        <w:t xml:space="preserve"> Poor’s</w:t>
      </w:r>
      <w:r w:rsidRPr="00E224E9">
        <w:rPr>
          <w:rFonts w:ascii="標楷體" w:hAnsi="標楷體" w:hint="eastAsia"/>
          <w:color w:val="000000" w:themeColor="text1"/>
          <w:sz w:val="24"/>
        </w:rPr>
        <w:t xml:space="preserve"> 公司</w:t>
      </w:r>
      <w:r w:rsidRPr="00E224E9">
        <w:rPr>
          <w:rFonts w:ascii="標楷體" w:hAnsi="標楷體"/>
          <w:color w:val="000000" w:themeColor="text1"/>
          <w:sz w:val="24"/>
        </w:rPr>
        <w:t>A</w:t>
      </w:r>
      <w:r w:rsidRPr="00E224E9">
        <w:rPr>
          <w:rFonts w:ascii="標楷體" w:hAnsi="標楷體" w:hint="eastAsia"/>
          <w:color w:val="000000" w:themeColor="text1"/>
          <w:sz w:val="24"/>
        </w:rPr>
        <w:t>等級以上者；</w:t>
      </w:r>
      <w:r w:rsidRPr="00E224E9">
        <w:rPr>
          <w:rFonts w:ascii="標楷體" w:hAnsi="標楷體"/>
          <w:color w:val="000000" w:themeColor="text1"/>
          <w:sz w:val="24"/>
        </w:rPr>
        <w:t xml:space="preserve">A.M. Best </w:t>
      </w:r>
      <w:r w:rsidRPr="00E224E9">
        <w:rPr>
          <w:rFonts w:ascii="標楷體" w:hAnsi="標楷體" w:hint="eastAsia"/>
          <w:color w:val="000000" w:themeColor="text1"/>
          <w:sz w:val="24"/>
        </w:rPr>
        <w:t>公司</w:t>
      </w:r>
      <w:r w:rsidRPr="00E224E9">
        <w:rPr>
          <w:rFonts w:ascii="標楷體" w:hAnsi="標楷體"/>
          <w:color w:val="000000" w:themeColor="text1"/>
          <w:sz w:val="24"/>
        </w:rPr>
        <w:t>a</w:t>
      </w:r>
      <w:r w:rsidRPr="00E224E9">
        <w:rPr>
          <w:rFonts w:ascii="標楷體" w:hAnsi="標楷體" w:hint="eastAsia"/>
          <w:color w:val="000000" w:themeColor="text1"/>
          <w:sz w:val="24"/>
        </w:rPr>
        <w:t>等級以上者；</w:t>
      </w:r>
      <w:r w:rsidRPr="00E224E9">
        <w:rPr>
          <w:rFonts w:ascii="標楷體" w:hAnsi="標楷體"/>
          <w:color w:val="000000" w:themeColor="text1"/>
          <w:sz w:val="24"/>
        </w:rPr>
        <w:t xml:space="preserve">Moody’s </w:t>
      </w:r>
      <w:r w:rsidRPr="00E224E9">
        <w:rPr>
          <w:rFonts w:ascii="標楷體" w:hAnsi="標楷體" w:hint="eastAsia"/>
          <w:color w:val="000000" w:themeColor="text1"/>
          <w:sz w:val="24"/>
        </w:rPr>
        <w:t>公司</w:t>
      </w:r>
      <w:r w:rsidRPr="00E224E9">
        <w:rPr>
          <w:rFonts w:ascii="標楷體" w:hAnsi="標楷體"/>
          <w:color w:val="000000" w:themeColor="text1"/>
          <w:sz w:val="24"/>
        </w:rPr>
        <w:t>A</w:t>
      </w:r>
      <w:r w:rsidRPr="00E224E9">
        <w:rPr>
          <w:rFonts w:ascii="標楷體" w:hAnsi="標楷體" w:hint="eastAsia"/>
          <w:color w:val="000000" w:themeColor="text1"/>
          <w:sz w:val="24"/>
        </w:rPr>
        <w:t>等級以上者；</w:t>
      </w:r>
      <w:r w:rsidRPr="00E224E9">
        <w:rPr>
          <w:rFonts w:ascii="標楷體" w:hAnsi="標楷體"/>
          <w:color w:val="000000" w:themeColor="text1"/>
          <w:sz w:val="24"/>
        </w:rPr>
        <w:t xml:space="preserve">Fitch </w:t>
      </w:r>
      <w:r w:rsidRPr="00E224E9">
        <w:rPr>
          <w:rFonts w:ascii="標楷體" w:hAnsi="標楷體" w:hint="eastAsia"/>
          <w:color w:val="000000" w:themeColor="text1"/>
          <w:sz w:val="24"/>
        </w:rPr>
        <w:t>公司</w:t>
      </w:r>
      <w:r w:rsidRPr="00E224E9">
        <w:rPr>
          <w:rFonts w:ascii="標楷體" w:hAnsi="標楷體"/>
          <w:color w:val="000000" w:themeColor="text1"/>
          <w:sz w:val="24"/>
        </w:rPr>
        <w:t>A</w:t>
      </w:r>
      <w:r w:rsidRPr="00E224E9">
        <w:rPr>
          <w:rFonts w:ascii="標楷體" w:hAnsi="標楷體" w:hint="eastAsia"/>
          <w:color w:val="000000" w:themeColor="text1"/>
          <w:sz w:val="24"/>
        </w:rPr>
        <w:t>等級以上</w:t>
      </w:r>
      <w:r w:rsidR="00B14FA4" w:rsidRPr="00E224E9">
        <w:rPr>
          <w:rFonts w:ascii="標楷體" w:hAnsi="標楷體" w:hint="eastAsia"/>
          <w:color w:val="000000" w:themeColor="text1"/>
          <w:sz w:val="24"/>
        </w:rPr>
        <w:t>者</w:t>
      </w:r>
      <w:r w:rsidR="004C6F0A" w:rsidRPr="00E224E9">
        <w:rPr>
          <w:rFonts w:ascii="標楷體" w:hAnsi="標楷體" w:hint="eastAsia"/>
          <w:color w:val="000000" w:themeColor="text1"/>
          <w:sz w:val="24"/>
        </w:rPr>
        <w:t>；</w:t>
      </w:r>
      <w:r w:rsidR="004C6F0A" w:rsidRPr="00E224E9">
        <w:rPr>
          <w:rFonts w:ascii="標楷體" w:hAnsi="標楷體"/>
          <w:color w:val="000000" w:themeColor="text1"/>
          <w:sz w:val="24"/>
        </w:rPr>
        <w:t>KBRA公司A等級</w:t>
      </w:r>
      <w:r w:rsidR="004C6F0A" w:rsidRPr="00E224E9">
        <w:rPr>
          <w:rFonts w:ascii="標楷體" w:hAnsi="標楷體" w:hint="eastAsia"/>
          <w:color w:val="000000" w:themeColor="text1"/>
          <w:sz w:val="24"/>
        </w:rPr>
        <w:t>以上者</w:t>
      </w:r>
      <w:r w:rsidRPr="00E224E9">
        <w:rPr>
          <w:rFonts w:ascii="標楷體" w:hAnsi="標楷體" w:hint="eastAsia"/>
          <w:color w:val="000000" w:themeColor="text1"/>
          <w:sz w:val="24"/>
        </w:rPr>
        <w:t>及中華信用評等公司</w:t>
      </w:r>
      <w:r w:rsidRPr="00E224E9">
        <w:rPr>
          <w:rFonts w:ascii="標楷體" w:hAnsi="標楷體"/>
          <w:color w:val="000000" w:themeColor="text1"/>
          <w:sz w:val="24"/>
        </w:rPr>
        <w:t>twAA</w:t>
      </w:r>
      <w:r w:rsidRPr="00E224E9">
        <w:rPr>
          <w:rFonts w:ascii="標楷體" w:hAnsi="標楷體" w:hint="eastAsia"/>
          <w:color w:val="000000" w:themeColor="text1"/>
          <w:sz w:val="24"/>
        </w:rPr>
        <w:t>等級以上者。</w:t>
      </w:r>
    </w:p>
    <w:p w14:paraId="035221A6" w14:textId="77777777" w:rsidR="00065C53" w:rsidRPr="00E224E9" w:rsidRDefault="00065C53">
      <w:pPr>
        <w:spacing w:line="440" w:lineRule="exact"/>
        <w:jc w:val="both"/>
        <w:rPr>
          <w:rFonts w:ascii="標楷體" w:hAnsi="標楷體"/>
          <w:color w:val="000000" w:themeColor="text1"/>
          <w:sz w:val="24"/>
        </w:rPr>
      </w:pPr>
    </w:p>
    <w:p w14:paraId="00E17F67" w14:textId="77777777" w:rsidR="00065C53" w:rsidRPr="00E224E9" w:rsidRDefault="00065C53">
      <w:pPr>
        <w:spacing w:line="440" w:lineRule="exact"/>
        <w:ind w:left="480" w:hangingChars="200" w:hanging="480"/>
        <w:jc w:val="both"/>
        <w:rPr>
          <w:rFonts w:ascii="標楷體" w:hAnsi="標楷體"/>
          <w:color w:val="000000" w:themeColor="text1"/>
          <w:sz w:val="24"/>
        </w:rPr>
      </w:pPr>
      <w:r w:rsidRPr="00E224E9">
        <w:rPr>
          <w:rFonts w:ascii="標楷體" w:hAnsi="標楷體" w:hint="eastAsia"/>
          <w:color w:val="000000" w:themeColor="text1"/>
          <w:sz w:val="24"/>
        </w:rPr>
        <w:t>四、填報欄位</w:t>
      </w:r>
    </w:p>
    <w:p w14:paraId="65E13855" w14:textId="77777777" w:rsidR="00065C53" w:rsidRPr="00E224E9" w:rsidRDefault="00065C53">
      <w:pPr>
        <w:spacing w:line="440" w:lineRule="exact"/>
        <w:ind w:left="480" w:hangingChars="200" w:hanging="480"/>
        <w:jc w:val="both"/>
        <w:rPr>
          <w:rFonts w:ascii="標楷體" w:hAnsi="標楷體"/>
          <w:color w:val="000000" w:themeColor="text1"/>
          <w:sz w:val="24"/>
        </w:rPr>
      </w:pPr>
      <w:r w:rsidRPr="00E224E9">
        <w:rPr>
          <w:rFonts w:ascii="標楷體" w:hAnsi="標楷體" w:hint="eastAsia"/>
          <w:color w:val="000000" w:themeColor="text1"/>
          <w:sz w:val="24"/>
        </w:rPr>
        <w:tab/>
        <w:t>第2欄－信用評等等級</w:t>
      </w:r>
    </w:p>
    <w:p w14:paraId="0C3B0246" w14:textId="77777777" w:rsidR="00065C53" w:rsidRPr="00E224E9" w:rsidRDefault="00065C53">
      <w:pPr>
        <w:spacing w:line="440" w:lineRule="exact"/>
        <w:ind w:left="480" w:firstLine="480"/>
        <w:jc w:val="both"/>
        <w:rPr>
          <w:rFonts w:ascii="標楷體" w:hAnsi="標楷體"/>
          <w:color w:val="000000" w:themeColor="text1"/>
          <w:sz w:val="24"/>
        </w:rPr>
      </w:pPr>
      <w:r w:rsidRPr="00E224E9">
        <w:rPr>
          <w:rFonts w:ascii="標楷體" w:hAnsi="標楷體" w:hint="eastAsia"/>
          <w:color w:val="000000" w:themeColor="text1"/>
          <w:sz w:val="24"/>
        </w:rPr>
        <w:t>本表僅需填列信用評等等級達A級以上者，該信用評等等級以該評估年度12月31日前最新發布之等級為準，其餘等級不需填列，且不給予資本適足性制度風險係數上之折扣。</w:t>
      </w:r>
    </w:p>
    <w:p w14:paraId="4ED2DF4A" w14:textId="77777777" w:rsidR="00065C53" w:rsidRPr="00E224E9" w:rsidRDefault="00065C53">
      <w:pPr>
        <w:spacing w:line="440" w:lineRule="exact"/>
        <w:ind w:left="480"/>
        <w:jc w:val="both"/>
        <w:rPr>
          <w:rFonts w:ascii="標楷體" w:hAnsi="標楷體"/>
          <w:color w:val="000000" w:themeColor="text1"/>
          <w:sz w:val="24"/>
        </w:rPr>
      </w:pPr>
    </w:p>
    <w:p w14:paraId="0ACD0C01" w14:textId="77777777" w:rsidR="00065C53" w:rsidRPr="00E224E9" w:rsidRDefault="00065C53">
      <w:pPr>
        <w:spacing w:line="440" w:lineRule="exact"/>
        <w:ind w:left="480"/>
        <w:jc w:val="both"/>
        <w:rPr>
          <w:rFonts w:ascii="標楷體" w:hAnsi="標楷體"/>
          <w:color w:val="000000" w:themeColor="text1"/>
          <w:sz w:val="24"/>
        </w:rPr>
      </w:pPr>
      <w:r w:rsidRPr="00E224E9">
        <w:rPr>
          <w:rFonts w:ascii="標楷體" w:hAnsi="標楷體" w:hint="eastAsia"/>
          <w:color w:val="000000" w:themeColor="text1"/>
          <w:sz w:val="24"/>
        </w:rPr>
        <w:t>第3欄－投資機構/標的名稱</w:t>
      </w:r>
    </w:p>
    <w:p w14:paraId="775227F9" w14:textId="77777777" w:rsidR="00065C53" w:rsidRPr="00E224E9" w:rsidRDefault="00065C53">
      <w:pPr>
        <w:spacing w:line="440" w:lineRule="exact"/>
        <w:ind w:left="480"/>
        <w:jc w:val="both"/>
        <w:rPr>
          <w:rFonts w:ascii="標楷體" w:hAnsi="標楷體"/>
          <w:color w:val="000000" w:themeColor="text1"/>
          <w:sz w:val="24"/>
        </w:rPr>
      </w:pPr>
    </w:p>
    <w:p w14:paraId="25D482B4" w14:textId="77777777" w:rsidR="00065C53" w:rsidRPr="00E224E9" w:rsidRDefault="00065C53">
      <w:pPr>
        <w:spacing w:line="440" w:lineRule="exact"/>
        <w:ind w:left="480"/>
        <w:jc w:val="both"/>
        <w:rPr>
          <w:rFonts w:ascii="標楷體" w:hAnsi="標楷體"/>
          <w:color w:val="000000" w:themeColor="text1"/>
          <w:sz w:val="24"/>
        </w:rPr>
      </w:pPr>
      <w:r w:rsidRPr="00E224E9">
        <w:rPr>
          <w:rFonts w:ascii="標楷體" w:hAnsi="標楷體" w:hint="eastAsia"/>
          <w:color w:val="000000" w:themeColor="text1"/>
          <w:sz w:val="24"/>
        </w:rPr>
        <w:t>第4欄－信用評等機構</w:t>
      </w:r>
    </w:p>
    <w:p w14:paraId="64A707FC" w14:textId="7069E5CC" w:rsidR="00065C53" w:rsidRPr="00E224E9" w:rsidRDefault="00065C53">
      <w:pPr>
        <w:spacing w:line="440" w:lineRule="exact"/>
        <w:ind w:left="480"/>
        <w:jc w:val="both"/>
        <w:rPr>
          <w:rFonts w:ascii="標楷體" w:hAnsi="標楷體"/>
          <w:color w:val="000000" w:themeColor="text1"/>
          <w:sz w:val="24"/>
        </w:rPr>
      </w:pPr>
      <w:r w:rsidRPr="00E224E9">
        <w:rPr>
          <w:rFonts w:ascii="標楷體" w:hAnsi="標楷體" w:hint="eastAsia"/>
          <w:color w:val="000000" w:themeColor="text1"/>
          <w:sz w:val="24"/>
        </w:rPr>
        <w:tab/>
        <w:t>本欄信用評等機構僅限於S &amp; P、A.M. Best、Moody's、Fitch</w:t>
      </w:r>
      <w:r w:rsidR="00B14FA4" w:rsidRPr="00E224E9">
        <w:rPr>
          <w:rFonts w:ascii="標楷體" w:hAnsi="標楷體" w:hint="eastAsia"/>
          <w:color w:val="000000" w:themeColor="text1"/>
          <w:sz w:val="24"/>
        </w:rPr>
        <w:t>、</w:t>
      </w:r>
      <w:r w:rsidR="00B14FA4" w:rsidRPr="00E224E9">
        <w:rPr>
          <w:rFonts w:ascii="標楷體" w:hAnsi="標楷體"/>
          <w:color w:val="000000" w:themeColor="text1"/>
          <w:sz w:val="24"/>
        </w:rPr>
        <w:t>KBRA</w:t>
      </w:r>
      <w:r w:rsidRPr="00E224E9">
        <w:rPr>
          <w:rFonts w:ascii="標楷體" w:hAnsi="標楷體" w:hint="eastAsia"/>
          <w:color w:val="000000" w:themeColor="text1"/>
          <w:sz w:val="24"/>
        </w:rPr>
        <w:t>及中華信用評等公司，其餘信評機構所評定之等級不給予資本適足性制度風險係數上之折扣；若該項標的或被投資機構經多家信用評等機構評定，公司可擇優填報。</w:t>
      </w:r>
    </w:p>
    <w:p w14:paraId="76EA2B28" w14:textId="77777777" w:rsidR="00065C53" w:rsidRPr="00E224E9" w:rsidRDefault="00065C53">
      <w:pPr>
        <w:spacing w:line="440" w:lineRule="exact"/>
        <w:ind w:left="480"/>
        <w:jc w:val="both"/>
        <w:rPr>
          <w:rFonts w:ascii="標楷體" w:hAnsi="標楷體"/>
          <w:color w:val="000000" w:themeColor="text1"/>
          <w:sz w:val="24"/>
        </w:rPr>
      </w:pPr>
    </w:p>
    <w:p w14:paraId="10868ADB" w14:textId="77777777" w:rsidR="00065C53" w:rsidRPr="00E224E9" w:rsidRDefault="00065C53">
      <w:pPr>
        <w:spacing w:line="440" w:lineRule="exact"/>
        <w:ind w:left="480"/>
        <w:jc w:val="both"/>
        <w:rPr>
          <w:rFonts w:ascii="標楷體" w:hAnsi="標楷體"/>
          <w:color w:val="000000" w:themeColor="text1"/>
          <w:sz w:val="24"/>
        </w:rPr>
      </w:pPr>
      <w:r w:rsidRPr="00E224E9">
        <w:rPr>
          <w:rFonts w:ascii="標楷體" w:hAnsi="標楷體" w:hint="eastAsia"/>
          <w:color w:val="000000" w:themeColor="text1"/>
          <w:sz w:val="24"/>
        </w:rPr>
        <w:t>第5欄－投資金額</w:t>
      </w:r>
    </w:p>
    <w:p w14:paraId="1489A7A3" w14:textId="77777777" w:rsidR="00065C53" w:rsidRPr="00E224E9" w:rsidRDefault="00065C53">
      <w:pPr>
        <w:pStyle w:val="1"/>
        <w:spacing w:afterLines="0" w:line="440" w:lineRule="exact"/>
        <w:jc w:val="both"/>
        <w:rPr>
          <w:color w:val="000000" w:themeColor="text1"/>
        </w:rPr>
      </w:pPr>
      <w:r w:rsidRPr="00E224E9">
        <w:rPr>
          <w:b w:val="0"/>
          <w:bCs w:val="0"/>
          <w:color w:val="000000" w:themeColor="text1"/>
          <w:sz w:val="24"/>
          <w:szCs w:val="24"/>
        </w:rPr>
        <w:br w:type="page"/>
      </w:r>
      <w:bookmarkStart w:id="191" w:name="_Toc219262267"/>
      <w:bookmarkStart w:id="192" w:name="_Toc200468573"/>
      <w:r w:rsidRPr="00E224E9">
        <w:rPr>
          <w:rFonts w:hint="eastAsia"/>
          <w:color w:val="000000" w:themeColor="text1"/>
        </w:rPr>
        <w:lastRenderedPageBreak/>
        <w:t>表</w:t>
      </w:r>
      <w:r w:rsidRPr="00E224E9">
        <w:rPr>
          <w:color w:val="000000" w:themeColor="text1"/>
        </w:rPr>
        <w:t>30-13：長</w:t>
      </w:r>
      <w:r w:rsidRPr="00E224E9">
        <w:rPr>
          <w:rFonts w:hint="eastAsia"/>
          <w:color w:val="000000" w:themeColor="text1"/>
        </w:rPr>
        <w:t>期健康險風險係數計算表</w:t>
      </w:r>
      <w:bookmarkEnd w:id="191"/>
      <w:bookmarkEnd w:id="192"/>
    </w:p>
    <w:p w14:paraId="7FF0D4E7" w14:textId="77777777" w:rsidR="00500EE2" w:rsidRPr="00E224E9" w:rsidRDefault="00500EE2" w:rsidP="00500EE2">
      <w:pPr>
        <w:spacing w:line="440" w:lineRule="exact"/>
        <w:ind w:firstLineChars="207" w:firstLine="497"/>
        <w:jc w:val="both"/>
        <w:rPr>
          <w:rFonts w:ascii="Book Antiqua" w:hAnsi="Book Antiqua"/>
          <w:color w:val="000000" w:themeColor="text1"/>
          <w:sz w:val="24"/>
        </w:rPr>
      </w:pPr>
      <w:r w:rsidRPr="00E224E9">
        <w:rPr>
          <w:rFonts w:ascii="Book Antiqua" w:hAnsi="Book Antiqua"/>
          <w:color w:val="000000" w:themeColor="text1"/>
          <w:sz w:val="24"/>
        </w:rPr>
        <w:t>本表填列之目的在於計算長期健康險之風險係數，依據</w:t>
      </w:r>
      <w:r w:rsidRPr="00E224E9">
        <w:rPr>
          <w:rFonts w:ascii="Book Antiqua" w:hAnsi="Book Antiqua"/>
          <w:color w:val="000000" w:themeColor="text1"/>
          <w:sz w:val="24"/>
        </w:rPr>
        <w:t>30-13-1</w:t>
      </w:r>
      <w:r w:rsidRPr="00E224E9">
        <w:rPr>
          <w:rFonts w:ascii="Book Antiqua" w:hAnsi="Book Antiqua"/>
          <w:color w:val="000000" w:themeColor="text1"/>
          <w:sz w:val="24"/>
        </w:rPr>
        <w:t>「</w:t>
      </w:r>
      <w:r w:rsidRPr="00E224E9">
        <w:rPr>
          <w:rFonts w:ascii="Book Antiqua" w:hAnsi="Book Antiqua"/>
          <w:color w:val="000000" w:themeColor="text1"/>
          <w:sz w:val="24"/>
        </w:rPr>
        <w:t>5</w:t>
      </w:r>
      <w:r w:rsidRPr="00E224E9">
        <w:rPr>
          <w:rFonts w:ascii="Book Antiqua" w:hAnsi="Book Antiqua"/>
          <w:color w:val="000000" w:themeColor="text1"/>
          <w:sz w:val="24"/>
        </w:rPr>
        <w:t>年平均損失率」分別乘以</w:t>
      </w:r>
      <w:r w:rsidRPr="00E224E9">
        <w:rPr>
          <w:rFonts w:ascii="Book Antiqua" w:hAnsi="Book Antiqua"/>
          <w:color w:val="000000" w:themeColor="text1"/>
          <w:sz w:val="24"/>
        </w:rPr>
        <w:t>0.18</w:t>
      </w:r>
      <w:r w:rsidRPr="00E224E9">
        <w:rPr>
          <w:rFonts w:ascii="Book Antiqua" w:hAnsi="Book Antiqua"/>
          <w:color w:val="000000" w:themeColor="text1"/>
          <w:sz w:val="24"/>
        </w:rPr>
        <w:t>即為</w:t>
      </w:r>
      <w:r w:rsidRPr="00E224E9">
        <w:rPr>
          <w:rFonts w:ascii="Book Antiqua" w:hAnsi="Book Antiqua"/>
          <w:color w:val="000000" w:themeColor="text1"/>
          <w:sz w:val="24"/>
          <w:u w:val="single"/>
        </w:rPr>
        <w:t>有給付上限</w:t>
      </w:r>
      <w:r w:rsidRPr="00E224E9">
        <w:rPr>
          <w:rFonts w:ascii="Book Antiqua" w:hAnsi="Book Antiqua"/>
          <w:color w:val="000000" w:themeColor="text1"/>
          <w:sz w:val="24"/>
        </w:rPr>
        <w:t>和</w:t>
      </w:r>
      <w:r w:rsidRPr="00E224E9">
        <w:rPr>
          <w:rFonts w:ascii="Book Antiqua" w:hAnsi="Book Antiqua"/>
          <w:color w:val="000000" w:themeColor="text1"/>
          <w:sz w:val="24"/>
          <w:u w:val="single"/>
        </w:rPr>
        <w:t>無給付上限</w:t>
      </w:r>
      <w:r w:rsidRPr="00E224E9">
        <w:rPr>
          <w:rFonts w:ascii="Book Antiqua" w:hAnsi="Book Antiqua"/>
          <w:color w:val="000000" w:themeColor="text1"/>
          <w:sz w:val="24"/>
        </w:rPr>
        <w:t>之風險係數。</w:t>
      </w:r>
    </w:p>
    <w:p w14:paraId="5524A711" w14:textId="77777777" w:rsidR="00500EE2" w:rsidRPr="00E224E9" w:rsidRDefault="00500EE2" w:rsidP="00500EE2">
      <w:pPr>
        <w:widowControl/>
        <w:spacing w:line="440" w:lineRule="exact"/>
        <w:jc w:val="both"/>
        <w:rPr>
          <w:rFonts w:ascii="Book Antiqua" w:hAnsi="Book Antiqua"/>
          <w:color w:val="000000" w:themeColor="text1"/>
          <w:sz w:val="24"/>
        </w:rPr>
      </w:pPr>
    </w:p>
    <w:p w14:paraId="7A2A0878" w14:textId="77777777" w:rsidR="00500EE2" w:rsidRPr="00E224E9" w:rsidRDefault="00500EE2" w:rsidP="00500EE2">
      <w:pPr>
        <w:widowControl/>
        <w:spacing w:line="440" w:lineRule="exact"/>
        <w:jc w:val="both"/>
        <w:rPr>
          <w:rFonts w:ascii="Book Antiqua" w:hAnsi="Book Antiqua"/>
          <w:color w:val="000000" w:themeColor="text1"/>
          <w:sz w:val="24"/>
        </w:rPr>
      </w:pPr>
      <w:r w:rsidRPr="00E224E9">
        <w:rPr>
          <w:rFonts w:ascii="Book Antiqua" w:hAnsi="Book Antiqua" w:cs="Arial Unicode MS"/>
          <w:color w:val="000000" w:themeColor="text1"/>
          <w:kern w:val="0"/>
          <w:sz w:val="24"/>
        </w:rPr>
        <w:t>主要欄位說明如下</w:t>
      </w:r>
      <w:r w:rsidRPr="00E224E9">
        <w:rPr>
          <w:rFonts w:ascii="Book Antiqua" w:hAnsi="Book Antiqua"/>
          <w:color w:val="000000" w:themeColor="text1"/>
          <w:sz w:val="24"/>
        </w:rPr>
        <w:t>：</w:t>
      </w:r>
    </w:p>
    <w:p w14:paraId="3993E6DE"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2</w:t>
      </w:r>
      <w:r w:rsidRPr="00E224E9">
        <w:rPr>
          <w:rFonts w:ascii="Book Antiqua" w:hAnsi="Book Antiqua"/>
          <w:color w:val="000000" w:themeColor="text1"/>
          <w:sz w:val="24"/>
        </w:rPr>
        <w:t>欄－本</w:t>
      </w:r>
      <w:r w:rsidRPr="00E224E9">
        <w:rPr>
          <w:rFonts w:ascii="Book Antiqua" w:hAnsi="Book Antiqua"/>
          <w:color w:val="000000" w:themeColor="text1"/>
          <w:sz w:val="24"/>
        </w:rPr>
        <w:t>(</w:t>
      </w:r>
      <w:r w:rsidRPr="00E224E9">
        <w:rPr>
          <w:rFonts w:ascii="Book Antiqua" w:hAnsi="Book Antiqua"/>
          <w:color w:val="000000" w:themeColor="text1"/>
          <w:sz w:val="24"/>
        </w:rPr>
        <w:t>期</w:t>
      </w:r>
      <w:r w:rsidRPr="00E224E9">
        <w:rPr>
          <w:rFonts w:ascii="Book Antiqua" w:hAnsi="Book Antiqua"/>
          <w:color w:val="000000" w:themeColor="text1"/>
          <w:sz w:val="24"/>
        </w:rPr>
        <w:t>)</w:t>
      </w:r>
      <w:r w:rsidRPr="00E224E9">
        <w:rPr>
          <w:rFonts w:ascii="Book Antiqua" w:hAnsi="Book Antiqua"/>
          <w:color w:val="000000" w:themeColor="text1"/>
          <w:sz w:val="24"/>
        </w:rPr>
        <w:t>年度責任準備金</w:t>
      </w:r>
    </w:p>
    <w:p w14:paraId="7A0CB57A" w14:textId="77777777" w:rsidR="00500EE2" w:rsidRPr="00E224E9" w:rsidRDefault="00500EE2"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依人身保險業年度報表「有效契約準備金明細表」填具本</w:t>
      </w:r>
      <w:r w:rsidRPr="00E224E9">
        <w:rPr>
          <w:rFonts w:ascii="Book Antiqua" w:hAnsi="Book Antiqua"/>
          <w:color w:val="000000" w:themeColor="text1"/>
          <w:sz w:val="24"/>
        </w:rPr>
        <w:t>(</w:t>
      </w:r>
      <w:r w:rsidRPr="00E224E9">
        <w:rPr>
          <w:rFonts w:ascii="Book Antiqua" w:hAnsi="Book Antiqua"/>
          <w:color w:val="000000" w:themeColor="text1"/>
          <w:sz w:val="24"/>
        </w:rPr>
        <w:t>期</w:t>
      </w:r>
      <w:r w:rsidRPr="00E224E9">
        <w:rPr>
          <w:rFonts w:ascii="Book Antiqua" w:hAnsi="Book Antiqua"/>
          <w:color w:val="000000" w:themeColor="text1"/>
          <w:sz w:val="24"/>
        </w:rPr>
        <w:t>)</w:t>
      </w:r>
      <w:r w:rsidRPr="00E224E9">
        <w:rPr>
          <w:rFonts w:ascii="Book Antiqua" w:hAnsi="Book Antiqua"/>
          <w:color w:val="000000" w:themeColor="text1"/>
          <w:sz w:val="24"/>
        </w:rPr>
        <w:t>年度責任準備金數值。</w:t>
      </w:r>
    </w:p>
    <w:p w14:paraId="549AF990"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3</w:t>
      </w:r>
      <w:r w:rsidRPr="00E224E9">
        <w:rPr>
          <w:rFonts w:ascii="Book Antiqua" w:hAnsi="Book Antiqua"/>
          <w:color w:val="000000" w:themeColor="text1"/>
          <w:sz w:val="24"/>
        </w:rPr>
        <w:t>欄－再保險比率</w:t>
      </w:r>
      <w:r w:rsidRPr="00E224E9">
        <w:rPr>
          <w:rFonts w:ascii="Book Antiqua" w:hAnsi="Book Antiqua"/>
          <w:color w:val="000000" w:themeColor="text1"/>
          <w:sz w:val="24"/>
        </w:rPr>
        <w:t>(</w:t>
      </w:r>
      <w:r w:rsidRPr="00E224E9">
        <w:rPr>
          <w:rFonts w:ascii="Book Antiqua" w:hAnsi="Book Antiqua"/>
          <w:color w:val="000000" w:themeColor="text1"/>
          <w:sz w:val="24"/>
        </w:rPr>
        <w:t>適格</w:t>
      </w:r>
      <w:r w:rsidRPr="00E224E9">
        <w:rPr>
          <w:rFonts w:ascii="Book Antiqua" w:hAnsi="Book Antiqua"/>
          <w:color w:val="000000" w:themeColor="text1"/>
          <w:sz w:val="24"/>
        </w:rPr>
        <w:t>)</w:t>
      </w:r>
    </w:p>
    <w:p w14:paraId="5864E70C" w14:textId="77777777" w:rsidR="00500EE2" w:rsidRPr="00E224E9" w:rsidRDefault="00500EE2"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係指適格再保險的責任準備金佔總承攬業務責任準備金之比率，詳見人身保險業資本適足性報告</w:t>
      </w:r>
      <w:r w:rsidRPr="00E224E9">
        <w:rPr>
          <w:rFonts w:ascii="Book Antiqua" w:hAnsi="Book Antiqua"/>
          <w:color w:val="000000" w:themeColor="text1"/>
          <w:sz w:val="24"/>
        </w:rPr>
        <w:t>2.4</w:t>
      </w:r>
      <w:r w:rsidRPr="00E224E9">
        <w:rPr>
          <w:rFonts w:ascii="Book Antiqua" w:hAnsi="Book Antiqua"/>
          <w:color w:val="000000" w:themeColor="text1"/>
          <w:sz w:val="24"/>
        </w:rPr>
        <w:t>個人健康保險</w:t>
      </w:r>
      <w:r w:rsidRPr="00E224E9">
        <w:rPr>
          <w:rFonts w:ascii="Book Antiqua" w:hAnsi="Book Antiqua"/>
          <w:color w:val="000000" w:themeColor="text1"/>
          <w:sz w:val="24"/>
        </w:rPr>
        <w:t>[</w:t>
      </w:r>
      <w:r w:rsidRPr="00E224E9">
        <w:rPr>
          <w:rFonts w:ascii="Book Antiqua" w:hAnsi="Book Antiqua"/>
          <w:color w:val="000000" w:themeColor="text1"/>
          <w:sz w:val="24"/>
        </w:rPr>
        <w:t>註</w:t>
      </w:r>
      <w:r w:rsidRPr="00E224E9">
        <w:rPr>
          <w:rFonts w:ascii="Book Antiqua" w:hAnsi="Book Antiqua"/>
          <w:color w:val="000000" w:themeColor="text1"/>
          <w:sz w:val="24"/>
        </w:rPr>
        <w:t>]</w:t>
      </w:r>
      <w:r w:rsidRPr="00E224E9">
        <w:rPr>
          <w:rFonts w:ascii="Book Antiqua" w:hAnsi="Book Antiqua"/>
          <w:color w:val="000000" w:themeColor="text1"/>
          <w:sz w:val="24"/>
        </w:rPr>
        <w:t>之說明。</w:t>
      </w:r>
    </w:p>
    <w:p w14:paraId="32009A1E"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4</w:t>
      </w:r>
      <w:r w:rsidRPr="00E224E9">
        <w:rPr>
          <w:rFonts w:ascii="Book Antiqua" w:hAnsi="Book Antiqua"/>
          <w:color w:val="000000" w:themeColor="text1"/>
          <w:sz w:val="24"/>
        </w:rPr>
        <w:t>欄－淨風險部位</w:t>
      </w:r>
    </w:p>
    <w:p w14:paraId="5C2533CF" w14:textId="77777777" w:rsidR="00500EE2" w:rsidRPr="00E224E9" w:rsidRDefault="00500EE2"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總承攬業務責任準備金扣除適格再保險業務的責任準備金後之淨額。</w:t>
      </w:r>
    </w:p>
    <w:p w14:paraId="1A416DE9" w14:textId="77777777" w:rsidR="00061E03" w:rsidRPr="00E224E9" w:rsidRDefault="00061E03" w:rsidP="00061E0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5</w:t>
      </w:r>
      <w:r w:rsidRPr="00E224E9">
        <w:rPr>
          <w:rFonts w:ascii="Book Antiqua" w:hAnsi="Book Antiqua"/>
          <w:color w:val="000000" w:themeColor="text1"/>
          <w:sz w:val="24"/>
        </w:rPr>
        <w:t>欄－</w:t>
      </w:r>
      <w:r w:rsidRPr="00E224E9">
        <w:rPr>
          <w:rFonts w:ascii="Book Antiqua" w:hAnsi="Book Antiqua" w:hint="eastAsia"/>
          <w:color w:val="000000" w:themeColor="text1"/>
          <w:sz w:val="24"/>
        </w:rPr>
        <w:t>五年平均損失率</w:t>
      </w:r>
    </w:p>
    <w:p w14:paraId="5B2231B9" w14:textId="77777777" w:rsidR="00061E03" w:rsidRPr="00E224E9" w:rsidRDefault="00061E03"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依據</w:t>
      </w:r>
      <w:r w:rsidRPr="00E224E9">
        <w:rPr>
          <w:rFonts w:ascii="Book Antiqua" w:hAnsi="Book Antiqua" w:hint="eastAsia"/>
          <w:color w:val="000000" w:themeColor="text1"/>
          <w:sz w:val="24"/>
        </w:rPr>
        <w:t>表</w:t>
      </w:r>
      <w:r w:rsidRPr="00E224E9">
        <w:rPr>
          <w:rFonts w:ascii="Book Antiqua" w:hAnsi="Book Antiqua"/>
          <w:color w:val="000000" w:themeColor="text1"/>
          <w:sz w:val="24"/>
        </w:rPr>
        <w:t>30-13-1</w:t>
      </w:r>
      <w:r w:rsidRPr="00E224E9">
        <w:rPr>
          <w:rFonts w:ascii="Book Antiqua" w:hAnsi="Book Antiqua" w:hint="eastAsia"/>
          <w:color w:val="000000" w:themeColor="text1"/>
          <w:sz w:val="24"/>
        </w:rPr>
        <w:t>分別填列</w:t>
      </w:r>
      <w:r w:rsidR="00E93524"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長期健康保險</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有給付上限</w:t>
      </w:r>
      <w:r w:rsidR="00E93524" w:rsidRPr="00E224E9">
        <w:rPr>
          <w:rFonts w:ascii="Book Antiqua" w:hAnsi="Book Antiqua" w:hint="eastAsia"/>
          <w:color w:val="000000" w:themeColor="text1"/>
          <w:sz w:val="24"/>
        </w:rPr>
        <w:t>」</w:t>
      </w:r>
      <w:r w:rsidRPr="00E224E9">
        <w:rPr>
          <w:rFonts w:ascii="Book Antiqua" w:hAnsi="Book Antiqua"/>
          <w:color w:val="000000" w:themeColor="text1"/>
          <w:sz w:val="24"/>
        </w:rPr>
        <w:t>與</w:t>
      </w:r>
      <w:r w:rsidR="00E93524"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長期健康保險</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無給付上限</w:t>
      </w:r>
      <w:r w:rsidR="00E93524"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於小計之</w:t>
      </w:r>
      <w:r w:rsidRPr="00E224E9">
        <w:rPr>
          <w:rFonts w:ascii="Book Antiqua" w:hAnsi="Book Antiqua"/>
          <w:color w:val="000000" w:themeColor="text1"/>
          <w:sz w:val="24"/>
        </w:rPr>
        <w:t>5</w:t>
      </w:r>
      <w:r w:rsidRPr="00E224E9">
        <w:rPr>
          <w:rFonts w:ascii="Book Antiqua" w:hAnsi="Book Antiqua"/>
          <w:color w:val="000000" w:themeColor="text1"/>
          <w:sz w:val="24"/>
        </w:rPr>
        <w:t>年平均損失率</w:t>
      </w:r>
    </w:p>
    <w:p w14:paraId="49DA7B3F"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00061E03" w:rsidRPr="00E224E9">
        <w:rPr>
          <w:rFonts w:ascii="Book Antiqua" w:hAnsi="Book Antiqua" w:hint="eastAsia"/>
          <w:color w:val="000000" w:themeColor="text1"/>
          <w:sz w:val="24"/>
        </w:rPr>
        <w:t>6</w:t>
      </w:r>
      <w:r w:rsidRPr="00E224E9">
        <w:rPr>
          <w:rFonts w:ascii="Book Antiqua" w:hAnsi="Book Antiqua"/>
          <w:color w:val="000000" w:themeColor="text1"/>
          <w:sz w:val="24"/>
        </w:rPr>
        <w:t>欄－</w:t>
      </w:r>
      <w:r w:rsidR="004E5823" w:rsidRPr="00E224E9">
        <w:rPr>
          <w:rFonts w:ascii="Book Antiqua" w:hAnsi="Book Antiqua" w:hint="eastAsia"/>
          <w:color w:val="000000" w:themeColor="text1"/>
          <w:sz w:val="24"/>
        </w:rPr>
        <w:t>未反應損失率之風險係數</w:t>
      </w:r>
    </w:p>
    <w:p w14:paraId="5DB6EF16" w14:textId="77777777" w:rsidR="00500EE2" w:rsidRPr="00E224E9" w:rsidRDefault="00E93524" w:rsidP="00500EE2">
      <w:pPr>
        <w:spacing w:line="440" w:lineRule="exact"/>
        <w:ind w:leftChars="276" w:left="718"/>
        <w:jc w:val="both"/>
        <w:rPr>
          <w:rFonts w:ascii="Book Antiqua" w:hAnsi="Book Antiqua"/>
          <w:color w:val="000000" w:themeColor="text1"/>
          <w:sz w:val="24"/>
        </w:rPr>
      </w:pPr>
      <w:r w:rsidRPr="00E224E9">
        <w:rPr>
          <w:rFonts w:ascii="Book Antiqua" w:hAnsi="Book Antiqua" w:hint="eastAsia"/>
          <w:color w:val="000000" w:themeColor="text1"/>
          <w:sz w:val="24"/>
        </w:rPr>
        <w:t>係指「長期健康保險</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有給付上限」</w:t>
      </w:r>
      <w:r w:rsidRPr="00E224E9">
        <w:rPr>
          <w:rFonts w:ascii="Book Antiqua" w:hAnsi="Book Antiqua"/>
          <w:color w:val="000000" w:themeColor="text1"/>
          <w:sz w:val="24"/>
        </w:rPr>
        <w:t>與</w:t>
      </w:r>
      <w:r w:rsidRPr="00E224E9">
        <w:rPr>
          <w:rFonts w:ascii="Book Antiqua" w:hAnsi="Book Antiqua" w:hint="eastAsia"/>
          <w:color w:val="000000" w:themeColor="text1"/>
          <w:sz w:val="24"/>
        </w:rPr>
        <w:t>「長期健康保險</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無給付上限」</w:t>
      </w:r>
      <w:r w:rsidR="004E5823" w:rsidRPr="00E224E9">
        <w:rPr>
          <w:rFonts w:ascii="Book Antiqua" w:hAnsi="Book Antiqua" w:hint="eastAsia"/>
          <w:color w:val="000000" w:themeColor="text1"/>
          <w:sz w:val="24"/>
        </w:rPr>
        <w:t>未反應</w:t>
      </w:r>
      <w:r w:rsidR="004E5823" w:rsidRPr="00E224E9">
        <w:rPr>
          <w:rFonts w:ascii="Book Antiqua" w:hAnsi="Book Antiqua"/>
          <w:color w:val="000000" w:themeColor="text1"/>
          <w:sz w:val="24"/>
        </w:rPr>
        <w:t>5</w:t>
      </w:r>
      <w:r w:rsidR="004E5823" w:rsidRPr="00E224E9">
        <w:rPr>
          <w:rFonts w:ascii="Book Antiqua" w:hAnsi="Book Antiqua"/>
          <w:color w:val="000000" w:themeColor="text1"/>
          <w:sz w:val="24"/>
        </w:rPr>
        <w:t>年平均損失率</w:t>
      </w:r>
      <w:r w:rsidR="00500EE2" w:rsidRPr="00E224E9">
        <w:rPr>
          <w:rFonts w:ascii="Book Antiqua" w:hAnsi="Book Antiqua"/>
          <w:color w:val="000000" w:themeColor="text1"/>
          <w:sz w:val="24"/>
        </w:rPr>
        <w:t>之風險係數。</w:t>
      </w:r>
    </w:p>
    <w:p w14:paraId="4DFEF89B" w14:textId="77777777" w:rsidR="004E5823" w:rsidRPr="00E224E9" w:rsidRDefault="004E5823" w:rsidP="004E582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7</w:t>
      </w:r>
      <w:r w:rsidRPr="00E224E9">
        <w:rPr>
          <w:rFonts w:ascii="Book Antiqua" w:hAnsi="Book Antiqua"/>
          <w:color w:val="000000" w:themeColor="text1"/>
          <w:sz w:val="24"/>
        </w:rPr>
        <w:t>欄－</w:t>
      </w:r>
      <w:r w:rsidRPr="00E224E9">
        <w:rPr>
          <w:rFonts w:ascii="Book Antiqua" w:hAnsi="Book Antiqua" w:hint="eastAsia"/>
          <w:color w:val="000000" w:themeColor="text1"/>
          <w:sz w:val="24"/>
        </w:rPr>
        <w:t>風險係數</w:t>
      </w:r>
    </w:p>
    <w:p w14:paraId="49943570" w14:textId="77777777" w:rsidR="00500EE2" w:rsidRPr="00E224E9" w:rsidRDefault="004E5823"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係指以第</w:t>
      </w:r>
      <w:r w:rsidRPr="00E224E9">
        <w:rPr>
          <w:rFonts w:ascii="Book Antiqua" w:hAnsi="Book Antiqua" w:hint="eastAsia"/>
          <w:color w:val="000000" w:themeColor="text1"/>
          <w:sz w:val="24"/>
        </w:rPr>
        <w:t>5</w:t>
      </w:r>
      <w:r w:rsidRPr="00E224E9">
        <w:rPr>
          <w:rFonts w:ascii="Book Antiqua" w:hAnsi="Book Antiqua"/>
          <w:color w:val="000000" w:themeColor="text1"/>
          <w:sz w:val="24"/>
        </w:rPr>
        <w:t>欄－</w:t>
      </w:r>
      <w:r w:rsidRPr="00E224E9">
        <w:rPr>
          <w:rFonts w:ascii="Book Antiqua" w:hAnsi="Book Antiqua" w:hint="eastAsia"/>
          <w:color w:val="000000" w:themeColor="text1"/>
          <w:sz w:val="24"/>
        </w:rPr>
        <w:t>五年平均損失率乘以</w:t>
      </w:r>
      <w:r w:rsidRPr="00E224E9">
        <w:rPr>
          <w:rFonts w:ascii="Book Antiqua" w:hAnsi="Book Antiqua"/>
          <w:color w:val="000000" w:themeColor="text1"/>
          <w:sz w:val="24"/>
        </w:rPr>
        <w:t>第</w:t>
      </w:r>
      <w:r w:rsidRPr="00E224E9">
        <w:rPr>
          <w:rFonts w:ascii="Book Antiqua" w:hAnsi="Book Antiqua" w:hint="eastAsia"/>
          <w:color w:val="000000" w:themeColor="text1"/>
          <w:sz w:val="24"/>
        </w:rPr>
        <w:t>6</w:t>
      </w:r>
      <w:r w:rsidRPr="00E224E9">
        <w:rPr>
          <w:rFonts w:ascii="Book Antiqua" w:hAnsi="Book Antiqua"/>
          <w:color w:val="000000" w:themeColor="text1"/>
          <w:sz w:val="24"/>
        </w:rPr>
        <w:t>欄－</w:t>
      </w:r>
      <w:r w:rsidRPr="00E224E9">
        <w:rPr>
          <w:rFonts w:ascii="Book Antiqua" w:hAnsi="Book Antiqua" w:hint="eastAsia"/>
          <w:color w:val="000000" w:themeColor="text1"/>
          <w:sz w:val="24"/>
        </w:rPr>
        <w:t>未反應損失率之風險係數所得「長期健康保險</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有給付上限」</w:t>
      </w:r>
      <w:r w:rsidRPr="00E224E9">
        <w:rPr>
          <w:rFonts w:ascii="Book Antiqua" w:hAnsi="Book Antiqua"/>
          <w:color w:val="000000" w:themeColor="text1"/>
          <w:sz w:val="24"/>
        </w:rPr>
        <w:t>與</w:t>
      </w:r>
      <w:r w:rsidRPr="00E224E9">
        <w:rPr>
          <w:rFonts w:ascii="Book Antiqua" w:hAnsi="Book Antiqua" w:hint="eastAsia"/>
          <w:color w:val="000000" w:themeColor="text1"/>
          <w:sz w:val="24"/>
        </w:rPr>
        <w:t>「長期健康保險</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無給付上限」</w:t>
      </w:r>
      <w:r w:rsidRPr="00E224E9">
        <w:rPr>
          <w:rFonts w:ascii="Book Antiqua" w:hAnsi="Book Antiqua"/>
          <w:color w:val="000000" w:themeColor="text1"/>
          <w:sz w:val="24"/>
        </w:rPr>
        <w:t>之風險係數。</w:t>
      </w:r>
    </w:p>
    <w:p w14:paraId="55D2EF70"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將長期健康保險分為兩大類，第一類為有給付上限，第二類為無給付上限，主要列之說明如下：</w:t>
      </w:r>
    </w:p>
    <w:p w14:paraId="18388F28"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9</w:t>
      </w:r>
      <w:r w:rsidRPr="00E224E9">
        <w:rPr>
          <w:rFonts w:ascii="Book Antiqua" w:hAnsi="Book Antiqua"/>
          <w:color w:val="000000" w:themeColor="text1"/>
          <w:sz w:val="24"/>
        </w:rPr>
        <w:t>列、第</w:t>
      </w:r>
      <w:r w:rsidRPr="00E224E9">
        <w:rPr>
          <w:rFonts w:ascii="Book Antiqua" w:hAnsi="Book Antiqua"/>
          <w:color w:val="000000" w:themeColor="text1"/>
          <w:sz w:val="24"/>
        </w:rPr>
        <w:t>18</w:t>
      </w:r>
      <w:r w:rsidRPr="00E224E9">
        <w:rPr>
          <w:rFonts w:ascii="Book Antiqua" w:hAnsi="Book Antiqua"/>
          <w:color w:val="000000" w:themeColor="text1"/>
          <w:sz w:val="24"/>
        </w:rPr>
        <w:t>列－小計</w:t>
      </w:r>
    </w:p>
    <w:p w14:paraId="4CD8A17C" w14:textId="77777777" w:rsidR="00500EE2" w:rsidRPr="00E224E9" w:rsidRDefault="00500EE2"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按類別計算本</w:t>
      </w:r>
      <w:r w:rsidRPr="00E224E9">
        <w:rPr>
          <w:rFonts w:ascii="Book Antiqua" w:hAnsi="Book Antiqua"/>
          <w:color w:val="000000" w:themeColor="text1"/>
          <w:sz w:val="24"/>
        </w:rPr>
        <w:t>(</w:t>
      </w:r>
      <w:r w:rsidRPr="00E224E9">
        <w:rPr>
          <w:rFonts w:ascii="Book Antiqua" w:hAnsi="Book Antiqua"/>
          <w:color w:val="000000" w:themeColor="text1"/>
          <w:sz w:val="24"/>
        </w:rPr>
        <w:t>期</w:t>
      </w:r>
      <w:r w:rsidRPr="00E224E9">
        <w:rPr>
          <w:rFonts w:ascii="Book Antiqua" w:hAnsi="Book Antiqua"/>
          <w:color w:val="000000" w:themeColor="text1"/>
          <w:sz w:val="24"/>
        </w:rPr>
        <w:t>)</w:t>
      </w:r>
      <w:r w:rsidRPr="00E224E9">
        <w:rPr>
          <w:rFonts w:ascii="Book Antiqua" w:hAnsi="Book Antiqua"/>
          <w:color w:val="000000" w:themeColor="text1"/>
          <w:sz w:val="24"/>
        </w:rPr>
        <w:t>年度責任準備金。</w:t>
      </w:r>
    </w:p>
    <w:p w14:paraId="2DB7F57A" w14:textId="77777777" w:rsidR="00500EE2" w:rsidRPr="00E224E9" w:rsidRDefault="00500EE2" w:rsidP="00500EE2">
      <w:pPr>
        <w:pStyle w:val="1"/>
        <w:spacing w:afterLines="0" w:line="440" w:lineRule="exact"/>
        <w:jc w:val="both"/>
        <w:rPr>
          <w:color w:val="000000" w:themeColor="text1"/>
        </w:rPr>
      </w:pPr>
      <w:r w:rsidRPr="00E224E9">
        <w:rPr>
          <w:color w:val="000000" w:themeColor="text1"/>
          <w:sz w:val="24"/>
        </w:rPr>
        <w:br w:type="page"/>
      </w:r>
      <w:bookmarkStart w:id="193" w:name="_Toc406572384"/>
      <w:bookmarkStart w:id="194" w:name="_Toc200468574"/>
      <w:r w:rsidRPr="00E224E9">
        <w:rPr>
          <w:color w:val="000000" w:themeColor="text1"/>
        </w:rPr>
        <w:lastRenderedPageBreak/>
        <w:t>表30-13-1：長年期健康保險之C2保險風險調整係數試算(採損失率)</w:t>
      </w:r>
      <w:bookmarkEnd w:id="193"/>
      <w:bookmarkEnd w:id="194"/>
    </w:p>
    <w:p w14:paraId="05512496" w14:textId="77777777" w:rsidR="00500EE2" w:rsidRPr="00E224E9" w:rsidRDefault="00500EE2" w:rsidP="004E5823">
      <w:pPr>
        <w:spacing w:line="440" w:lineRule="exact"/>
        <w:ind w:firstLineChars="207" w:firstLine="497"/>
        <w:jc w:val="both"/>
        <w:rPr>
          <w:rFonts w:ascii="Book Antiqua" w:hAnsi="Book Antiqua"/>
          <w:color w:val="000000" w:themeColor="text1"/>
          <w:sz w:val="24"/>
        </w:rPr>
      </w:pPr>
      <w:r w:rsidRPr="00E224E9">
        <w:rPr>
          <w:rFonts w:ascii="Book Antiqua" w:hAnsi="Book Antiqua"/>
          <w:color w:val="000000" w:themeColor="text1"/>
          <w:sz w:val="24"/>
        </w:rPr>
        <w:t>本報表之目的在於計算長年期健康保險損失率。填列本表時，應注意以下事項：</w:t>
      </w:r>
    </w:p>
    <w:p w14:paraId="14F54B1D" w14:textId="77777777" w:rsidR="00500EE2" w:rsidRPr="00E224E9" w:rsidRDefault="00500EE2" w:rsidP="004E5823">
      <w:pPr>
        <w:spacing w:line="440" w:lineRule="exact"/>
        <w:ind w:leftChars="191" w:left="838" w:hangingChars="142" w:hanging="341"/>
        <w:jc w:val="both"/>
        <w:rPr>
          <w:rFonts w:ascii="Book Antiqua" w:hAnsi="Book Antiqua"/>
          <w:color w:val="000000" w:themeColor="text1"/>
          <w:sz w:val="24"/>
        </w:rPr>
      </w:pPr>
      <w:r w:rsidRPr="00E224E9">
        <w:rPr>
          <w:rFonts w:ascii="Book Antiqua" w:hAnsi="Book Antiqua"/>
          <w:color w:val="000000" w:themeColor="text1"/>
          <w:sz w:val="24"/>
        </w:rPr>
        <w:t xml:space="preserve">1. </w:t>
      </w:r>
      <w:r w:rsidR="0010183C" w:rsidRPr="00E224E9">
        <w:rPr>
          <w:rFonts w:ascii="Book Antiqua" w:hAnsi="Book Antiqua" w:hint="eastAsia"/>
          <w:color w:val="000000" w:themeColor="text1"/>
          <w:sz w:val="24"/>
        </w:rPr>
        <w:t>填報對象係針對超過一年期之長年期健康保險商品，如表</w:t>
      </w:r>
      <w:r w:rsidR="0010183C" w:rsidRPr="00E224E9">
        <w:rPr>
          <w:rFonts w:ascii="Book Antiqua" w:hAnsi="Book Antiqua" w:hint="eastAsia"/>
          <w:color w:val="000000" w:themeColor="text1"/>
          <w:sz w:val="24"/>
        </w:rPr>
        <w:t>30-13</w:t>
      </w:r>
      <w:r w:rsidR="0010183C" w:rsidRPr="00E224E9">
        <w:rPr>
          <w:rFonts w:ascii="Book Antiqua" w:hAnsi="Book Antiqua" w:hint="eastAsia"/>
          <w:color w:val="000000" w:themeColor="text1"/>
          <w:sz w:val="24"/>
        </w:rPr>
        <w:t>附有本表第</w:t>
      </w:r>
      <w:r w:rsidR="0010183C" w:rsidRPr="00E224E9">
        <w:rPr>
          <w:rFonts w:ascii="Book Antiqua" w:hAnsi="Book Antiqua" w:hint="eastAsia"/>
          <w:color w:val="000000" w:themeColor="text1"/>
          <w:sz w:val="24"/>
        </w:rPr>
        <w:t>2</w:t>
      </w:r>
      <w:r w:rsidR="0010183C" w:rsidRPr="00E224E9">
        <w:rPr>
          <w:rFonts w:ascii="Book Antiqua" w:hAnsi="Book Antiqua" w:hint="eastAsia"/>
          <w:color w:val="000000" w:themeColor="text1"/>
          <w:sz w:val="24"/>
        </w:rPr>
        <w:t>欄所列商品型態之綜合險，應歸類於所屬該商品類型中。</w:t>
      </w:r>
    </w:p>
    <w:p w14:paraId="214F48FD" w14:textId="77777777" w:rsidR="00500EE2" w:rsidRPr="00E224E9" w:rsidRDefault="00500EE2" w:rsidP="004E5823">
      <w:pPr>
        <w:spacing w:line="440" w:lineRule="exact"/>
        <w:ind w:leftChars="191" w:left="838" w:hangingChars="142" w:hanging="341"/>
        <w:jc w:val="both"/>
        <w:rPr>
          <w:rFonts w:ascii="Book Antiqua" w:hAnsi="Book Antiqua"/>
          <w:color w:val="000000" w:themeColor="text1"/>
          <w:sz w:val="24"/>
        </w:rPr>
      </w:pPr>
      <w:r w:rsidRPr="00E224E9">
        <w:rPr>
          <w:rFonts w:ascii="Book Antiqua" w:hAnsi="Book Antiqua"/>
          <w:color w:val="000000" w:themeColor="text1"/>
          <w:sz w:val="24"/>
        </w:rPr>
        <w:t xml:space="preserve">2. </w:t>
      </w:r>
      <w:r w:rsidRPr="00E224E9">
        <w:rPr>
          <w:rFonts w:ascii="Book Antiqua" w:hAnsi="Book Antiqua"/>
          <w:color w:val="000000" w:themeColor="text1"/>
          <w:sz w:val="24"/>
        </w:rPr>
        <w:t>有關綜合險之保險成本若能單獨拆分人壽保險及健康保險，則該損失率分子分母僅針對健康保險部分納入計算；若無法單獨拆分，則損失率分子分母均應於所歸屬之商品類型中同時納入計算。</w:t>
      </w:r>
    </w:p>
    <w:p w14:paraId="79AFE740" w14:textId="77777777" w:rsidR="00500EE2" w:rsidRPr="00E224E9" w:rsidRDefault="00500EE2" w:rsidP="004E5823">
      <w:pPr>
        <w:spacing w:line="440" w:lineRule="exact"/>
        <w:ind w:leftChars="191" w:left="838" w:hangingChars="142" w:hanging="341"/>
        <w:jc w:val="both"/>
        <w:rPr>
          <w:rFonts w:ascii="Book Antiqua" w:hAnsi="Book Antiqua"/>
          <w:color w:val="000000" w:themeColor="text1"/>
          <w:sz w:val="24"/>
        </w:rPr>
      </w:pPr>
      <w:r w:rsidRPr="00E224E9">
        <w:rPr>
          <w:rFonts w:ascii="Book Antiqua" w:hAnsi="Book Antiqua"/>
          <w:color w:val="000000" w:themeColor="text1"/>
          <w:sz w:val="24"/>
        </w:rPr>
        <w:t xml:space="preserve">3. </w:t>
      </w:r>
      <w:r w:rsidRPr="00E224E9">
        <w:rPr>
          <w:rFonts w:ascii="Book Antiqua" w:hAnsi="Book Antiqua"/>
          <w:color w:val="000000" w:themeColor="text1"/>
          <w:sz w:val="24"/>
        </w:rPr>
        <w:t>本表之計算係採曆年度制，至少填列以</w:t>
      </w:r>
      <w:r w:rsidRPr="00E224E9">
        <w:rPr>
          <w:rFonts w:ascii="Book Antiqua" w:hAnsi="Book Antiqua"/>
          <w:color w:val="000000" w:themeColor="text1"/>
          <w:sz w:val="24"/>
        </w:rPr>
        <w:t>103</w:t>
      </w:r>
      <w:r w:rsidRPr="00E224E9">
        <w:rPr>
          <w:rFonts w:ascii="Book Antiqua" w:hAnsi="Book Antiqua"/>
          <w:color w:val="000000" w:themeColor="text1"/>
          <w:sz w:val="24"/>
        </w:rPr>
        <w:t>年最近</w:t>
      </w:r>
      <w:r w:rsidRPr="00E224E9">
        <w:rPr>
          <w:rFonts w:ascii="Book Antiqua" w:hAnsi="Book Antiqua"/>
          <w:color w:val="000000" w:themeColor="text1"/>
          <w:sz w:val="24"/>
        </w:rPr>
        <w:t>5</w:t>
      </w:r>
      <w:r w:rsidRPr="00E224E9">
        <w:rPr>
          <w:rFonts w:ascii="Book Antiqua" w:hAnsi="Book Antiqua"/>
          <w:color w:val="000000" w:themeColor="text1"/>
          <w:sz w:val="24"/>
        </w:rPr>
        <w:t>年之年度賠款金額及年度危險保險費。</w:t>
      </w:r>
    </w:p>
    <w:p w14:paraId="6C477E2E" w14:textId="77777777" w:rsidR="00500EE2" w:rsidRPr="00E224E9" w:rsidRDefault="00500EE2" w:rsidP="004E5823">
      <w:pPr>
        <w:spacing w:line="440" w:lineRule="exact"/>
        <w:ind w:leftChars="191" w:left="838" w:hangingChars="142" w:hanging="341"/>
        <w:jc w:val="both"/>
        <w:rPr>
          <w:rFonts w:ascii="Book Antiqua" w:hAnsi="Book Antiqua"/>
          <w:color w:val="000000" w:themeColor="text1"/>
          <w:sz w:val="24"/>
        </w:rPr>
      </w:pPr>
      <w:r w:rsidRPr="00E224E9">
        <w:rPr>
          <w:rFonts w:ascii="Book Antiqua" w:hAnsi="Book Antiqua"/>
          <w:color w:val="000000" w:themeColor="text1"/>
          <w:sz w:val="24"/>
        </w:rPr>
        <w:t xml:space="preserve">4. </w:t>
      </w:r>
      <w:r w:rsidRPr="00E224E9">
        <w:rPr>
          <w:rFonts w:ascii="Book Antiqua" w:hAnsi="Book Antiqua"/>
          <w:color w:val="000000" w:themeColor="text1"/>
          <w:sz w:val="24"/>
        </w:rPr>
        <w:t>若損失率計算公式之分子含有未來「確定給付」之理賠（如被保險人致成第</w:t>
      </w:r>
      <w:r w:rsidRPr="00E224E9">
        <w:rPr>
          <w:rFonts w:ascii="Book Antiqua" w:hAnsi="Book Antiqua"/>
          <w:color w:val="000000" w:themeColor="text1"/>
          <w:sz w:val="24"/>
        </w:rPr>
        <w:t>1</w:t>
      </w:r>
      <w:r w:rsidRPr="00E224E9">
        <w:rPr>
          <w:rFonts w:ascii="Book Antiqua" w:hAnsi="Book Antiqua"/>
          <w:color w:val="000000" w:themeColor="text1"/>
          <w:sz w:val="24"/>
        </w:rPr>
        <w:t>級殘廢時，保險公司給付不含死亡機率之確定年金者），因分母計價時已反映其成本，分子亦應反映未來所有未給付之確定年金，如保單條款約定應考慮折現率，則依其辦理；若分子含有未來「不確定給付」之理賠（如被保險人領取長期看護保險金），一旦被保險人罹患該疾病之原因已消滅時，則保險人不再給付，分子「不應」反映未來所有未給付之保險金，故分子分母應配合各商品之給付內容採一致性計算。</w:t>
      </w:r>
    </w:p>
    <w:p w14:paraId="0DC09556"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主要欄位說明如下：</w:t>
      </w:r>
    </w:p>
    <w:p w14:paraId="302DCA00"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w:t>
      </w:r>
      <w:r w:rsidRPr="00E224E9">
        <w:rPr>
          <w:rFonts w:ascii="Book Antiqua" w:hAnsi="Book Antiqua"/>
          <w:color w:val="000000" w:themeColor="text1"/>
          <w:sz w:val="24"/>
        </w:rPr>
        <w:t>欄－商品類型</w:t>
      </w:r>
    </w:p>
    <w:p w14:paraId="67AB3FF5" w14:textId="77777777" w:rsidR="00500EE2" w:rsidRPr="00E224E9" w:rsidRDefault="00500EE2" w:rsidP="00500EE2">
      <w:pPr>
        <w:spacing w:line="440" w:lineRule="exact"/>
        <w:ind w:leftChars="280" w:left="728"/>
        <w:jc w:val="both"/>
        <w:rPr>
          <w:rFonts w:ascii="Book Antiqua" w:hAnsi="Book Antiqua"/>
          <w:color w:val="000000" w:themeColor="text1"/>
          <w:sz w:val="24"/>
        </w:rPr>
      </w:pPr>
      <w:r w:rsidRPr="00E224E9">
        <w:rPr>
          <w:rFonts w:ascii="Book Antiqua" w:hAnsi="Book Antiqua"/>
          <w:color w:val="000000" w:themeColor="text1"/>
          <w:sz w:val="24"/>
        </w:rPr>
        <w:t>係指有給付上限健康險及無給付上限健康險，並繼續區分為醫療保險、重大疾病或特定傷病保險、癌症險、長期看護保險及其他。</w:t>
      </w:r>
    </w:p>
    <w:p w14:paraId="2FC191AA" w14:textId="77777777" w:rsidR="00500EE2" w:rsidRPr="00E224E9" w:rsidRDefault="00500EE2" w:rsidP="004E5823">
      <w:pPr>
        <w:spacing w:line="440" w:lineRule="exact"/>
        <w:ind w:left="425" w:hangingChars="177" w:hanging="425"/>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2</w:t>
      </w:r>
      <w:r w:rsidRPr="00E224E9">
        <w:rPr>
          <w:rFonts w:ascii="Book Antiqua" w:hAnsi="Book Antiqua"/>
          <w:color w:val="000000" w:themeColor="text1"/>
          <w:sz w:val="24"/>
        </w:rPr>
        <w:t>欄－年度賠款金額</w:t>
      </w:r>
    </w:p>
    <w:p w14:paraId="2FFE03AC" w14:textId="77777777" w:rsidR="00500EE2" w:rsidRPr="00E224E9" w:rsidRDefault="00500EE2" w:rsidP="00500EE2">
      <w:pPr>
        <w:spacing w:line="440" w:lineRule="exact"/>
        <w:ind w:leftChars="280" w:left="728"/>
        <w:jc w:val="both"/>
        <w:rPr>
          <w:rFonts w:ascii="Book Antiqua" w:hAnsi="Book Antiqua"/>
          <w:color w:val="000000" w:themeColor="text1"/>
          <w:sz w:val="24"/>
        </w:rPr>
      </w:pPr>
      <w:r w:rsidRPr="00E224E9">
        <w:rPr>
          <w:rFonts w:ascii="Book Antiqua" w:hAnsi="Book Antiqua"/>
          <w:color w:val="000000" w:themeColor="text1"/>
          <w:sz w:val="24"/>
        </w:rPr>
        <w:t>係指「年度賠款金額」＝「當年度已付賠款」＋「當年度已報未付賠款準備金」－「上年度已報未付賠款準備金之加總金額」；其中「賠款」係包含各該商品類型中之保險商品所提供各項保險給付。</w:t>
      </w:r>
    </w:p>
    <w:p w14:paraId="3EDF99F4"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3</w:t>
      </w:r>
      <w:r w:rsidRPr="00E224E9">
        <w:rPr>
          <w:rFonts w:ascii="Book Antiqua" w:hAnsi="Book Antiqua"/>
          <w:color w:val="000000" w:themeColor="text1"/>
          <w:sz w:val="24"/>
        </w:rPr>
        <w:t>欄－年度危險保險費</w:t>
      </w:r>
    </w:p>
    <w:p w14:paraId="2321EF86" w14:textId="77777777" w:rsidR="00500EE2" w:rsidRPr="00E224E9" w:rsidRDefault="00500EE2" w:rsidP="00500EE2">
      <w:pPr>
        <w:spacing w:line="440" w:lineRule="exact"/>
        <w:ind w:leftChars="280" w:left="728"/>
        <w:jc w:val="both"/>
        <w:rPr>
          <w:rFonts w:ascii="Book Antiqua" w:hAnsi="Book Antiqua"/>
          <w:color w:val="000000" w:themeColor="text1"/>
          <w:sz w:val="24"/>
        </w:rPr>
      </w:pPr>
      <w:r w:rsidRPr="00E224E9">
        <w:rPr>
          <w:rFonts w:ascii="Book Antiqua" w:hAnsi="Book Antiqua"/>
          <w:color w:val="000000" w:themeColor="text1"/>
          <w:sz w:val="24"/>
        </w:rPr>
        <w:t>係指依送審之商品計算說明書所載精算假設計算當年度保險成本，惟公司必須考慮暴露時間比例。</w:t>
      </w:r>
    </w:p>
    <w:p w14:paraId="67EE9EE6" w14:textId="77777777" w:rsidR="00500EE2" w:rsidRPr="00E224E9" w:rsidRDefault="00500EE2" w:rsidP="004E5823">
      <w:pPr>
        <w:spacing w:line="440" w:lineRule="exact"/>
        <w:ind w:left="425" w:hangingChars="177" w:hanging="425"/>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4</w:t>
      </w:r>
      <w:r w:rsidRPr="00E224E9">
        <w:rPr>
          <w:rFonts w:ascii="Book Antiqua" w:hAnsi="Book Antiqua"/>
          <w:color w:val="000000" w:themeColor="text1"/>
          <w:sz w:val="24"/>
        </w:rPr>
        <w:t>欄－年度損失率</w:t>
      </w:r>
    </w:p>
    <w:p w14:paraId="4852D8BD" w14:textId="77777777" w:rsidR="00500EE2" w:rsidRPr="00E224E9" w:rsidRDefault="00500EE2"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2</w:t>
      </w:r>
      <w:r w:rsidRPr="00E224E9">
        <w:rPr>
          <w:rFonts w:ascii="Book Antiqua" w:hAnsi="Book Antiqua"/>
          <w:color w:val="000000" w:themeColor="text1"/>
          <w:sz w:val="24"/>
        </w:rPr>
        <w:t>欄－年度賠款金額除以第</w:t>
      </w:r>
      <w:r w:rsidRPr="00E224E9">
        <w:rPr>
          <w:rFonts w:ascii="Book Antiqua" w:hAnsi="Book Antiqua"/>
          <w:color w:val="000000" w:themeColor="text1"/>
          <w:sz w:val="24"/>
        </w:rPr>
        <w:t>3</w:t>
      </w:r>
      <w:r w:rsidRPr="00E224E9">
        <w:rPr>
          <w:rFonts w:ascii="Book Antiqua" w:hAnsi="Book Antiqua"/>
          <w:color w:val="000000" w:themeColor="text1"/>
          <w:sz w:val="24"/>
        </w:rPr>
        <w:t>欄－年度危險保險費之比率。</w:t>
      </w:r>
    </w:p>
    <w:p w14:paraId="2D5195D1" w14:textId="77777777" w:rsidR="00500EE2" w:rsidRPr="00E224E9" w:rsidRDefault="00500EE2" w:rsidP="004E5823">
      <w:pPr>
        <w:spacing w:line="440" w:lineRule="exact"/>
        <w:ind w:left="425" w:hangingChars="177" w:hanging="425"/>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5</w:t>
      </w:r>
      <w:r w:rsidRPr="00E224E9">
        <w:rPr>
          <w:rFonts w:ascii="Book Antiqua" w:hAnsi="Book Antiqua"/>
          <w:color w:val="000000" w:themeColor="text1"/>
          <w:sz w:val="24"/>
        </w:rPr>
        <w:t>欄－五年平均損失率</w:t>
      </w:r>
    </w:p>
    <w:p w14:paraId="2DED2D85" w14:textId="77777777" w:rsidR="00500EE2" w:rsidRPr="00E224E9" w:rsidRDefault="00500EE2"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lastRenderedPageBreak/>
        <w:t>係指以第</w:t>
      </w:r>
      <w:r w:rsidRPr="00E224E9">
        <w:rPr>
          <w:rFonts w:ascii="Book Antiqua" w:hAnsi="Book Antiqua"/>
          <w:color w:val="000000" w:themeColor="text1"/>
          <w:sz w:val="24"/>
        </w:rPr>
        <w:t>4</w:t>
      </w:r>
      <w:r w:rsidRPr="00E224E9">
        <w:rPr>
          <w:rFonts w:ascii="Book Antiqua" w:hAnsi="Book Antiqua"/>
          <w:color w:val="000000" w:themeColor="text1"/>
          <w:sz w:val="24"/>
        </w:rPr>
        <w:t>欄－年度損失率之</w:t>
      </w:r>
      <w:r w:rsidRPr="00E224E9">
        <w:rPr>
          <w:rFonts w:ascii="Book Antiqua" w:hAnsi="Book Antiqua"/>
          <w:color w:val="000000" w:themeColor="text1"/>
          <w:sz w:val="24"/>
        </w:rPr>
        <w:t>5</w:t>
      </w:r>
      <w:r w:rsidRPr="00E224E9">
        <w:rPr>
          <w:rFonts w:ascii="Book Antiqua" w:hAnsi="Book Antiqua"/>
          <w:color w:val="000000" w:themeColor="text1"/>
          <w:sz w:val="24"/>
        </w:rPr>
        <w:t>年數值所計算之平均。</w:t>
      </w:r>
    </w:p>
    <w:p w14:paraId="7EF822CD" w14:textId="77777777" w:rsidR="00500EE2" w:rsidRPr="00E224E9" w:rsidRDefault="00500EE2" w:rsidP="00500EE2">
      <w:pPr>
        <w:spacing w:line="440" w:lineRule="exact"/>
        <w:ind w:leftChars="276" w:left="718"/>
        <w:jc w:val="both"/>
        <w:rPr>
          <w:rFonts w:ascii="Book Antiqua" w:hAnsi="Book Antiqua"/>
          <w:color w:val="000000" w:themeColor="text1"/>
          <w:sz w:val="24"/>
        </w:rPr>
      </w:pPr>
    </w:p>
    <w:p w14:paraId="105C0A5C" w14:textId="77777777" w:rsidR="00500EE2" w:rsidRPr="00E224E9" w:rsidRDefault="00500EE2" w:rsidP="00500EE2">
      <w:pPr>
        <w:spacing w:line="440" w:lineRule="exact"/>
        <w:ind w:leftChars="276" w:left="718"/>
        <w:jc w:val="both"/>
        <w:rPr>
          <w:rFonts w:ascii="標楷體" w:hAnsi="標楷體"/>
          <w:color w:val="000000" w:themeColor="text1"/>
          <w:sz w:val="24"/>
        </w:rPr>
      </w:pPr>
    </w:p>
    <w:p w14:paraId="360636E0" w14:textId="77777777" w:rsidR="00065C53" w:rsidRPr="00E224E9" w:rsidRDefault="00065C53" w:rsidP="00D714AD">
      <w:pPr>
        <w:pStyle w:val="1"/>
        <w:spacing w:afterLines="0" w:line="440" w:lineRule="exact"/>
        <w:jc w:val="both"/>
        <w:rPr>
          <w:color w:val="000000" w:themeColor="text1"/>
        </w:rPr>
      </w:pPr>
      <w:r w:rsidRPr="00E224E9">
        <w:rPr>
          <w:color w:val="000000" w:themeColor="text1"/>
          <w:sz w:val="24"/>
          <w:szCs w:val="24"/>
        </w:rPr>
        <w:br w:type="page"/>
      </w:r>
      <w:bookmarkStart w:id="195" w:name="_Toc219262268"/>
      <w:bookmarkStart w:id="196" w:name="_Toc200468575"/>
      <w:r w:rsidRPr="00E224E9">
        <w:rPr>
          <w:color w:val="000000" w:themeColor="text1"/>
        </w:rPr>
        <w:lastRenderedPageBreak/>
        <w:t>表30-14：</w:t>
      </w:r>
      <w:bookmarkEnd w:id="195"/>
      <w:r w:rsidR="00D714AD" w:rsidRPr="00E224E9">
        <w:rPr>
          <w:rFonts w:hint="eastAsia"/>
          <w:color w:val="000000" w:themeColor="text1"/>
        </w:rPr>
        <w:t>公司β值及股票逆景氣循環資產風險係數計算表</w:t>
      </w:r>
      <w:bookmarkEnd w:id="196"/>
    </w:p>
    <w:p w14:paraId="277405D8" w14:textId="77777777" w:rsidR="00B95AC8" w:rsidRPr="00E224E9" w:rsidRDefault="00B95AC8" w:rsidP="00B95AC8">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本表填列之目的在計算需採用</w:t>
      </w:r>
      <w:r w:rsidRPr="00E224E9">
        <w:rPr>
          <w:rFonts w:ascii="Book Antiqua" w:hAnsi="Book Antiqua" w:hint="eastAsia"/>
          <w:color w:val="000000" w:themeColor="text1"/>
          <w:sz w:val="24"/>
        </w:rPr>
        <w:t>股票逆景氣循環措施及</w:t>
      </w:r>
      <w:r w:rsidRPr="00E224E9">
        <w:rPr>
          <w:rFonts w:ascii="Book Antiqua" w:hAnsi="Book Antiqua"/>
          <w:color w:val="000000" w:themeColor="text1"/>
          <w:sz w:val="24"/>
        </w:rPr>
        <w:t>公司平均</w:t>
      </w:r>
      <w:r w:rsidRPr="00E224E9">
        <w:rPr>
          <w:rFonts w:ascii="Book Antiqua" w:hAnsi="Book Antiqua"/>
          <w:color w:val="000000" w:themeColor="text1"/>
          <w:sz w:val="24"/>
        </w:rPr>
        <w:t>β</w:t>
      </w:r>
      <w:r w:rsidRPr="00E224E9">
        <w:rPr>
          <w:rFonts w:ascii="Book Antiqua" w:hAnsi="Book Antiqua"/>
          <w:color w:val="000000" w:themeColor="text1"/>
          <w:sz w:val="24"/>
        </w:rPr>
        <w:t>值調整之風險係數</w:t>
      </w:r>
      <w:r w:rsidRPr="00E224E9">
        <w:rPr>
          <w:rFonts w:ascii="Book Antiqua" w:hAnsi="Book Antiqua" w:hint="eastAsia"/>
          <w:color w:val="000000" w:themeColor="text1"/>
          <w:sz w:val="24"/>
        </w:rPr>
        <w:t>。本計算表之股票逆景氣循環措施調整項係依照金融監督管理委員會之金管保財字第</w:t>
      </w:r>
      <w:r w:rsidRPr="00E224E9">
        <w:rPr>
          <w:rFonts w:ascii="Book Antiqua" w:hAnsi="Book Antiqua" w:hint="eastAsia"/>
          <w:color w:val="000000" w:themeColor="text1"/>
          <w:sz w:val="24"/>
        </w:rPr>
        <w:t>10704504180</w:t>
      </w:r>
      <w:r w:rsidRPr="00E224E9">
        <w:rPr>
          <w:rFonts w:ascii="Book Antiqua" w:hAnsi="Book Antiqua" w:hint="eastAsia"/>
          <w:color w:val="000000" w:themeColor="text1"/>
          <w:sz w:val="24"/>
        </w:rPr>
        <w:t>號函辦理，</w:t>
      </w:r>
      <w:r w:rsidRPr="00E224E9">
        <w:rPr>
          <w:rFonts w:ascii="Book Antiqua" w:hAnsi="Book Antiqua"/>
          <w:color w:val="000000" w:themeColor="text1"/>
          <w:sz w:val="24"/>
        </w:rPr>
        <w:t>將基準係數</w:t>
      </w:r>
      <w:r w:rsidRPr="00E224E9">
        <w:rPr>
          <w:rFonts w:ascii="Book Antiqua" w:hAnsi="Book Antiqua" w:hint="eastAsia"/>
          <w:color w:val="000000" w:themeColor="text1"/>
          <w:sz w:val="24"/>
        </w:rPr>
        <w:t>加上調整項後</w:t>
      </w:r>
      <w:r w:rsidRPr="00E224E9">
        <w:rPr>
          <w:rFonts w:ascii="Book Antiqua" w:hAnsi="Book Antiqua"/>
          <w:color w:val="000000" w:themeColor="text1"/>
          <w:sz w:val="24"/>
        </w:rPr>
        <w:t>乘以公司平均</w:t>
      </w:r>
      <w:r w:rsidRPr="00E224E9">
        <w:rPr>
          <w:rFonts w:ascii="Book Antiqua" w:hAnsi="Book Antiqua"/>
          <w:color w:val="000000" w:themeColor="text1"/>
          <w:sz w:val="24"/>
        </w:rPr>
        <w:t>β</w:t>
      </w:r>
      <w:r w:rsidRPr="00E224E9">
        <w:rPr>
          <w:rFonts w:ascii="Book Antiqua" w:hAnsi="Book Antiqua"/>
          <w:color w:val="000000" w:themeColor="text1"/>
          <w:sz w:val="24"/>
        </w:rPr>
        <w:t>值後之係數，與基準係數</w:t>
      </w:r>
      <w:r w:rsidRPr="00E224E9">
        <w:rPr>
          <w:rFonts w:ascii="Book Antiqua" w:hAnsi="Book Antiqua" w:hint="eastAsia"/>
          <w:color w:val="000000" w:themeColor="text1"/>
          <w:sz w:val="24"/>
        </w:rPr>
        <w:t>加調整項</w:t>
      </w:r>
      <w:r w:rsidRPr="00E224E9">
        <w:rPr>
          <w:rFonts w:ascii="Book Antiqua" w:hAnsi="Book Antiqua"/>
          <w:color w:val="000000" w:themeColor="text1"/>
          <w:sz w:val="24"/>
        </w:rPr>
        <w:t>乘以</w:t>
      </w:r>
      <w:r w:rsidRPr="00E224E9">
        <w:rPr>
          <w:rFonts w:ascii="Book Antiqua" w:hAnsi="Book Antiqua"/>
          <w:color w:val="000000" w:themeColor="text1"/>
          <w:sz w:val="24"/>
        </w:rPr>
        <w:t>75</w:t>
      </w:r>
      <w:r w:rsidRPr="00E224E9">
        <w:rPr>
          <w:rFonts w:ascii="Book Antiqua" w:hAnsi="Book Antiqua"/>
          <w:color w:val="000000" w:themeColor="text1"/>
          <w:sz w:val="24"/>
        </w:rPr>
        <w:t>％之係數下限及基準係數</w:t>
      </w:r>
      <w:r w:rsidRPr="00E224E9">
        <w:rPr>
          <w:rFonts w:ascii="Book Antiqua" w:hAnsi="Book Antiqua" w:hint="eastAsia"/>
          <w:color w:val="000000" w:themeColor="text1"/>
          <w:sz w:val="24"/>
        </w:rPr>
        <w:t>加調整項</w:t>
      </w:r>
      <w:r w:rsidRPr="00E224E9">
        <w:rPr>
          <w:rFonts w:ascii="Book Antiqua" w:hAnsi="Book Antiqua"/>
          <w:color w:val="000000" w:themeColor="text1"/>
          <w:sz w:val="24"/>
        </w:rPr>
        <w:t>乘以</w:t>
      </w:r>
      <w:r w:rsidRPr="00E224E9">
        <w:rPr>
          <w:rFonts w:ascii="Book Antiqua" w:hAnsi="Book Antiqua"/>
          <w:color w:val="000000" w:themeColor="text1"/>
          <w:sz w:val="24"/>
        </w:rPr>
        <w:t>150</w:t>
      </w:r>
      <w:r w:rsidRPr="00E224E9">
        <w:rPr>
          <w:rFonts w:ascii="Book Antiqua" w:hAnsi="Book Antiqua"/>
          <w:color w:val="000000" w:themeColor="text1"/>
          <w:sz w:val="24"/>
        </w:rPr>
        <w:t>％之係數上限相比較，所得之結果即為調整後風險係數。</w:t>
      </w:r>
    </w:p>
    <w:p w14:paraId="2910FA79" w14:textId="77777777" w:rsidR="00B95AC8" w:rsidRPr="00E224E9" w:rsidRDefault="00B95AC8" w:rsidP="00B95AC8">
      <w:pPr>
        <w:spacing w:line="440" w:lineRule="exact"/>
        <w:jc w:val="both"/>
        <w:rPr>
          <w:rFonts w:ascii="Book Antiqua" w:hAnsi="Book Antiqua"/>
          <w:color w:val="000000" w:themeColor="text1"/>
          <w:sz w:val="24"/>
        </w:rPr>
      </w:pPr>
      <w:r w:rsidRPr="00E224E9">
        <w:rPr>
          <w:rFonts w:ascii="Book Antiqua" w:hAnsi="Book Antiqua" w:hint="eastAsia"/>
          <w:color w:val="000000" w:themeColor="text1"/>
          <w:sz w:val="24"/>
        </w:rPr>
        <w:t>1.</w:t>
      </w:r>
      <w:r w:rsidRPr="00E224E9">
        <w:rPr>
          <w:rFonts w:ascii="Book Antiqua" w:hAnsi="Book Antiqua" w:hint="eastAsia"/>
          <w:color w:val="000000" w:themeColor="text1"/>
          <w:sz w:val="24"/>
        </w:rPr>
        <w:t>股票逆景氣循環調整項之計算如下：</w:t>
      </w:r>
    </w:p>
    <w:p w14:paraId="0B65C6FB" w14:textId="77777777" w:rsidR="00B95AC8" w:rsidRPr="00E224E9" w:rsidRDefault="00B95AC8" w:rsidP="00B95AC8">
      <w:pPr>
        <w:spacing w:afterLines="50" w:after="120" w:line="440" w:lineRule="exact"/>
        <w:ind w:leftChars="108" w:left="281"/>
        <w:jc w:val="both"/>
        <w:rPr>
          <w:rFonts w:ascii="Book Antiqua" w:hAnsi="Book Antiqua"/>
          <w:color w:val="000000" w:themeColor="text1"/>
          <w:sz w:val="24"/>
        </w:rPr>
      </w:pPr>
      <w:r w:rsidRPr="00E224E9">
        <w:rPr>
          <w:rFonts w:ascii="Book Antiqua" w:hAnsi="Book Antiqua" w:hint="eastAsia"/>
          <w:color w:val="000000" w:themeColor="text1"/>
          <w:sz w:val="24"/>
        </w:rPr>
        <w:t>調整項</w:t>
      </w:r>
      <w:r w:rsidRPr="00E224E9">
        <w:rPr>
          <w:rFonts w:ascii="Book Antiqua" w:hAnsi="Book Antiqua"/>
          <w:color w:val="000000" w:themeColor="text1"/>
          <w:sz w:val="24"/>
        </w:rPr>
        <w:t xml:space="preserve">= </w:t>
      </w:r>
      <m:oMath>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den>
            </m:f>
            <m:r>
              <w:rPr>
                <w:rFonts w:ascii="Cambria Math" w:hAnsi="Cambria Math"/>
                <w:color w:val="000000" w:themeColor="text1"/>
                <w:sz w:val="28"/>
                <w:szCs w:val="28"/>
              </w:rPr>
              <m:t>-8%</m:t>
            </m:r>
          </m:e>
        </m:d>
      </m:oMath>
      <w:r w:rsidRPr="00E224E9">
        <w:rPr>
          <w:rFonts w:ascii="Book Antiqua" w:hAnsi="Book Antiqua" w:hint="eastAsia"/>
          <w:color w:val="000000" w:themeColor="text1"/>
          <w:sz w:val="24"/>
        </w:rPr>
        <w:t>，上下限介於正負百分之十</w:t>
      </w:r>
      <w:r w:rsidRPr="00E224E9">
        <w:rPr>
          <w:rFonts w:ascii="Book Antiqua" w:hAnsi="Book Antiqua"/>
          <w:color w:val="000000" w:themeColor="text1"/>
          <w:sz w:val="24"/>
        </w:rPr>
        <w:fldChar w:fldCharType="begin"/>
      </w:r>
      <w:r w:rsidRPr="00E224E9">
        <w:rPr>
          <w:rFonts w:ascii="Book Antiqua" w:hAnsi="Book Antiqua"/>
          <w:color w:val="000000" w:themeColor="text1"/>
          <w:sz w:val="24"/>
        </w:rPr>
        <w:instrText xml:space="preserve"> QUOTE </w:instrText>
      </w:r>
      <m:oMath>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den>
            </m:f>
            <m:r>
              <m:rPr>
                <m:sty m:val="p"/>
              </m:rPr>
              <w:rPr>
                <w:rFonts w:ascii="Cambria Math" w:hAnsi="Cambria Math"/>
                <w:color w:val="000000" w:themeColor="text1"/>
                <w:sz w:val="28"/>
                <w:szCs w:val="28"/>
              </w:rPr>
              <m:t>-8%</m:t>
            </m:r>
          </m:e>
        </m:d>
      </m:oMath>
      <w:r w:rsidRPr="00E224E9">
        <w:rPr>
          <w:rFonts w:ascii="Book Antiqua" w:hAnsi="Book Antiqua"/>
          <w:color w:val="000000" w:themeColor="text1"/>
          <w:sz w:val="24"/>
        </w:rPr>
        <w:instrText xml:space="preserve"> </w:instrText>
      </w:r>
      <w:r w:rsidRPr="00E224E9">
        <w:rPr>
          <w:rFonts w:ascii="Book Antiqua" w:hAnsi="Book Antiqua"/>
          <w:color w:val="000000" w:themeColor="text1"/>
          <w:sz w:val="24"/>
        </w:rPr>
        <w:fldChar w:fldCharType="end"/>
      </w:r>
    </w:p>
    <w:p w14:paraId="5A8F488C" w14:textId="77777777" w:rsidR="00B95AC8" w:rsidRPr="00E224E9" w:rsidRDefault="00B95AC8" w:rsidP="00B95AC8">
      <w:pPr>
        <w:spacing w:line="440" w:lineRule="exact"/>
        <w:ind w:leftChars="108" w:left="281" w:firstLine="1"/>
        <w:jc w:val="both"/>
        <w:rPr>
          <w:rFonts w:ascii="Book Antiqua" w:hAnsi="Book Antiqua"/>
          <w:color w:val="000000" w:themeColor="text1"/>
          <w:sz w:val="24"/>
        </w:rPr>
      </w:pPr>
      <w:r w:rsidRPr="00E224E9">
        <w:rPr>
          <w:rFonts w:ascii="新細明體" w:eastAsia="新細明體" w:hAnsi="新細明體" w:hint="eastAsia"/>
          <w:color w:val="000000" w:themeColor="text1"/>
          <w:sz w:val="24"/>
        </w:rPr>
        <w:t>˙</w:t>
      </w:r>
      <w:r w:rsidRPr="00E224E9">
        <w:rPr>
          <w:rFonts w:ascii="Book Antiqua" w:hAnsi="Book Antiqua"/>
          <w:color w:val="000000" w:themeColor="text1"/>
          <w:sz w:val="24"/>
        </w:rPr>
        <w:t>C</w:t>
      </w:r>
      <w:r w:rsidRPr="00E224E9">
        <w:rPr>
          <w:rFonts w:ascii="Cambria Math" w:hAnsi="Cambria Math" w:cs="Cambria Math"/>
          <w:color w:val="000000" w:themeColor="text1"/>
          <w:sz w:val="24"/>
        </w:rPr>
        <w:t>𝐼</w:t>
      </w:r>
      <w:r w:rsidRPr="00E224E9">
        <w:rPr>
          <w:rFonts w:ascii="Book Antiqua" w:hAnsi="Book Antiqua" w:hint="eastAsia"/>
          <w:color w:val="000000" w:themeColor="text1"/>
          <w:sz w:val="24"/>
        </w:rPr>
        <w:t>：評價日大盤指數</w:t>
      </w:r>
    </w:p>
    <w:p w14:paraId="45DF19FF" w14:textId="77777777" w:rsidR="00B95AC8" w:rsidRPr="00E224E9" w:rsidRDefault="00B95AC8" w:rsidP="00B95AC8">
      <w:pPr>
        <w:spacing w:line="440" w:lineRule="exact"/>
        <w:ind w:leftChars="108" w:left="281" w:firstLine="1"/>
        <w:jc w:val="both"/>
        <w:rPr>
          <w:rFonts w:ascii="Book Antiqua" w:hAnsi="Book Antiqua"/>
          <w:color w:val="000000" w:themeColor="text1"/>
          <w:sz w:val="24"/>
        </w:rPr>
      </w:pPr>
      <w:r w:rsidRPr="00E224E9">
        <w:rPr>
          <w:rFonts w:ascii="新細明體" w:eastAsia="新細明體" w:hAnsi="新細明體" w:hint="eastAsia"/>
          <w:color w:val="000000" w:themeColor="text1"/>
          <w:sz w:val="24"/>
        </w:rPr>
        <w:t>˙</w:t>
      </w:r>
      <w:r w:rsidRPr="00E224E9">
        <w:rPr>
          <w:rFonts w:ascii="Book Antiqua" w:hAnsi="Book Antiqua" w:hint="eastAsia"/>
          <w:i/>
          <w:color w:val="000000" w:themeColor="text1"/>
          <w:sz w:val="24"/>
        </w:rPr>
        <w:t>AI</w:t>
      </w:r>
      <w:r w:rsidRPr="00E224E9">
        <w:rPr>
          <w:rFonts w:ascii="Book Antiqua" w:hAnsi="Book Antiqua" w:hint="eastAsia"/>
          <w:i/>
          <w:color w:val="000000" w:themeColor="text1"/>
          <w:sz w:val="24"/>
          <w:vertAlign w:val="subscript"/>
        </w:rPr>
        <w:t>3Y</w:t>
      </w:r>
      <w:r w:rsidRPr="00E224E9">
        <w:rPr>
          <w:rFonts w:ascii="Book Antiqua" w:hAnsi="Book Antiqua" w:hint="eastAsia"/>
          <w:color w:val="000000" w:themeColor="text1"/>
          <w:sz w:val="24"/>
        </w:rPr>
        <w:t>：三年移動平均大盤指數</w:t>
      </w:r>
    </w:p>
    <w:p w14:paraId="1AF51E23" w14:textId="77777777" w:rsidR="00B95AC8" w:rsidRPr="00E224E9" w:rsidRDefault="00B95AC8" w:rsidP="00B95AC8">
      <w:pPr>
        <w:spacing w:line="440" w:lineRule="exact"/>
        <w:ind w:leftChars="109" w:left="566" w:hanging="283"/>
        <w:jc w:val="both"/>
        <w:rPr>
          <w:rFonts w:ascii="Book Antiqua" w:hAnsi="Book Antiqua"/>
          <w:color w:val="000000" w:themeColor="text1"/>
          <w:sz w:val="24"/>
        </w:rPr>
      </w:pPr>
      <w:r w:rsidRPr="00E224E9">
        <w:rPr>
          <w:rFonts w:ascii="新細明體" w:eastAsia="新細明體" w:hAnsi="新細明體" w:hint="eastAsia"/>
          <w:color w:val="000000" w:themeColor="text1"/>
          <w:sz w:val="24"/>
        </w:rPr>
        <w:t>˙</w:t>
      </w:r>
      <w:r w:rsidRPr="00E224E9">
        <w:rPr>
          <w:rFonts w:ascii="Book Antiqua" w:hAnsi="Book Antiqua" w:hint="eastAsia"/>
          <w:color w:val="000000" w:themeColor="text1"/>
          <w:sz w:val="24"/>
        </w:rPr>
        <w:t>大盤指數係指</w:t>
      </w:r>
      <w:r w:rsidRPr="00E224E9">
        <w:rPr>
          <w:rFonts w:ascii="Book Antiqua" w:hAnsi="Book Antiqua" w:hint="eastAsia"/>
          <w:color w:val="000000" w:themeColor="text1"/>
          <w:sz w:val="24"/>
        </w:rPr>
        <w:t>(1)</w:t>
      </w:r>
      <w:r w:rsidRPr="00E224E9">
        <w:rPr>
          <w:rFonts w:ascii="Book Antiqua" w:hAnsi="Book Antiqua" w:hint="eastAsia"/>
          <w:color w:val="000000" w:themeColor="text1"/>
          <w:sz w:val="24"/>
        </w:rPr>
        <w:t>國內上市股票加權股價報酬指數；</w:t>
      </w:r>
      <w:r w:rsidRPr="00E224E9">
        <w:rPr>
          <w:rFonts w:ascii="Book Antiqua" w:hAnsi="Book Antiqua" w:hint="eastAsia"/>
          <w:color w:val="000000" w:themeColor="text1"/>
          <w:sz w:val="24"/>
        </w:rPr>
        <w:t>(2)</w:t>
      </w:r>
      <w:r w:rsidRPr="00E224E9">
        <w:rPr>
          <w:rFonts w:ascii="Book Antiqua" w:hAnsi="Book Antiqua" w:hint="eastAsia"/>
          <w:color w:val="000000" w:themeColor="text1"/>
          <w:sz w:val="24"/>
        </w:rPr>
        <w:t>國內上櫃股票櫃買報酬指數；</w:t>
      </w:r>
      <w:r w:rsidRPr="00E224E9">
        <w:rPr>
          <w:rFonts w:ascii="Book Antiqua" w:hAnsi="Book Antiqua" w:hint="eastAsia"/>
          <w:color w:val="000000" w:themeColor="text1"/>
          <w:sz w:val="24"/>
        </w:rPr>
        <w:t>(3)</w:t>
      </w:r>
      <w:r w:rsidRPr="00E224E9">
        <w:rPr>
          <w:rFonts w:ascii="Book Antiqua" w:hAnsi="Book Antiqua" w:hint="eastAsia"/>
          <w:color w:val="000000" w:themeColor="text1"/>
          <w:sz w:val="24"/>
        </w:rPr>
        <w:t>國外</w:t>
      </w:r>
      <w:r w:rsidRPr="00E224E9">
        <w:rPr>
          <w:rFonts w:ascii="Book Antiqua" w:hAnsi="Book Antiqua" w:hint="eastAsia"/>
          <w:color w:val="000000" w:themeColor="text1"/>
          <w:sz w:val="24"/>
        </w:rPr>
        <w:t>MSCI</w:t>
      </w:r>
      <w:r w:rsidRPr="00E224E9">
        <w:rPr>
          <w:rFonts w:ascii="Book Antiqua" w:hAnsi="Book Antiqua" w:hint="eastAsia"/>
          <w:color w:val="000000" w:themeColor="text1"/>
          <w:sz w:val="24"/>
        </w:rPr>
        <w:t>已開發國家股價報酬指數；</w:t>
      </w:r>
      <w:r w:rsidRPr="00E224E9">
        <w:rPr>
          <w:rFonts w:ascii="Book Antiqua" w:hAnsi="Book Antiqua" w:hint="eastAsia"/>
          <w:color w:val="000000" w:themeColor="text1"/>
          <w:sz w:val="24"/>
        </w:rPr>
        <w:t>(4)</w:t>
      </w:r>
      <w:r w:rsidRPr="00E224E9">
        <w:rPr>
          <w:rFonts w:ascii="Book Antiqua" w:hAnsi="Book Antiqua" w:hint="eastAsia"/>
          <w:color w:val="000000" w:themeColor="text1"/>
          <w:sz w:val="24"/>
        </w:rPr>
        <w:t>國外</w:t>
      </w:r>
      <w:r w:rsidRPr="00E224E9">
        <w:rPr>
          <w:rFonts w:ascii="Book Antiqua" w:hAnsi="Book Antiqua" w:hint="eastAsia"/>
          <w:color w:val="000000" w:themeColor="text1"/>
          <w:sz w:val="24"/>
        </w:rPr>
        <w:t>MSCI</w:t>
      </w:r>
      <w:r w:rsidRPr="00E224E9">
        <w:rPr>
          <w:rFonts w:ascii="Book Antiqua" w:hAnsi="Book Antiqua" w:hint="eastAsia"/>
          <w:color w:val="000000" w:themeColor="text1"/>
          <w:sz w:val="24"/>
        </w:rPr>
        <w:t>新興市場股價報酬指數。</w:t>
      </w:r>
    </w:p>
    <w:p w14:paraId="4891D7AA" w14:textId="77777777" w:rsidR="00B95AC8" w:rsidRPr="00E224E9" w:rsidRDefault="00B95AC8" w:rsidP="00B95AC8">
      <w:pPr>
        <w:spacing w:line="440" w:lineRule="exact"/>
        <w:jc w:val="both"/>
        <w:rPr>
          <w:rFonts w:ascii="Book Antiqua" w:hAnsi="Book Antiqua"/>
          <w:color w:val="000000" w:themeColor="text1"/>
          <w:sz w:val="24"/>
        </w:rPr>
      </w:pPr>
    </w:p>
    <w:p w14:paraId="1E0B8261" w14:textId="77777777" w:rsidR="00B95AC8" w:rsidRPr="00E224E9" w:rsidRDefault="00B95AC8" w:rsidP="00B95AC8">
      <w:pPr>
        <w:spacing w:line="440" w:lineRule="exact"/>
        <w:jc w:val="both"/>
        <w:rPr>
          <w:rFonts w:ascii="Book Antiqua" w:hAnsi="Book Antiqua"/>
          <w:color w:val="000000" w:themeColor="text1"/>
          <w:sz w:val="24"/>
        </w:rPr>
      </w:pPr>
      <w:r w:rsidRPr="00E224E9">
        <w:rPr>
          <w:rFonts w:ascii="Book Antiqua" w:hAnsi="Book Antiqua" w:hint="eastAsia"/>
          <w:color w:val="000000" w:themeColor="text1"/>
          <w:sz w:val="24"/>
        </w:rPr>
        <w:t>2</w:t>
      </w:r>
      <w:r w:rsidRPr="00E224E9">
        <w:rPr>
          <w:rFonts w:ascii="Book Antiqua" w:hAnsi="Book Antiqua"/>
          <w:color w:val="000000" w:themeColor="text1"/>
          <w:sz w:val="24"/>
        </w:rPr>
        <w:t>.</w:t>
      </w:r>
      <w:r w:rsidRPr="00E224E9">
        <w:rPr>
          <w:rFonts w:ascii="Book Antiqua" w:hAnsi="Book Antiqua"/>
          <w:color w:val="000000" w:themeColor="text1"/>
          <w:sz w:val="24"/>
        </w:rPr>
        <w:t>調整後風險係數之計算公式說明如下：</w:t>
      </w:r>
    </w:p>
    <w:p w14:paraId="3A95931D" w14:textId="77777777" w:rsidR="00B95AC8" w:rsidRPr="00E224E9" w:rsidRDefault="00B95AC8" w:rsidP="00B95AC8">
      <w:pPr>
        <w:spacing w:line="440" w:lineRule="exact"/>
        <w:ind w:leftChars="65" w:left="181" w:hangingChars="5" w:hanging="12"/>
        <w:jc w:val="both"/>
        <w:rPr>
          <w:rFonts w:ascii="Book Antiqua" w:hAnsi="Book Antiqua"/>
          <w:color w:val="000000" w:themeColor="text1"/>
          <w:sz w:val="24"/>
        </w:rPr>
      </w:pPr>
      <w:r w:rsidRPr="00E224E9">
        <w:rPr>
          <w:rFonts w:ascii="Book Antiqua" w:hAnsi="Book Antiqua"/>
          <w:color w:val="000000" w:themeColor="text1"/>
          <w:sz w:val="24"/>
        </w:rPr>
        <w:t>平均</w:t>
      </w:r>
      <w:r w:rsidRPr="00E224E9">
        <w:rPr>
          <w:rFonts w:ascii="Book Antiqua" w:hAnsi="Book Antiqua"/>
          <w:i/>
          <w:color w:val="000000" w:themeColor="text1"/>
          <w:sz w:val="24"/>
        </w:rPr>
        <w:t>β</w:t>
      </w:r>
      <w:r w:rsidRPr="00E224E9">
        <w:rPr>
          <w:rFonts w:ascii="Book Antiqua" w:hAnsi="Book Antiqua"/>
          <w:color w:val="000000" w:themeColor="text1"/>
          <w:sz w:val="24"/>
        </w:rPr>
        <w:t>值＝</w:t>
      </w:r>
      <w:r w:rsidRPr="00E224E9">
        <w:rPr>
          <w:rFonts w:ascii="Book Antiqua" w:hAnsi="Book Antiqua"/>
          <w:color w:val="000000" w:themeColor="text1"/>
          <w:position w:val="-14"/>
          <w:sz w:val="24"/>
        </w:rPr>
        <w:object w:dxaOrig="1980" w:dyaOrig="400" w14:anchorId="1245E1BB">
          <v:shape id="_x0000_i1029" type="#_x0000_t75" style="width:99.95pt;height:20.95pt" o:ole="">
            <v:imagedata r:id="rId18" o:title=""/>
          </v:shape>
          <o:OLEObject Type="Embed" ProgID="Equation.3" ShapeID="_x0000_i1029" DrawAspect="Content" ObjectID="_1814015522" r:id="rId19"/>
        </w:object>
      </w:r>
    </w:p>
    <w:p w14:paraId="17398B24" w14:textId="77777777" w:rsidR="00B95AC8" w:rsidRPr="00E224E9" w:rsidRDefault="00B95AC8" w:rsidP="00B95AC8">
      <w:pPr>
        <w:spacing w:line="440" w:lineRule="exact"/>
        <w:ind w:leftChars="165" w:left="441" w:hangingChars="5" w:hanging="12"/>
        <w:jc w:val="both"/>
        <w:rPr>
          <w:rFonts w:ascii="Book Antiqua" w:hAnsi="Book Antiqua"/>
          <w:b/>
          <w:color w:val="000000" w:themeColor="text1"/>
          <w:sz w:val="24"/>
        </w:rPr>
      </w:pPr>
      <w:r w:rsidRPr="00E224E9">
        <w:rPr>
          <w:rFonts w:ascii="Book Antiqua" w:hAnsi="Book Antiqua"/>
          <w:i/>
          <w:iCs/>
          <w:color w:val="000000" w:themeColor="text1"/>
          <w:sz w:val="24"/>
        </w:rPr>
        <w:t>β</w:t>
      </w:r>
      <w:r w:rsidRPr="00E224E9">
        <w:rPr>
          <w:rFonts w:ascii="Book Antiqua" w:hAnsi="Book Antiqua"/>
          <w:i/>
          <w:iCs/>
          <w:color w:val="000000" w:themeColor="text1"/>
          <w:sz w:val="24"/>
          <w:vertAlign w:val="subscript"/>
        </w:rPr>
        <w:t>i</w:t>
      </w:r>
      <w:r w:rsidRPr="00E224E9">
        <w:rPr>
          <w:rFonts w:ascii="Book Antiqua" w:hAnsi="Book Antiqua"/>
          <w:color w:val="000000" w:themeColor="text1"/>
          <w:sz w:val="24"/>
        </w:rPr>
        <w:t>：個股（或基金）</w:t>
      </w:r>
      <w:r w:rsidRPr="00E224E9">
        <w:rPr>
          <w:rFonts w:ascii="Book Antiqua" w:hAnsi="Book Antiqua"/>
          <w:b/>
          <w:i/>
          <w:color w:val="000000" w:themeColor="text1"/>
          <w:sz w:val="24"/>
        </w:rPr>
        <w:t>β</w:t>
      </w:r>
      <w:r w:rsidRPr="00E224E9">
        <w:rPr>
          <w:rFonts w:ascii="Book Antiqua" w:hAnsi="Book Antiqua"/>
          <w:b/>
          <w:color w:val="000000" w:themeColor="text1"/>
          <w:sz w:val="24"/>
        </w:rPr>
        <w:t>值</w:t>
      </w:r>
    </w:p>
    <w:p w14:paraId="159BA21F" w14:textId="77777777" w:rsidR="00B95AC8" w:rsidRPr="00E224E9" w:rsidRDefault="00B95AC8" w:rsidP="00B95AC8">
      <w:pPr>
        <w:spacing w:line="440" w:lineRule="exact"/>
        <w:ind w:leftChars="165" w:left="441" w:hangingChars="5" w:hanging="12"/>
        <w:jc w:val="both"/>
        <w:rPr>
          <w:rFonts w:ascii="Book Antiqua" w:hAnsi="Book Antiqua"/>
          <w:color w:val="000000" w:themeColor="text1"/>
          <w:sz w:val="24"/>
        </w:rPr>
      </w:pPr>
      <w:r w:rsidRPr="00E224E9">
        <w:rPr>
          <w:rFonts w:ascii="Book Antiqua" w:hAnsi="Book Antiqua"/>
          <w:i/>
          <w:iCs/>
          <w:color w:val="000000" w:themeColor="text1"/>
          <w:sz w:val="24"/>
        </w:rPr>
        <w:t>MV</w:t>
      </w:r>
      <w:r w:rsidRPr="00E224E9">
        <w:rPr>
          <w:rFonts w:ascii="Book Antiqua" w:hAnsi="Book Antiqua"/>
          <w:i/>
          <w:iCs/>
          <w:color w:val="000000" w:themeColor="text1"/>
          <w:sz w:val="24"/>
          <w:vertAlign w:val="subscript"/>
        </w:rPr>
        <w:t>i</w:t>
      </w:r>
      <w:r w:rsidRPr="00E224E9">
        <w:rPr>
          <w:rFonts w:ascii="Book Antiqua" w:hAnsi="Book Antiqua"/>
          <w:color w:val="000000" w:themeColor="text1"/>
          <w:sz w:val="24"/>
        </w:rPr>
        <w:t>：個股（或基金）資產負債表日市值</w:t>
      </w:r>
    </w:p>
    <w:p w14:paraId="0EA74207" w14:textId="77777777" w:rsidR="00B95AC8" w:rsidRPr="00E224E9" w:rsidRDefault="00B95AC8" w:rsidP="00B95AC8">
      <w:pPr>
        <w:spacing w:line="440" w:lineRule="exact"/>
        <w:ind w:leftChars="165" w:left="441" w:hangingChars="5" w:hanging="12"/>
        <w:jc w:val="both"/>
        <w:rPr>
          <w:rFonts w:ascii="Book Antiqua" w:hAnsi="Book Antiqua"/>
          <w:color w:val="000000" w:themeColor="text1"/>
          <w:sz w:val="24"/>
        </w:rPr>
      </w:pPr>
      <w:r w:rsidRPr="00E224E9">
        <w:rPr>
          <w:rFonts w:ascii="Book Antiqua" w:hAnsi="Book Antiqua"/>
          <w:i/>
          <w:iCs/>
          <w:color w:val="000000" w:themeColor="text1"/>
          <w:sz w:val="24"/>
        </w:rPr>
        <w:t>MV</w:t>
      </w:r>
      <w:r w:rsidRPr="00E224E9">
        <w:rPr>
          <w:rFonts w:ascii="Book Antiqua" w:hAnsi="Book Antiqua"/>
          <w:color w:val="000000" w:themeColor="text1"/>
          <w:sz w:val="24"/>
        </w:rPr>
        <w:t>：總市值</w:t>
      </w:r>
    </w:p>
    <w:p w14:paraId="419CB3F3" w14:textId="77777777" w:rsidR="00B95AC8" w:rsidRPr="00E224E9" w:rsidRDefault="00B95AC8" w:rsidP="00B95AC8">
      <w:pPr>
        <w:spacing w:line="440" w:lineRule="exact"/>
        <w:ind w:leftChars="65" w:left="181" w:hangingChars="5" w:hanging="12"/>
        <w:jc w:val="both"/>
        <w:rPr>
          <w:rFonts w:ascii="Book Antiqua" w:hAnsi="Book Antiqua"/>
          <w:color w:val="000000" w:themeColor="text1"/>
          <w:sz w:val="24"/>
        </w:rPr>
      </w:pPr>
      <w:r w:rsidRPr="00E224E9">
        <w:rPr>
          <w:rFonts w:ascii="Book Antiqua" w:hAnsi="Book Antiqua"/>
          <w:color w:val="000000" w:themeColor="text1"/>
          <w:sz w:val="24"/>
        </w:rPr>
        <w:t>計算</w:t>
      </w:r>
      <w:r w:rsidRPr="00E224E9">
        <w:rPr>
          <w:rFonts w:ascii="Book Antiqua" w:hAnsi="Book Antiqua"/>
          <w:i/>
          <w:color w:val="000000" w:themeColor="text1"/>
          <w:sz w:val="24"/>
        </w:rPr>
        <w:t>β</w:t>
      </w:r>
      <w:r w:rsidRPr="00E224E9">
        <w:rPr>
          <w:rFonts w:ascii="Book Antiqua" w:hAnsi="Book Antiqua"/>
          <w:color w:val="000000" w:themeColor="text1"/>
          <w:sz w:val="24"/>
        </w:rPr>
        <w:t>值後之風險係數＝</w:t>
      </w:r>
      <w:r w:rsidRPr="00E224E9">
        <w:rPr>
          <w:rFonts w:ascii="Book Antiqua" w:hAnsi="Book Antiqua" w:hint="eastAsia"/>
          <w:color w:val="000000" w:themeColor="text1"/>
          <w:sz w:val="24"/>
        </w:rPr>
        <w:t>(</w:t>
      </w:r>
      <w:r w:rsidRPr="00E224E9">
        <w:rPr>
          <w:rFonts w:ascii="Book Antiqua" w:hAnsi="Book Antiqua"/>
          <w:color w:val="000000" w:themeColor="text1"/>
          <w:sz w:val="24"/>
        </w:rPr>
        <w:t>基準係數</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調整項</w:t>
      </w:r>
      <w:r w:rsidRPr="00E224E9">
        <w:rPr>
          <w:rFonts w:ascii="Book Antiqua" w:hAnsi="Book Antiqua"/>
          <w:color w:val="000000" w:themeColor="text1"/>
          <w:sz w:val="24"/>
        </w:rPr>
        <w:t>×0.85</w:t>
      </w:r>
      <w:r w:rsidRPr="00E224E9">
        <w:rPr>
          <w:rFonts w:ascii="Book Antiqua" w:hAnsi="Book Antiqua" w:hint="eastAsia"/>
          <w:color w:val="000000" w:themeColor="text1"/>
          <w:sz w:val="24"/>
        </w:rPr>
        <w:t>)</w:t>
      </w:r>
      <w:r w:rsidRPr="00E224E9">
        <w:rPr>
          <w:rFonts w:ascii="Book Antiqua" w:hAnsi="Book Antiqua"/>
          <w:color w:val="000000" w:themeColor="text1"/>
          <w:sz w:val="24"/>
        </w:rPr>
        <w:t>×</w:t>
      </w:r>
      <w:r w:rsidRPr="00E224E9">
        <w:rPr>
          <w:rFonts w:ascii="Book Antiqua" w:hAnsi="Book Antiqua"/>
          <w:color w:val="000000" w:themeColor="text1"/>
          <w:sz w:val="24"/>
        </w:rPr>
        <w:t>平均</w:t>
      </w:r>
      <w:r w:rsidRPr="00E224E9">
        <w:rPr>
          <w:rFonts w:ascii="Book Antiqua" w:hAnsi="Book Antiqua"/>
          <w:i/>
          <w:color w:val="000000" w:themeColor="text1"/>
          <w:sz w:val="24"/>
        </w:rPr>
        <w:t>β</w:t>
      </w:r>
      <w:r w:rsidRPr="00E224E9">
        <w:rPr>
          <w:rFonts w:ascii="Book Antiqua" w:hAnsi="Book Antiqua"/>
          <w:color w:val="000000" w:themeColor="text1"/>
          <w:sz w:val="24"/>
        </w:rPr>
        <w:t>值＝</w:t>
      </w:r>
      <w:r w:rsidRPr="00E224E9">
        <w:rPr>
          <w:rFonts w:ascii="Book Antiqua" w:hAnsi="Book Antiqua"/>
          <w:color w:val="000000" w:themeColor="text1"/>
          <w:sz w:val="24"/>
        </w:rPr>
        <w:t>(A)</w:t>
      </w:r>
    </w:p>
    <w:p w14:paraId="33B04DF7" w14:textId="77777777" w:rsidR="00B95AC8" w:rsidRPr="00E224E9" w:rsidRDefault="00B95AC8" w:rsidP="00B95AC8">
      <w:pPr>
        <w:spacing w:line="440" w:lineRule="exact"/>
        <w:ind w:leftChars="65" w:left="181" w:hangingChars="5" w:hanging="12"/>
        <w:jc w:val="both"/>
        <w:rPr>
          <w:rFonts w:ascii="Book Antiqua" w:hAnsi="Book Antiqua"/>
          <w:color w:val="000000" w:themeColor="text1"/>
          <w:sz w:val="24"/>
        </w:rPr>
      </w:pPr>
      <w:r w:rsidRPr="00E224E9">
        <w:rPr>
          <w:rFonts w:ascii="Book Antiqua" w:hAnsi="Book Antiqua"/>
          <w:color w:val="000000" w:themeColor="text1"/>
          <w:sz w:val="24"/>
        </w:rPr>
        <w:t>係數上限＝</w:t>
      </w:r>
      <w:r w:rsidRPr="00E224E9">
        <w:rPr>
          <w:rFonts w:ascii="Book Antiqua" w:hAnsi="Book Antiqua" w:hint="eastAsia"/>
          <w:color w:val="000000" w:themeColor="text1"/>
          <w:sz w:val="24"/>
        </w:rPr>
        <w:t>(</w:t>
      </w:r>
      <w:r w:rsidRPr="00E224E9">
        <w:rPr>
          <w:rFonts w:ascii="Book Antiqua" w:hAnsi="Book Antiqua"/>
          <w:color w:val="000000" w:themeColor="text1"/>
          <w:sz w:val="24"/>
        </w:rPr>
        <w:t>基準係數</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調整項</w:t>
      </w:r>
      <w:r w:rsidRPr="00E224E9">
        <w:rPr>
          <w:rFonts w:ascii="Book Antiqua" w:hAnsi="Book Antiqua"/>
          <w:color w:val="000000" w:themeColor="text1"/>
          <w:sz w:val="24"/>
        </w:rPr>
        <w:t>×0.85</w:t>
      </w:r>
      <w:r w:rsidRPr="00E224E9">
        <w:rPr>
          <w:rFonts w:ascii="Book Antiqua" w:hAnsi="Book Antiqua" w:hint="eastAsia"/>
          <w:color w:val="000000" w:themeColor="text1"/>
          <w:sz w:val="24"/>
        </w:rPr>
        <w:t>)</w:t>
      </w:r>
      <w:r w:rsidRPr="00E224E9">
        <w:rPr>
          <w:rFonts w:ascii="Book Antiqua" w:hAnsi="Book Antiqua"/>
          <w:color w:val="000000" w:themeColor="text1"/>
          <w:sz w:val="24"/>
        </w:rPr>
        <w:t>×150</w:t>
      </w:r>
      <w:r w:rsidRPr="00E224E9">
        <w:rPr>
          <w:rFonts w:ascii="Book Antiqua" w:hAnsi="Book Antiqua"/>
          <w:color w:val="000000" w:themeColor="text1"/>
          <w:sz w:val="24"/>
        </w:rPr>
        <w:t>％＝</w:t>
      </w:r>
      <w:r w:rsidRPr="00E224E9">
        <w:rPr>
          <w:rFonts w:ascii="Book Antiqua" w:hAnsi="Book Antiqua"/>
          <w:color w:val="000000" w:themeColor="text1"/>
          <w:sz w:val="24"/>
        </w:rPr>
        <w:t>(B)</w:t>
      </w:r>
    </w:p>
    <w:p w14:paraId="0DABCAA9" w14:textId="77777777" w:rsidR="00B95AC8" w:rsidRPr="00E224E9" w:rsidRDefault="00B95AC8" w:rsidP="00B95AC8">
      <w:pPr>
        <w:spacing w:line="440" w:lineRule="exact"/>
        <w:ind w:leftChars="65" w:left="181" w:hangingChars="5" w:hanging="12"/>
        <w:jc w:val="both"/>
        <w:rPr>
          <w:rFonts w:ascii="Book Antiqua" w:hAnsi="Book Antiqua"/>
          <w:color w:val="000000" w:themeColor="text1"/>
          <w:sz w:val="24"/>
        </w:rPr>
      </w:pPr>
      <w:r w:rsidRPr="00E224E9">
        <w:rPr>
          <w:rFonts w:ascii="Book Antiqua" w:hAnsi="Book Antiqua"/>
          <w:color w:val="000000" w:themeColor="text1"/>
          <w:sz w:val="24"/>
        </w:rPr>
        <w:t>係數下限＝</w:t>
      </w:r>
      <w:r w:rsidRPr="00E224E9">
        <w:rPr>
          <w:rFonts w:ascii="Book Antiqua" w:hAnsi="Book Antiqua" w:hint="eastAsia"/>
          <w:color w:val="000000" w:themeColor="text1"/>
          <w:sz w:val="24"/>
        </w:rPr>
        <w:t>(</w:t>
      </w:r>
      <w:r w:rsidRPr="00E224E9">
        <w:rPr>
          <w:rFonts w:ascii="Book Antiqua" w:hAnsi="Book Antiqua"/>
          <w:color w:val="000000" w:themeColor="text1"/>
          <w:sz w:val="24"/>
        </w:rPr>
        <w:t>基準係數</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調整項</w:t>
      </w:r>
      <w:r w:rsidRPr="00E224E9">
        <w:rPr>
          <w:rFonts w:ascii="Book Antiqua" w:hAnsi="Book Antiqua"/>
          <w:color w:val="000000" w:themeColor="text1"/>
          <w:sz w:val="24"/>
        </w:rPr>
        <w:t>×0.85</w:t>
      </w:r>
      <w:r w:rsidRPr="00E224E9">
        <w:rPr>
          <w:rFonts w:ascii="Book Antiqua" w:hAnsi="Book Antiqua" w:hint="eastAsia"/>
          <w:color w:val="000000" w:themeColor="text1"/>
          <w:sz w:val="24"/>
        </w:rPr>
        <w:t>)</w:t>
      </w:r>
      <w:r w:rsidRPr="00E224E9">
        <w:rPr>
          <w:rFonts w:ascii="Book Antiqua" w:hAnsi="Book Antiqua"/>
          <w:color w:val="000000" w:themeColor="text1"/>
          <w:sz w:val="24"/>
        </w:rPr>
        <w:t>×75</w:t>
      </w:r>
      <w:r w:rsidRPr="00E224E9">
        <w:rPr>
          <w:rFonts w:ascii="Book Antiqua" w:hAnsi="Book Antiqua"/>
          <w:color w:val="000000" w:themeColor="text1"/>
          <w:sz w:val="24"/>
        </w:rPr>
        <w:t>％＝</w:t>
      </w:r>
      <w:r w:rsidRPr="00E224E9">
        <w:rPr>
          <w:rFonts w:ascii="Book Antiqua" w:hAnsi="Book Antiqua"/>
          <w:color w:val="000000" w:themeColor="text1"/>
          <w:sz w:val="24"/>
        </w:rPr>
        <w:t>(C)</w:t>
      </w:r>
    </w:p>
    <w:p w14:paraId="128A6547" w14:textId="77777777" w:rsidR="00B95AC8" w:rsidRPr="00E224E9" w:rsidRDefault="00B95AC8" w:rsidP="00B95AC8">
      <w:pPr>
        <w:spacing w:line="440" w:lineRule="exact"/>
        <w:ind w:leftChars="65" w:left="181" w:hangingChars="5" w:hanging="12"/>
        <w:jc w:val="both"/>
        <w:rPr>
          <w:rFonts w:ascii="Book Antiqua" w:hAnsi="Book Antiqua"/>
          <w:color w:val="000000" w:themeColor="text1"/>
          <w:sz w:val="24"/>
        </w:rPr>
      </w:pPr>
    </w:p>
    <w:p w14:paraId="625C0AE4" w14:textId="77777777" w:rsidR="00B95AC8" w:rsidRPr="00E224E9" w:rsidRDefault="00B95AC8" w:rsidP="00B95AC8">
      <w:pPr>
        <w:ind w:firstLineChars="200" w:firstLine="480"/>
        <w:jc w:val="both"/>
        <w:rPr>
          <w:rFonts w:ascii="Book Antiqua" w:hAnsi="Book Antiqua" w:cs="Arial Unicode MS"/>
          <w:color w:val="000000" w:themeColor="text1"/>
          <w:kern w:val="0"/>
          <w:sz w:val="24"/>
        </w:rPr>
      </w:pPr>
      <w:r w:rsidRPr="00E224E9">
        <w:rPr>
          <w:rFonts w:ascii="Book Antiqua" w:hAnsi="Book Antiqua"/>
          <w:color w:val="000000" w:themeColor="text1"/>
          <w:sz w:val="24"/>
        </w:rPr>
        <w:t>調整後風險係數＝</w:t>
      </w:r>
      <w:r w:rsidRPr="00E224E9">
        <w:rPr>
          <w:rFonts w:ascii="Book Antiqua" w:hAnsi="Book Antiqua"/>
          <w:color w:val="000000" w:themeColor="text1"/>
          <w:position w:val="-50"/>
          <w:sz w:val="24"/>
        </w:rPr>
        <w:object w:dxaOrig="2420" w:dyaOrig="1120" w14:anchorId="1DF1791C">
          <v:shape id="_x0000_i1030" type="#_x0000_t75" style="width:121.95pt;height:57.5pt" o:ole="">
            <v:imagedata r:id="rId20" o:title=""/>
          </v:shape>
          <o:OLEObject Type="Embed" ProgID="Equation.3" ShapeID="_x0000_i1030" DrawAspect="Content" ObjectID="_1814015523" r:id="rId21"/>
        </w:object>
      </w:r>
    </w:p>
    <w:p w14:paraId="001AAC37" w14:textId="77777777" w:rsidR="00B95AC8" w:rsidRPr="00E224E9" w:rsidRDefault="00B95AC8" w:rsidP="00B95AC8">
      <w:pPr>
        <w:spacing w:line="440" w:lineRule="exact"/>
        <w:jc w:val="both"/>
        <w:rPr>
          <w:rFonts w:ascii="Book Antiqua" w:hAnsi="Book Antiqua"/>
          <w:color w:val="000000" w:themeColor="text1"/>
          <w:sz w:val="24"/>
        </w:rPr>
      </w:pPr>
    </w:p>
    <w:p w14:paraId="1A4D763A" w14:textId="77777777" w:rsidR="00065C53" w:rsidRPr="00E224E9" w:rsidRDefault="00D714AD">
      <w:pPr>
        <w:spacing w:line="440" w:lineRule="exact"/>
        <w:jc w:val="both"/>
        <w:rPr>
          <w:rFonts w:ascii="Book Antiqua" w:hAnsi="Book Antiqua"/>
          <w:color w:val="000000" w:themeColor="text1"/>
          <w:sz w:val="24"/>
        </w:rPr>
      </w:pPr>
      <w:r w:rsidRPr="00E224E9">
        <w:rPr>
          <w:rFonts w:ascii="Book Antiqua" w:hAnsi="Book Antiqua" w:hint="eastAsia"/>
          <w:color w:val="000000" w:themeColor="text1"/>
          <w:sz w:val="24"/>
        </w:rPr>
        <w:t>3</w:t>
      </w:r>
      <w:r w:rsidR="00065C53" w:rsidRPr="00E224E9">
        <w:rPr>
          <w:rFonts w:ascii="Book Antiqua" w:hAnsi="Book Antiqua"/>
          <w:color w:val="000000" w:themeColor="text1"/>
          <w:sz w:val="24"/>
        </w:rPr>
        <w:t>.</w:t>
      </w:r>
      <w:r w:rsidR="00065C53" w:rsidRPr="00E224E9">
        <w:rPr>
          <w:rFonts w:ascii="Book Antiqua" w:hAnsi="Book Antiqua"/>
          <w:color w:val="000000" w:themeColor="text1"/>
          <w:sz w:val="24"/>
        </w:rPr>
        <w:t>資料來源說明如下：</w:t>
      </w:r>
    </w:p>
    <w:p w14:paraId="28BD440C" w14:textId="77777777" w:rsidR="00065C53" w:rsidRPr="00E224E9" w:rsidRDefault="00065C53" w:rsidP="00D14FD0">
      <w:pPr>
        <w:spacing w:line="440" w:lineRule="exact"/>
        <w:ind w:leftChars="100" w:left="668" w:hangingChars="170" w:hanging="408"/>
        <w:jc w:val="both"/>
        <w:rPr>
          <w:rFonts w:ascii="Book Antiqua" w:hAnsi="Book Antiqua"/>
          <w:color w:val="000000" w:themeColor="text1"/>
          <w:sz w:val="24"/>
        </w:rPr>
      </w:pPr>
      <w:r w:rsidRPr="00E224E9">
        <w:rPr>
          <w:rFonts w:ascii="Book Antiqua" w:hAnsi="Book Antiqua"/>
          <w:color w:val="000000" w:themeColor="text1"/>
          <w:sz w:val="24"/>
        </w:rPr>
        <w:t>(1)</w:t>
      </w:r>
      <w:r w:rsidR="003C2392" w:rsidRPr="00E224E9">
        <w:rPr>
          <w:rFonts w:ascii="Book Antiqua" w:hAnsi="Book Antiqua" w:hint="eastAsia"/>
          <w:color w:val="000000" w:themeColor="text1"/>
          <w:sz w:val="24"/>
        </w:rPr>
        <w:t xml:space="preserve"> </w:t>
      </w:r>
      <w:r w:rsidRPr="00E224E9">
        <w:rPr>
          <w:rFonts w:ascii="Book Antiqua" w:hAnsi="Book Antiqua"/>
          <w:color w:val="000000" w:themeColor="text1"/>
          <w:sz w:val="24"/>
        </w:rPr>
        <w:t>個股</w:t>
      </w:r>
      <w:r w:rsidRPr="00E224E9">
        <w:rPr>
          <w:rFonts w:ascii="Book Antiqua" w:hAnsi="Book Antiqua"/>
          <w:color w:val="000000" w:themeColor="text1"/>
          <w:sz w:val="24"/>
        </w:rPr>
        <w:t>β</w:t>
      </w:r>
      <w:r w:rsidRPr="00E224E9">
        <w:rPr>
          <w:rFonts w:ascii="Book Antiqua" w:hAnsi="Book Antiqua"/>
          <w:color w:val="000000" w:themeColor="text1"/>
          <w:sz w:val="24"/>
        </w:rPr>
        <w:t>值係指按當年度</w:t>
      </w:r>
      <w:r w:rsidRPr="00E224E9">
        <w:rPr>
          <w:rFonts w:ascii="Book Antiqua" w:hAnsi="Book Antiqua"/>
          <w:color w:val="000000" w:themeColor="text1"/>
          <w:sz w:val="24"/>
        </w:rPr>
        <w:t>1</w:t>
      </w:r>
      <w:r w:rsidRPr="00E224E9">
        <w:rPr>
          <w:rFonts w:ascii="Book Antiqua" w:hAnsi="Book Antiqua"/>
          <w:color w:val="000000" w:themeColor="text1"/>
          <w:sz w:val="24"/>
        </w:rPr>
        <w:t>月</w:t>
      </w:r>
      <w:r w:rsidRPr="00E224E9">
        <w:rPr>
          <w:rFonts w:ascii="Book Antiqua" w:hAnsi="Book Antiqua"/>
          <w:color w:val="000000" w:themeColor="text1"/>
          <w:sz w:val="24"/>
        </w:rPr>
        <w:t>1</w:t>
      </w:r>
      <w:r w:rsidRPr="00E224E9">
        <w:rPr>
          <w:rFonts w:ascii="Book Antiqua" w:hAnsi="Book Antiqua"/>
          <w:color w:val="000000" w:themeColor="text1"/>
          <w:sz w:val="24"/>
        </w:rPr>
        <w:t>日至</w:t>
      </w:r>
      <w:r w:rsidRPr="00E224E9">
        <w:rPr>
          <w:rFonts w:ascii="Book Antiqua" w:hAnsi="Book Antiqua"/>
          <w:color w:val="000000" w:themeColor="text1"/>
          <w:sz w:val="24"/>
        </w:rPr>
        <w:t>12</w:t>
      </w:r>
      <w:r w:rsidRPr="00E224E9">
        <w:rPr>
          <w:rFonts w:ascii="Book Antiqua" w:hAnsi="Book Antiqua"/>
          <w:color w:val="000000" w:themeColor="text1"/>
          <w:sz w:val="24"/>
        </w:rPr>
        <w:t>月</w:t>
      </w:r>
      <w:r w:rsidRPr="00E224E9">
        <w:rPr>
          <w:rFonts w:ascii="Book Antiqua" w:hAnsi="Book Antiqua"/>
          <w:color w:val="000000" w:themeColor="text1"/>
          <w:sz w:val="24"/>
        </w:rPr>
        <w:t>31</w:t>
      </w:r>
      <w:r w:rsidRPr="00E224E9">
        <w:rPr>
          <w:rFonts w:ascii="Book Antiqua" w:hAnsi="Book Antiqua"/>
          <w:color w:val="000000" w:themeColor="text1"/>
          <w:sz w:val="24"/>
        </w:rPr>
        <w:t>日依日報酬率資料所計算之</w:t>
      </w:r>
      <w:r w:rsidRPr="00E224E9">
        <w:rPr>
          <w:rFonts w:ascii="Book Antiqua" w:hAnsi="Book Antiqua"/>
          <w:color w:val="000000" w:themeColor="text1"/>
          <w:sz w:val="24"/>
        </w:rPr>
        <w:t>β</w:t>
      </w:r>
      <w:r w:rsidRPr="00E224E9">
        <w:rPr>
          <w:rFonts w:ascii="Book Antiqua" w:hAnsi="Book Antiqua"/>
          <w:color w:val="000000" w:themeColor="text1"/>
          <w:sz w:val="24"/>
        </w:rPr>
        <w:t>值，上市（櫃）未滿一年者</w:t>
      </w:r>
      <w:r w:rsidRPr="00E224E9">
        <w:rPr>
          <w:rFonts w:ascii="Book Antiqua" w:hAnsi="Book Antiqua"/>
          <w:color w:val="000000" w:themeColor="text1"/>
          <w:sz w:val="24"/>
        </w:rPr>
        <w:t>β</w:t>
      </w:r>
      <w:r w:rsidRPr="00E224E9">
        <w:rPr>
          <w:rFonts w:ascii="Book Antiqua" w:hAnsi="Book Antiqua"/>
          <w:color w:val="000000" w:themeColor="text1"/>
          <w:sz w:val="24"/>
        </w:rPr>
        <w:t>值以</w:t>
      </w:r>
      <w:r w:rsidRPr="00E224E9">
        <w:rPr>
          <w:rFonts w:ascii="Book Antiqua" w:hAnsi="Book Antiqua"/>
          <w:color w:val="000000" w:themeColor="text1"/>
          <w:sz w:val="24"/>
        </w:rPr>
        <w:t>1</w:t>
      </w:r>
      <w:r w:rsidRPr="00E224E9">
        <w:rPr>
          <w:rFonts w:ascii="Book Antiqua" w:hAnsi="Book Antiqua"/>
          <w:color w:val="000000" w:themeColor="text1"/>
          <w:sz w:val="24"/>
        </w:rPr>
        <w:t>計算。</w:t>
      </w:r>
    </w:p>
    <w:p w14:paraId="7FE8524F" w14:textId="77777777" w:rsidR="00065C53" w:rsidRPr="00E224E9" w:rsidRDefault="00065C53" w:rsidP="00B84F99">
      <w:pPr>
        <w:spacing w:line="440" w:lineRule="exact"/>
        <w:ind w:leftChars="100" w:left="668" w:hangingChars="170" w:hanging="408"/>
        <w:jc w:val="both"/>
        <w:rPr>
          <w:rFonts w:ascii="Book Antiqua" w:hAnsi="Book Antiqua"/>
          <w:color w:val="000000" w:themeColor="text1"/>
          <w:sz w:val="24"/>
        </w:rPr>
      </w:pPr>
      <w:r w:rsidRPr="00E224E9">
        <w:rPr>
          <w:rFonts w:ascii="Book Antiqua" w:hAnsi="Book Antiqua"/>
          <w:color w:val="000000" w:themeColor="text1"/>
          <w:sz w:val="24"/>
        </w:rPr>
        <w:t>(2)</w:t>
      </w:r>
      <w:r w:rsidR="003C2392" w:rsidRPr="00E224E9">
        <w:rPr>
          <w:rFonts w:ascii="Book Antiqua" w:hAnsi="Book Antiqua" w:hint="eastAsia"/>
          <w:color w:val="000000" w:themeColor="text1"/>
          <w:sz w:val="24"/>
        </w:rPr>
        <w:t xml:space="preserve"> </w:t>
      </w:r>
      <w:r w:rsidRPr="00E224E9">
        <w:rPr>
          <w:rFonts w:ascii="Book Antiqua" w:hAnsi="Book Antiqua"/>
          <w:color w:val="000000" w:themeColor="text1"/>
          <w:sz w:val="24"/>
        </w:rPr>
        <w:t>成立未滿一年之基金其</w:t>
      </w:r>
      <w:r w:rsidRPr="00E224E9">
        <w:rPr>
          <w:rFonts w:ascii="Book Antiqua" w:hAnsi="Book Antiqua"/>
          <w:color w:val="000000" w:themeColor="text1"/>
          <w:sz w:val="24"/>
        </w:rPr>
        <w:t>β</w:t>
      </w:r>
      <w:r w:rsidRPr="00E224E9">
        <w:rPr>
          <w:rFonts w:ascii="Book Antiqua" w:hAnsi="Book Antiqua"/>
          <w:color w:val="000000" w:themeColor="text1"/>
          <w:sz w:val="24"/>
        </w:rPr>
        <w:t>值以同類型基金之平均</w:t>
      </w:r>
      <w:r w:rsidRPr="00E224E9">
        <w:rPr>
          <w:rFonts w:ascii="Book Antiqua" w:hAnsi="Book Antiqua"/>
          <w:color w:val="000000" w:themeColor="text1"/>
          <w:sz w:val="24"/>
        </w:rPr>
        <w:t>β</w:t>
      </w:r>
      <w:r w:rsidRPr="00E224E9">
        <w:rPr>
          <w:rFonts w:ascii="Book Antiqua" w:hAnsi="Book Antiqua"/>
          <w:color w:val="000000" w:themeColor="text1"/>
          <w:sz w:val="24"/>
        </w:rPr>
        <w:t>值計算。同類型基金之平均</w:t>
      </w:r>
      <w:r w:rsidRPr="00E224E9">
        <w:rPr>
          <w:rFonts w:ascii="Book Antiqua" w:hAnsi="Book Antiqua"/>
          <w:color w:val="000000" w:themeColor="text1"/>
          <w:sz w:val="24"/>
        </w:rPr>
        <w:t>β</w:t>
      </w:r>
      <w:r w:rsidRPr="00E224E9">
        <w:rPr>
          <w:rFonts w:ascii="Book Antiqua" w:hAnsi="Book Antiqua"/>
          <w:color w:val="000000" w:themeColor="text1"/>
          <w:sz w:val="24"/>
        </w:rPr>
        <w:lastRenderedPageBreak/>
        <w:t>值係以中華民國證券投資信託暨顧問同業會委託台灣大學財務金融系（所）邱顯比教授、李存修教授製作之</w:t>
      </w:r>
      <w:r w:rsidR="00C55C43" w:rsidRPr="00E224E9">
        <w:rPr>
          <w:rFonts w:ascii="Book Antiqua" w:hAnsi="Book Antiqua" w:hint="eastAsia"/>
          <w:color w:val="000000" w:themeColor="text1"/>
          <w:sz w:val="24"/>
        </w:rPr>
        <w:t>最近一年年底</w:t>
      </w:r>
      <w:r w:rsidRPr="00E224E9">
        <w:rPr>
          <w:rFonts w:ascii="Book Antiqua" w:hAnsi="Book Antiqua"/>
          <w:color w:val="000000" w:themeColor="text1"/>
          <w:sz w:val="24"/>
        </w:rPr>
        <w:t>基金績效評比表中公布過去</w:t>
      </w:r>
      <w:r w:rsidRPr="00E224E9">
        <w:rPr>
          <w:rFonts w:ascii="Book Antiqua" w:hAnsi="Book Antiqua"/>
          <w:color w:val="000000" w:themeColor="text1"/>
          <w:sz w:val="24"/>
        </w:rPr>
        <w:t>12</w:t>
      </w:r>
      <w:r w:rsidRPr="00E224E9">
        <w:rPr>
          <w:rFonts w:ascii="Book Antiqua" w:hAnsi="Book Antiqua"/>
          <w:color w:val="000000" w:themeColor="text1"/>
          <w:sz w:val="24"/>
        </w:rPr>
        <w:t>個月</w:t>
      </w:r>
      <w:r w:rsidRPr="00E224E9">
        <w:rPr>
          <w:rFonts w:ascii="Book Antiqua" w:hAnsi="Book Antiqua"/>
          <w:color w:val="000000" w:themeColor="text1"/>
          <w:sz w:val="24"/>
        </w:rPr>
        <w:t>β</w:t>
      </w:r>
      <w:r w:rsidRPr="00E224E9">
        <w:rPr>
          <w:rFonts w:ascii="Book Antiqua" w:hAnsi="Book Antiqua"/>
          <w:color w:val="000000" w:themeColor="text1"/>
          <w:sz w:val="24"/>
        </w:rPr>
        <w:t>值之平均為依據。</w:t>
      </w:r>
    </w:p>
    <w:p w14:paraId="0EAA9DD5" w14:textId="77777777" w:rsidR="00065C53" w:rsidRPr="00E224E9" w:rsidRDefault="00065C53" w:rsidP="00B84F99">
      <w:pPr>
        <w:spacing w:line="440" w:lineRule="exact"/>
        <w:ind w:leftChars="100" w:left="668" w:hangingChars="170" w:hanging="408"/>
        <w:jc w:val="both"/>
        <w:rPr>
          <w:rFonts w:ascii="Book Antiqua" w:hAnsi="Book Antiqua"/>
          <w:color w:val="000000" w:themeColor="text1"/>
          <w:sz w:val="24"/>
        </w:rPr>
      </w:pPr>
      <w:r w:rsidRPr="00E224E9">
        <w:rPr>
          <w:rFonts w:ascii="Book Antiqua" w:hAnsi="Book Antiqua"/>
          <w:color w:val="000000" w:themeColor="text1"/>
          <w:sz w:val="24"/>
        </w:rPr>
        <w:t>(3)</w:t>
      </w:r>
      <w:r w:rsidR="003C2392" w:rsidRPr="00E224E9">
        <w:rPr>
          <w:rFonts w:ascii="Book Antiqua" w:hAnsi="Book Antiqua" w:hint="eastAsia"/>
          <w:color w:val="000000" w:themeColor="text1"/>
          <w:sz w:val="24"/>
        </w:rPr>
        <w:t xml:space="preserve"> </w:t>
      </w:r>
      <w:r w:rsidRPr="00E224E9">
        <w:rPr>
          <w:rFonts w:ascii="Book Antiqua" w:hAnsi="Book Antiqua"/>
          <w:color w:val="000000" w:themeColor="text1"/>
          <w:sz w:val="24"/>
        </w:rPr>
        <w:t>上市股票、股票型共同基金</w:t>
      </w:r>
      <w:r w:rsidR="004854DD" w:rsidRPr="00E224E9">
        <w:rPr>
          <w:rFonts w:ascii="Book Antiqua" w:hAnsi="Book Antiqua" w:hint="eastAsia"/>
          <w:color w:val="000000" w:themeColor="text1"/>
          <w:sz w:val="24"/>
        </w:rPr>
        <w:t>、</w:t>
      </w:r>
      <w:r w:rsidRPr="00E224E9">
        <w:rPr>
          <w:rFonts w:ascii="Book Antiqua" w:hAnsi="Book Antiqua"/>
          <w:color w:val="000000" w:themeColor="text1"/>
          <w:sz w:val="24"/>
        </w:rPr>
        <w:t>平衡型共同基金</w:t>
      </w:r>
      <w:r w:rsidR="004854DD"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加權平均計算一</w:t>
      </w:r>
      <w:r w:rsidRPr="00E224E9">
        <w:rPr>
          <w:rFonts w:ascii="Book Antiqua" w:hAnsi="Book Antiqua"/>
          <w:color w:val="000000" w:themeColor="text1"/>
          <w:sz w:val="24"/>
        </w:rPr>
        <w:t>β</w:t>
      </w:r>
      <w:r w:rsidRPr="00E224E9">
        <w:rPr>
          <w:rFonts w:ascii="Book Antiqua" w:hAnsi="Book Antiqua"/>
          <w:color w:val="000000" w:themeColor="text1"/>
          <w:sz w:val="24"/>
        </w:rPr>
        <w:t>值，此</w:t>
      </w:r>
      <w:r w:rsidRPr="00E224E9">
        <w:rPr>
          <w:rFonts w:ascii="Book Antiqua" w:hAnsi="Book Antiqua"/>
          <w:color w:val="000000" w:themeColor="text1"/>
          <w:sz w:val="24"/>
        </w:rPr>
        <w:t>β</w:t>
      </w:r>
      <w:r w:rsidRPr="00E224E9">
        <w:rPr>
          <w:rFonts w:ascii="Book Antiqua" w:hAnsi="Book Antiqua"/>
          <w:color w:val="000000" w:themeColor="text1"/>
          <w:sz w:val="24"/>
        </w:rPr>
        <w:t>值同時提供上市股票、股票型共同基金</w:t>
      </w:r>
      <w:r w:rsidR="00A119CB" w:rsidRPr="00E224E9">
        <w:rPr>
          <w:rFonts w:ascii="Book Antiqua" w:hAnsi="Book Antiqua" w:hint="eastAsia"/>
          <w:color w:val="000000" w:themeColor="text1"/>
          <w:sz w:val="24"/>
        </w:rPr>
        <w:t>、</w:t>
      </w:r>
      <w:r w:rsidRPr="00E224E9">
        <w:rPr>
          <w:rFonts w:ascii="Book Antiqua" w:hAnsi="Book Antiqua"/>
          <w:color w:val="000000" w:themeColor="text1"/>
          <w:sz w:val="24"/>
        </w:rPr>
        <w:t>平衡型共同基金</w:t>
      </w:r>
      <w:r w:rsidR="00A119CB"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依上列公式計算調整後風險係數。</w:t>
      </w:r>
    </w:p>
    <w:p w14:paraId="4275B50B" w14:textId="77777777" w:rsidR="00065C53" w:rsidRPr="00E224E9" w:rsidRDefault="00065C53" w:rsidP="00B84F99">
      <w:pPr>
        <w:spacing w:line="440" w:lineRule="exact"/>
        <w:ind w:leftChars="100" w:left="668" w:hangingChars="170" w:hanging="408"/>
        <w:jc w:val="both"/>
        <w:rPr>
          <w:rFonts w:ascii="Book Antiqua" w:hAnsi="Book Antiqua"/>
          <w:color w:val="000000" w:themeColor="text1"/>
          <w:sz w:val="24"/>
        </w:rPr>
      </w:pPr>
      <w:r w:rsidRPr="00E224E9">
        <w:rPr>
          <w:rFonts w:ascii="Book Antiqua" w:hAnsi="Book Antiqua"/>
          <w:color w:val="000000" w:themeColor="text1"/>
          <w:sz w:val="24"/>
        </w:rPr>
        <w:t xml:space="preserve">(4) </w:t>
      </w:r>
      <w:r w:rsidRPr="00E224E9">
        <w:rPr>
          <w:rFonts w:ascii="Book Antiqua" w:hAnsi="Book Antiqua"/>
          <w:color w:val="000000" w:themeColor="text1"/>
          <w:sz w:val="24"/>
        </w:rPr>
        <w:t>上市滿一年之個股（或成立滿一年之基金）</w:t>
      </w:r>
      <w:r w:rsidRPr="00E224E9">
        <w:rPr>
          <w:rFonts w:ascii="Book Antiqua" w:hAnsi="Book Antiqua"/>
          <w:color w:val="000000" w:themeColor="text1"/>
          <w:sz w:val="24"/>
        </w:rPr>
        <w:t>β</w:t>
      </w:r>
      <w:r w:rsidRPr="00E224E9">
        <w:rPr>
          <w:rFonts w:ascii="Book Antiqua" w:hAnsi="Book Antiqua"/>
          <w:color w:val="000000" w:themeColor="text1"/>
          <w:sz w:val="24"/>
        </w:rPr>
        <w:t>值資料來源以保險事業發展中心提供之「表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值計算表」及「表</w:t>
      </w:r>
      <w:r w:rsidRPr="00E224E9">
        <w:rPr>
          <w:rFonts w:ascii="Book Antiqua" w:hAnsi="Book Antiqua"/>
          <w:color w:val="000000" w:themeColor="text1"/>
          <w:sz w:val="24"/>
        </w:rPr>
        <w:t>30-14-2</w:t>
      </w:r>
      <w:r w:rsidRPr="00E224E9">
        <w:rPr>
          <w:rFonts w:ascii="Book Antiqua" w:hAnsi="Book Antiqua"/>
          <w:color w:val="000000" w:themeColor="text1"/>
          <w:sz w:val="24"/>
        </w:rPr>
        <w:t>：公司上櫃股票</w:t>
      </w:r>
      <w:r w:rsidRPr="00E224E9">
        <w:rPr>
          <w:rFonts w:ascii="Book Antiqua" w:hAnsi="Book Antiqua"/>
          <w:color w:val="000000" w:themeColor="text1"/>
          <w:sz w:val="24"/>
        </w:rPr>
        <w:t>β</w:t>
      </w:r>
      <w:r w:rsidRPr="00E224E9">
        <w:rPr>
          <w:rFonts w:ascii="Book Antiqua" w:hAnsi="Book Antiqua"/>
          <w:color w:val="000000" w:themeColor="text1"/>
          <w:sz w:val="24"/>
        </w:rPr>
        <w:t>值計算表」為依據。</w:t>
      </w:r>
    </w:p>
    <w:p w14:paraId="38AF3778" w14:textId="77777777" w:rsidR="00065C53" w:rsidRPr="00E224E9" w:rsidRDefault="00065C53" w:rsidP="00B84F99">
      <w:pPr>
        <w:spacing w:line="440" w:lineRule="exact"/>
        <w:ind w:leftChars="100" w:left="668" w:hangingChars="170" w:hanging="408"/>
        <w:jc w:val="both"/>
        <w:rPr>
          <w:rFonts w:ascii="Book Antiqua" w:hAnsi="Book Antiqua"/>
          <w:color w:val="000000" w:themeColor="text1"/>
          <w:sz w:val="24"/>
        </w:rPr>
      </w:pPr>
      <w:r w:rsidRPr="00E224E9">
        <w:rPr>
          <w:rFonts w:ascii="Book Antiqua" w:hAnsi="Book Antiqua"/>
          <w:color w:val="000000" w:themeColor="text1"/>
          <w:sz w:val="24"/>
        </w:rPr>
        <w:t>(5)</w:t>
      </w:r>
      <w:r w:rsidR="003C2392" w:rsidRPr="00E224E9">
        <w:rPr>
          <w:rFonts w:ascii="Book Antiqua" w:hAnsi="Book Antiqua" w:hint="eastAsia"/>
          <w:color w:val="000000" w:themeColor="text1"/>
          <w:sz w:val="24"/>
        </w:rPr>
        <w:t xml:space="preserve"> </w:t>
      </w:r>
      <w:r w:rsidRPr="00E224E9">
        <w:rPr>
          <w:rFonts w:ascii="Book Antiqua" w:hAnsi="Book Antiqua"/>
          <w:color w:val="000000" w:themeColor="text1"/>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34EFD395" w14:textId="77777777" w:rsidR="00D714AD" w:rsidRPr="00E224E9" w:rsidRDefault="00D714AD">
      <w:pPr>
        <w:spacing w:line="440" w:lineRule="exact"/>
        <w:ind w:leftChars="100" w:left="620" w:hangingChars="150" w:hanging="360"/>
        <w:jc w:val="both"/>
        <w:rPr>
          <w:rFonts w:ascii="Book Antiqua" w:hAnsi="Book Antiqua"/>
          <w:color w:val="000000" w:themeColor="text1"/>
          <w:sz w:val="24"/>
        </w:rPr>
      </w:pPr>
    </w:p>
    <w:p w14:paraId="6F94BE90" w14:textId="77777777" w:rsidR="00065C53" w:rsidRPr="00E224E9" w:rsidRDefault="00065C53">
      <w:pPr>
        <w:pStyle w:val="1"/>
        <w:spacing w:afterLines="0" w:line="440" w:lineRule="exact"/>
        <w:jc w:val="both"/>
        <w:rPr>
          <w:color w:val="000000" w:themeColor="text1"/>
        </w:rPr>
      </w:pPr>
      <w:r w:rsidRPr="00E224E9">
        <w:rPr>
          <w:color w:val="000000" w:themeColor="text1"/>
        </w:rPr>
        <w:br w:type="page"/>
      </w:r>
      <w:bookmarkStart w:id="197" w:name="_Toc219262269"/>
      <w:bookmarkStart w:id="198" w:name="_Toc200468576"/>
      <w:r w:rsidRPr="00E224E9">
        <w:rPr>
          <w:rFonts w:hint="eastAsia"/>
          <w:color w:val="000000" w:themeColor="text1"/>
        </w:rPr>
        <w:lastRenderedPageBreak/>
        <w:t>表30-15：無評等不動產(REAT)及金融資產受益證券(含資產基礎證券)風險資本額計算表</w:t>
      </w:r>
      <w:bookmarkEnd w:id="197"/>
      <w:bookmarkEnd w:id="198"/>
    </w:p>
    <w:p w14:paraId="385F866F" w14:textId="77777777" w:rsidR="00065C53" w:rsidRPr="00E224E9" w:rsidRDefault="00065C53">
      <w:pPr>
        <w:spacing w:line="440" w:lineRule="exact"/>
        <w:jc w:val="both"/>
        <w:rPr>
          <w:rFonts w:ascii="標楷體" w:hAnsi="標楷體"/>
          <w:color w:val="000000" w:themeColor="text1"/>
        </w:rPr>
      </w:pPr>
    </w:p>
    <w:p w14:paraId="43B52E5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本表主要用以計算無評等之不動產受益證券(REAT)及金融資產受益證券(含資產基礎證券)風險係數及風險資本額，證券風險係數由各公司自行計算後，送交主管機關審核，建立無評等之不動產受益證券(REAT)及金融資產受益證券(含資產基礎證券)風險係數資料庫，並將證券編碼後提供各公司填報。</w:t>
      </w:r>
    </w:p>
    <w:p w14:paraId="18C057B1" w14:textId="77777777" w:rsidR="00065C53" w:rsidRPr="00E224E9" w:rsidRDefault="00065C53">
      <w:pPr>
        <w:spacing w:line="440" w:lineRule="exact"/>
        <w:jc w:val="both"/>
        <w:rPr>
          <w:rFonts w:ascii="標楷體" w:hAnsi="標楷體"/>
          <w:color w:val="000000" w:themeColor="text1"/>
          <w:sz w:val="24"/>
        </w:rPr>
      </w:pPr>
    </w:p>
    <w:p w14:paraId="25F0D3B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金融資產受益證券計算公式如下：</w:t>
      </w:r>
    </w:p>
    <w:p w14:paraId="22F769C7" w14:textId="77777777" w:rsidR="00065C53" w:rsidRPr="00E224E9" w:rsidRDefault="007F4F1E">
      <w:pPr>
        <w:spacing w:line="440" w:lineRule="exact"/>
        <w:jc w:val="both"/>
        <w:rPr>
          <w:rFonts w:ascii="標楷體" w:hAnsi="標楷體"/>
          <w:color w:val="000000" w:themeColor="text1"/>
          <w:sz w:val="24"/>
        </w:rPr>
      </w:pPr>
      <w:r>
        <w:rPr>
          <w:rFonts w:ascii="標楷體" w:hAnsi="標楷體"/>
          <w:noProof/>
          <w:color w:val="000000" w:themeColor="text1"/>
          <w:sz w:val="24"/>
        </w:rPr>
        <w:object w:dxaOrig="1440" w:dyaOrig="1440" w14:anchorId="53BFE729">
          <v:shape id="_x0000_s2061" type="#_x0000_t75" style="position:absolute;left:0;text-align:left;margin-left:1in;margin-top:10pt;width:137pt;height:34pt;z-index:251653120;mso-wrap-distance-left:0;mso-wrap-distance-right:0" fillcolor="#ffc">
            <v:imagedata r:id="rId22" o:title=""/>
            <v:shadow color="white"/>
          </v:shape>
          <o:OLEObject Type="Embed" ProgID="Equation.3" ShapeID="_x0000_s2061" DrawAspect="Content" ObjectID="_1814015525" r:id="rId23"/>
        </w:object>
      </w:r>
    </w:p>
    <w:p w14:paraId="08A1BDA8" w14:textId="77777777" w:rsidR="00065C53" w:rsidRPr="00E224E9" w:rsidRDefault="00065C53">
      <w:pPr>
        <w:spacing w:line="440" w:lineRule="exact"/>
        <w:jc w:val="both"/>
        <w:rPr>
          <w:rFonts w:ascii="標楷體" w:hAnsi="標楷體"/>
          <w:color w:val="000000" w:themeColor="text1"/>
          <w:sz w:val="24"/>
        </w:rPr>
      </w:pPr>
    </w:p>
    <w:p w14:paraId="3FF578A6" w14:textId="77777777" w:rsidR="00065C53" w:rsidRPr="00E224E9" w:rsidRDefault="00065C53">
      <w:pPr>
        <w:spacing w:line="440" w:lineRule="exact"/>
        <w:jc w:val="both"/>
        <w:rPr>
          <w:rFonts w:ascii="標楷體" w:hAnsi="標楷體"/>
          <w:color w:val="000000" w:themeColor="text1"/>
          <w:sz w:val="24"/>
        </w:rPr>
      </w:pPr>
    </w:p>
    <w:p w14:paraId="47224EFF" w14:textId="77777777" w:rsidR="00065C53" w:rsidRPr="00E224E9" w:rsidRDefault="007F4F1E">
      <w:pPr>
        <w:spacing w:line="440" w:lineRule="exact"/>
        <w:jc w:val="both"/>
        <w:rPr>
          <w:rFonts w:ascii="標楷體" w:hAnsi="標楷體"/>
          <w:color w:val="000000" w:themeColor="text1"/>
          <w:sz w:val="24"/>
        </w:rPr>
      </w:pPr>
      <w:r>
        <w:rPr>
          <w:rFonts w:ascii="標楷體" w:hAnsi="標楷體"/>
          <w:noProof/>
          <w:color w:val="000000" w:themeColor="text1"/>
          <w:sz w:val="24"/>
        </w:rPr>
        <w:object w:dxaOrig="1440" w:dyaOrig="1440" w14:anchorId="0413EE62">
          <v:shape id="_x0000_s2062" type="#_x0000_t75" style="position:absolute;left:0;text-align:left;margin-left:0;margin-top:8.7pt;width:417pt;height:70pt;z-index:251654144;mso-wrap-distance-left:0;mso-wrap-distance-right:0" fillcolor="#ffc">
            <v:imagedata r:id="rId24" o:title=""/>
            <v:shadow color="white"/>
          </v:shape>
          <o:OLEObject Type="Embed" ProgID="Equation.3" ShapeID="_x0000_s2062" DrawAspect="Content" ObjectID="_1814015526" r:id="rId25"/>
        </w:object>
      </w:r>
    </w:p>
    <w:p w14:paraId="0A3D6C8C" w14:textId="77777777" w:rsidR="00065C53" w:rsidRPr="00E224E9" w:rsidRDefault="00065C53">
      <w:pPr>
        <w:spacing w:line="440" w:lineRule="exact"/>
        <w:jc w:val="both"/>
        <w:rPr>
          <w:rFonts w:ascii="標楷體" w:hAnsi="標楷體"/>
          <w:color w:val="000000" w:themeColor="text1"/>
          <w:sz w:val="24"/>
        </w:rPr>
      </w:pPr>
    </w:p>
    <w:p w14:paraId="7179FD84" w14:textId="77777777" w:rsidR="00065C53" w:rsidRPr="00E224E9" w:rsidRDefault="00065C53">
      <w:pPr>
        <w:spacing w:line="440" w:lineRule="exact"/>
        <w:jc w:val="both"/>
        <w:rPr>
          <w:rFonts w:ascii="標楷體" w:hAnsi="標楷體"/>
          <w:color w:val="000000" w:themeColor="text1"/>
          <w:sz w:val="24"/>
        </w:rPr>
      </w:pPr>
    </w:p>
    <w:p w14:paraId="6FFF95CE" w14:textId="77777777" w:rsidR="00065C53" w:rsidRPr="00E224E9" w:rsidRDefault="00065C53">
      <w:pPr>
        <w:spacing w:line="440" w:lineRule="exact"/>
        <w:jc w:val="both"/>
        <w:rPr>
          <w:rFonts w:ascii="標楷體" w:hAnsi="標楷體"/>
          <w:color w:val="000000" w:themeColor="text1"/>
          <w:sz w:val="24"/>
        </w:rPr>
      </w:pPr>
    </w:p>
    <w:p w14:paraId="3B22EC8F" w14:textId="77777777" w:rsidR="00065C53" w:rsidRPr="00E224E9" w:rsidRDefault="00065C53">
      <w:pPr>
        <w:spacing w:line="440" w:lineRule="exact"/>
        <w:jc w:val="both"/>
        <w:rPr>
          <w:rFonts w:ascii="標楷體" w:hAnsi="標楷體"/>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E224E9" w:rsidRPr="00E224E9" w14:paraId="6D468433" w14:textId="77777777">
        <w:trPr>
          <w:trHeight w:val="3984"/>
        </w:trPr>
        <w:tc>
          <w:tcPr>
            <w:tcW w:w="9240" w:type="dxa"/>
          </w:tcPr>
          <w:p w14:paraId="45D9F30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金融資產受益證券係數計算範例（以CBO為例）：</w:t>
            </w:r>
          </w:p>
          <w:p w14:paraId="554C4B0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step1：證券化前，若原資產池總規模為NT 120 E，加權信用評等</w:t>
            </w:r>
          </w:p>
          <w:p w14:paraId="6AE700F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 xml:space="preserve">       為tw BBB(係數0.0263)，則R1＝3.156</w:t>
            </w:r>
          </w:p>
          <w:p w14:paraId="3B1CF12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step2</w:t>
            </w:r>
            <w:r w:rsidRPr="00E224E9">
              <w:rPr>
                <w:rFonts w:ascii="標楷體" w:hAnsi="標楷體" w:hint="eastAsia"/>
                <w:color w:val="000000" w:themeColor="text1"/>
                <w:sz w:val="24"/>
              </w:rPr>
              <w:t>：證券化後，假設主順位NT 80E，信評等級tw A+(係數0.0074)</w:t>
            </w:r>
          </w:p>
          <w:p w14:paraId="605B39F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 xml:space="preserve">       次順位為NT 40E，無評等，則次順位之風險係數</w:t>
            </w:r>
            <w:r w:rsidRPr="00E224E9">
              <w:rPr>
                <w:rFonts w:ascii="標楷體" w:hAnsi="標楷體"/>
                <w:color w:val="000000" w:themeColor="text1"/>
                <w:sz w:val="24"/>
              </w:rPr>
              <w:t xml:space="preserve"> </w:t>
            </w:r>
            <w:r w:rsidRPr="00E224E9">
              <w:rPr>
                <w:rFonts w:ascii="標楷體" w:hAnsi="標楷體" w:hint="eastAsia"/>
                <w:color w:val="000000" w:themeColor="text1"/>
                <w:sz w:val="24"/>
              </w:rPr>
              <w:t xml:space="preserve"> </w:t>
            </w:r>
          </w:p>
          <w:p w14:paraId="26CB43F9" w14:textId="77777777" w:rsidR="00065C53" w:rsidRPr="00E224E9" w:rsidRDefault="00B84F99">
            <w:pPr>
              <w:spacing w:line="440" w:lineRule="exact"/>
              <w:jc w:val="both"/>
              <w:rPr>
                <w:rFonts w:ascii="標楷體" w:hAnsi="標楷體"/>
                <w:color w:val="000000" w:themeColor="text1"/>
                <w:sz w:val="24"/>
              </w:rPr>
            </w:pPr>
            <w:r w:rsidRPr="00E224E9">
              <w:rPr>
                <w:rFonts w:ascii="標楷體" w:hAnsi="標楷體"/>
                <w:b/>
                <w:noProof/>
                <w:color w:val="000000" w:themeColor="text1"/>
                <w:sz w:val="24"/>
              </w:rPr>
              <mc:AlternateContent>
                <mc:Choice Requires="wpg">
                  <w:drawing>
                    <wp:anchor distT="0" distB="0" distL="114300" distR="114300" simplePos="0" relativeHeight="251657216" behindDoc="0" locked="0" layoutInCell="1" allowOverlap="1" wp14:anchorId="431D0458" wp14:editId="4B3C7903">
                      <wp:simplePos x="0" y="0"/>
                      <wp:positionH relativeFrom="column">
                        <wp:posOffset>115570</wp:posOffset>
                      </wp:positionH>
                      <wp:positionV relativeFrom="paragraph">
                        <wp:posOffset>189230</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D0458" id="Group 17" o:spid="_x0000_s1026" style="position:absolute;left:0;text-align:left;margin-left:9.1pt;margin-top:14.9pt;width:414pt;height:62.8pt;z-index:2516572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">
                      <v:rect id="Rectangle 18" o:spid="_x0000_s1027"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28"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29"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30"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type id="_x0000_t202" coordsize="21600,21600" o:spt="202" path="m,l,21600r21600,l21600,xe">
                        <v:stroke joinstyle="miter"/>
                        <v:path gradientshapeok="t" o:connecttype="rect"/>
                      </v:shapetype>
                      <v:shape id="Text Box 22" o:spid="_x0000_s1031"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32"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33"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Pr="00E224E9">
              <w:rPr>
                <w:rFonts w:ascii="標楷體" w:hAnsi="標楷體"/>
                <w:noProof/>
                <w:color w:val="000000" w:themeColor="text1"/>
                <w:sz w:val="24"/>
              </w:rPr>
              <mc:AlternateContent>
                <mc:Choice Requires="wpc">
                  <w:drawing>
                    <wp:anchor distT="0" distB="0" distL="114300" distR="114300" simplePos="0" relativeHeight="251650048" behindDoc="0" locked="0" layoutInCell="1" allowOverlap="1" wp14:anchorId="69FB4825" wp14:editId="680BAE66">
                      <wp:simplePos x="0" y="0"/>
                      <wp:positionH relativeFrom="character">
                        <wp:posOffset>0</wp:posOffset>
                      </wp:positionH>
                      <wp:positionV relativeFrom="line">
                        <wp:posOffset>0</wp:posOffset>
                      </wp:positionV>
                      <wp:extent cx="5715000" cy="914400"/>
                      <wp:effectExtent l="0" t="0" r="1270" b="4445"/>
                      <wp:wrapNone/>
                      <wp:docPr id="10"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9FB4825" id="畫布 2" o:spid="_x0000_s1034" editas="canvas" style="position:absolute;margin-left:0;margin-top:0;width:450pt;height:1in;z-index:25165004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">
                      <v:shape id="_x0000_s1035" type="#_x0000_t75" style="position:absolute;width:57150;height:9144;visibility:visible;mso-wrap-style:square">
                        <v:fill o:detectmouseclick="t"/>
                        <v:path o:connecttype="none"/>
                      </v:shape>
                      <v:shape id="Text Box 4" o:spid="_x0000_s1036" type="#_x0000_t202" style="position:absolute;left:41148;top:3429;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" filled="f" stroked="f">
                        <v:textbox inset="2.33681mm,1.1684mm,2.33681mm,1.1684mm">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10:wrap anchory="line"/>
                    </v:group>
                  </w:pict>
                </mc:Fallback>
              </mc:AlternateContent>
            </w:r>
            <w:r w:rsidRPr="00E224E9">
              <w:rPr>
                <w:rFonts w:ascii="標楷體" w:hAnsi="標楷體"/>
                <w:noProof/>
                <w:color w:val="000000" w:themeColor="text1"/>
                <w:sz w:val="24"/>
              </w:rPr>
              <mc:AlternateContent>
                <mc:Choice Requires="wps">
                  <w:drawing>
                    <wp:inline distT="0" distB="0" distL="0" distR="0" wp14:anchorId="232E5BAB" wp14:editId="447F7614">
                      <wp:extent cx="5724525" cy="9144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F4A5F" id="AutoShape 5" o:spid="_x0000_s1026" style="width:45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" filled="f" stroked="f">
                      <o:lock v:ext="edit" aspectratio="t"/>
                      <w10:anchorlock/>
                    </v:rect>
                  </w:pict>
                </mc:Fallback>
              </mc:AlternateContent>
            </w:r>
          </w:p>
          <w:p w14:paraId="5EFB645F" w14:textId="77777777" w:rsidR="00065C53" w:rsidRPr="00E224E9" w:rsidRDefault="00065C53">
            <w:pPr>
              <w:spacing w:line="440" w:lineRule="exact"/>
              <w:jc w:val="both"/>
              <w:rPr>
                <w:rFonts w:ascii="標楷體" w:hAnsi="標楷體"/>
                <w:color w:val="000000" w:themeColor="text1"/>
                <w:sz w:val="24"/>
              </w:rPr>
            </w:pPr>
          </w:p>
        </w:tc>
      </w:tr>
    </w:tbl>
    <w:p w14:paraId="454A83C0" w14:textId="77777777" w:rsidR="00065C53" w:rsidRPr="00E224E9" w:rsidRDefault="00AB5E1A" w:rsidP="00AB5E1A">
      <w:pPr>
        <w:pStyle w:val="2"/>
        <w:spacing w:line="440" w:lineRule="exact"/>
        <w:jc w:val="both"/>
        <w:rPr>
          <w:rFonts w:ascii="標楷體" w:hAnsi="標楷體"/>
          <w:color w:val="000000" w:themeColor="text1"/>
          <w:sz w:val="24"/>
        </w:rPr>
      </w:pPr>
      <w:r w:rsidRPr="00E224E9">
        <w:rPr>
          <w:color w:val="000000" w:themeColor="text1"/>
          <w:sz w:val="24"/>
        </w:rPr>
        <w:br w:type="page"/>
      </w:r>
      <w:r w:rsidR="00065C53" w:rsidRPr="00E224E9">
        <w:rPr>
          <w:rFonts w:ascii="標楷體" w:hAnsi="標楷體"/>
          <w:color w:val="000000" w:themeColor="text1"/>
          <w:sz w:val="24"/>
        </w:rPr>
        <w:lastRenderedPageBreak/>
        <w:t>不動產受益證券（REAT）係數計算公式如下：</w:t>
      </w:r>
    </w:p>
    <w:p w14:paraId="56AD33E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Step1：計算證券化前之風險總額（R1）</w:t>
      </w:r>
    </w:p>
    <w:p w14:paraId="4DAC952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Step2：計算調整流動性風險後之風險總額（R2）</w:t>
      </w:r>
    </w:p>
    <w:p w14:paraId="70E4005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 xml:space="preserve">       R2＝R1＊K</w:t>
      </w:r>
    </w:p>
    <w:p w14:paraId="75EEFD3F" w14:textId="77777777" w:rsidR="00065C53" w:rsidRPr="00E224E9" w:rsidRDefault="00065C53">
      <w:pPr>
        <w:spacing w:line="440" w:lineRule="exact"/>
        <w:ind w:firstLineChars="350" w:firstLine="840"/>
        <w:jc w:val="both"/>
        <w:rPr>
          <w:rFonts w:ascii="標楷體" w:hAnsi="標楷體"/>
          <w:color w:val="000000" w:themeColor="text1"/>
          <w:sz w:val="24"/>
        </w:rPr>
      </w:pPr>
      <w:r w:rsidRPr="00E224E9">
        <w:rPr>
          <w:rFonts w:ascii="標楷體" w:hAnsi="標楷體"/>
          <w:color w:val="000000" w:themeColor="text1"/>
          <w:sz w:val="24"/>
        </w:rPr>
        <w:t>K＝流動性風險調整係數＝0.9</w:t>
      </w:r>
    </w:p>
    <w:p w14:paraId="6C7657B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Step3：證券化後之風險總額 (R3)</w:t>
      </w:r>
    </w:p>
    <w:p w14:paraId="130EFA3E" w14:textId="77777777" w:rsidR="00065C53" w:rsidRPr="00E224E9" w:rsidRDefault="007F4F1E">
      <w:pPr>
        <w:spacing w:line="440" w:lineRule="exact"/>
        <w:jc w:val="both"/>
        <w:rPr>
          <w:rFonts w:ascii="標楷體" w:hAnsi="標楷體"/>
          <w:color w:val="000000" w:themeColor="text1"/>
          <w:sz w:val="24"/>
        </w:rPr>
      </w:pPr>
      <w:r>
        <w:rPr>
          <w:rFonts w:ascii="標楷體" w:hAnsi="標楷體"/>
          <w:noProof/>
          <w:color w:val="000000" w:themeColor="text1"/>
          <w:sz w:val="24"/>
        </w:rPr>
        <w:object w:dxaOrig="1440" w:dyaOrig="1440" w14:anchorId="64948854">
          <v:shape id="_x0000_s2064" type="#_x0000_t75" style="position:absolute;left:0;text-align:left;margin-left:45pt;margin-top:60pt;width:423pt;height:52pt;z-index:251656192;mso-wrap-distance-left:0;mso-wrap-distance-right:0" fillcolor="#ffc">
            <v:imagedata r:id="rId26" o:title=""/>
            <v:shadow color="white"/>
          </v:shape>
          <o:OLEObject Type="Embed" ProgID="Equation.3" ShapeID="_x0000_s2064" DrawAspect="Content" ObjectID="_1814015527" r:id="rId27"/>
        </w:object>
      </w:r>
      <w:r>
        <w:rPr>
          <w:rFonts w:ascii="標楷體" w:hAnsi="標楷體"/>
          <w:noProof/>
          <w:color w:val="000000" w:themeColor="text1"/>
          <w:sz w:val="24"/>
        </w:rPr>
        <w:object w:dxaOrig="1440" w:dyaOrig="1440" w14:anchorId="313EFA26">
          <v:shape id="_x0000_s2063" type="#_x0000_t75" style="position:absolute;left:0;text-align:left;margin-left:45pt;margin-top:15pt;width:157.95pt;height:34pt;z-index:251655168;mso-wrap-distance-left:0;mso-wrap-distance-right:0" fillcolor="#ffc">
            <v:imagedata r:id="rId28" o:title=""/>
            <v:shadow color="white"/>
          </v:shape>
          <o:OLEObject Type="Embed" ProgID="Equation.3" ShapeID="_x0000_s2063" DrawAspect="Content" ObjectID="_1814015528" r:id="rId29"/>
        </w:object>
      </w:r>
      <w:r w:rsidR="00065C53" w:rsidRPr="00E224E9">
        <w:rPr>
          <w:rFonts w:ascii="標楷體" w:hAnsi="標楷體"/>
          <w:color w:val="000000" w:themeColor="text1"/>
          <w:sz w:val="24"/>
        </w:rPr>
        <w:t xml:space="preserve">       </w:t>
      </w:r>
    </w:p>
    <w:p w14:paraId="40A2E761" w14:textId="77777777" w:rsidR="00065C53" w:rsidRPr="00E224E9" w:rsidRDefault="00065C53">
      <w:pPr>
        <w:spacing w:line="440" w:lineRule="exact"/>
        <w:jc w:val="both"/>
        <w:rPr>
          <w:rFonts w:ascii="標楷體" w:hAnsi="標楷體"/>
          <w:color w:val="000000" w:themeColor="text1"/>
          <w:sz w:val="24"/>
        </w:rPr>
      </w:pPr>
    </w:p>
    <w:p w14:paraId="44933952" w14:textId="77777777" w:rsidR="00065C53" w:rsidRPr="00E224E9" w:rsidRDefault="00065C53">
      <w:pPr>
        <w:spacing w:line="440" w:lineRule="exact"/>
        <w:jc w:val="both"/>
        <w:rPr>
          <w:rFonts w:ascii="標楷體" w:hAnsi="標楷體"/>
          <w:color w:val="000000" w:themeColor="text1"/>
          <w:sz w:val="24"/>
        </w:rPr>
      </w:pPr>
    </w:p>
    <w:p w14:paraId="5F0AEAC2" w14:textId="77777777" w:rsidR="00065C53" w:rsidRPr="00E224E9" w:rsidRDefault="00065C53">
      <w:pPr>
        <w:spacing w:line="440" w:lineRule="exact"/>
        <w:jc w:val="both"/>
        <w:rPr>
          <w:rFonts w:ascii="標楷體" w:hAnsi="標楷體"/>
          <w:color w:val="000000" w:themeColor="text1"/>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E224E9" w:rsidRPr="00E224E9" w14:paraId="1E488427" w14:textId="77777777">
        <w:trPr>
          <w:trHeight w:val="4836"/>
        </w:trPr>
        <w:tc>
          <w:tcPr>
            <w:tcW w:w="9298" w:type="dxa"/>
          </w:tcPr>
          <w:p w14:paraId="40DD0AD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REAT係數計算範例：</w:t>
            </w:r>
          </w:p>
          <w:p w14:paraId="7AF699D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step1：證券化前，若原資產池總規模為NT 120E，(係數0.0744)</w:t>
            </w:r>
          </w:p>
          <w:p w14:paraId="61780FD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 xml:space="preserve">      ，則R1＝8.928</w:t>
            </w:r>
          </w:p>
          <w:p w14:paraId="5603889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step2：R2＝R1＊K＝8.928＊0.9＝8.0352</w:t>
            </w:r>
          </w:p>
          <w:p w14:paraId="609BBD2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step3：證券化後，假設主順位NT 90E，信評等級 tw A ＋</w:t>
            </w:r>
          </w:p>
          <w:p w14:paraId="51B4792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 xml:space="preserve">      (係數0.0074)次順位為NT 30E，無評等，則次順位之風險係數 </w:t>
            </w:r>
          </w:p>
          <w:p w14:paraId="1397B96A" w14:textId="77777777" w:rsidR="00065C53" w:rsidRPr="00E224E9" w:rsidRDefault="00065C53">
            <w:pPr>
              <w:spacing w:line="440" w:lineRule="exact"/>
              <w:jc w:val="both"/>
              <w:rPr>
                <w:rFonts w:ascii="標楷體" w:hAnsi="標楷體"/>
                <w:color w:val="000000" w:themeColor="text1"/>
                <w:sz w:val="24"/>
              </w:rPr>
            </w:pPr>
          </w:p>
          <w:p w14:paraId="3EB0C37E" w14:textId="77777777" w:rsidR="00065C53" w:rsidRPr="00E224E9" w:rsidRDefault="00B84F99">
            <w:pPr>
              <w:spacing w:line="440" w:lineRule="exact"/>
              <w:jc w:val="both"/>
              <w:rPr>
                <w:rFonts w:ascii="標楷體" w:hAnsi="標楷體"/>
                <w:color w:val="000000" w:themeColor="text1"/>
                <w:sz w:val="24"/>
              </w:rPr>
            </w:pPr>
            <w:bookmarkStart w:id="199" w:name="_Toc121733995"/>
            <w:bookmarkStart w:id="200" w:name="_Toc121734043"/>
            <w:r w:rsidRPr="00E224E9">
              <w:rPr>
                <w:rFonts w:ascii="標楷體" w:hAnsi="標楷體"/>
                <w:noProof/>
                <w:color w:val="000000" w:themeColor="text1"/>
                <w:sz w:val="24"/>
              </w:rPr>
              <mc:AlternateContent>
                <mc:Choice Requires="wps">
                  <w:drawing>
                    <wp:anchor distT="0" distB="0" distL="114300" distR="114300" simplePos="0" relativeHeight="251664384" behindDoc="0" locked="0" layoutInCell="1" allowOverlap="1" wp14:anchorId="7B4E254E" wp14:editId="7FFA188B">
                      <wp:simplePos x="0" y="0"/>
                      <wp:positionH relativeFrom="column">
                        <wp:posOffset>4458970</wp:posOffset>
                      </wp:positionH>
                      <wp:positionV relativeFrom="paragraph">
                        <wp:posOffset>295275</wp:posOffset>
                      </wp:positionV>
                      <wp:extent cx="314325" cy="209550"/>
                      <wp:effectExtent l="381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254E" id="Text Box 31" o:spid="_x0000_s1037" type="#_x0000_t202" style="position:absolute;left:0;text-align:left;margin-left:351.1pt;margin-top:23.25pt;width:24.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" filled="f" stroked="f">
                      <v:textbox inset="2.33681mm,1.1684mm,2.33681mm,1.1684mm">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r w:rsidRPr="00E224E9">
              <w:rPr>
                <w:rFonts w:ascii="標楷體" w:hAnsi="標楷體"/>
                <w:noProof/>
                <w:color w:val="000000" w:themeColor="text1"/>
                <w:sz w:val="24"/>
              </w:rPr>
              <mc:AlternateContent>
                <mc:Choice Requires="wps">
                  <w:drawing>
                    <wp:anchor distT="0" distB="0" distL="114300" distR="114300" simplePos="0" relativeHeight="251663360" behindDoc="0" locked="0" layoutInCell="1" allowOverlap="1" wp14:anchorId="388C8C66" wp14:editId="02F3014C">
                      <wp:simplePos x="0" y="0"/>
                      <wp:positionH relativeFrom="column">
                        <wp:posOffset>4801870</wp:posOffset>
                      </wp:positionH>
                      <wp:positionV relativeFrom="paragraph">
                        <wp:posOffset>295275</wp:posOffset>
                      </wp:positionV>
                      <wp:extent cx="838835" cy="314325"/>
                      <wp:effectExtent l="3810" t="3175"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8C66" id="Text Box 30" o:spid="_x0000_s1038" type="#_x0000_t202" style="position:absolute;left:0;text-align:left;margin-left:378.1pt;margin-top:23.25pt;width:66.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" filled="f" stroked="f">
                      <v:textbox inset="2.33681mm,1.1684mm,2.33681mm,1.1684mm">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E224E9">
              <w:rPr>
                <w:rFonts w:ascii="標楷體" w:hAnsi="標楷體"/>
                <w:noProof/>
                <w:color w:val="000000" w:themeColor="text1"/>
                <w:sz w:val="24"/>
              </w:rPr>
              <mc:AlternateContent>
                <mc:Choice Requires="wps">
                  <w:drawing>
                    <wp:anchor distT="0" distB="0" distL="0" distR="0" simplePos="0" relativeHeight="251662336" behindDoc="0" locked="0" layoutInCell="1" allowOverlap="1" wp14:anchorId="3F8564BA" wp14:editId="7B75FC2D">
                      <wp:simplePos x="0" y="0"/>
                      <wp:positionH relativeFrom="column">
                        <wp:posOffset>344170</wp:posOffset>
                      </wp:positionH>
                      <wp:positionV relativeFrom="paragraph">
                        <wp:posOffset>295275</wp:posOffset>
                      </wp:positionV>
                      <wp:extent cx="539750" cy="336550"/>
                      <wp:effectExtent l="3810" t="3175" r="0" b="31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64BA" id="Rectangle 29" o:spid="_x0000_s1039" style="position:absolute;left:0;text-align:left;margin-left:27.1pt;margin-top:23.25pt;width:42.5pt;height:2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" filled="f" fillcolor="#ffc" stroked="f">
                      <v:textbox inset="2.33681mm,1.1684mm,2.33681mm,1.1684mm">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E224E9">
              <w:rPr>
                <w:rFonts w:ascii="標楷體" w:hAnsi="標楷體"/>
                <w:noProof/>
                <w:color w:val="000000" w:themeColor="text1"/>
                <w:sz w:val="24"/>
              </w:rPr>
              <mc:AlternateContent>
                <mc:Choice Requires="wps">
                  <w:drawing>
                    <wp:anchor distT="0" distB="0" distL="0" distR="0" simplePos="0" relativeHeight="251661312" behindDoc="0" locked="0" layoutInCell="1" allowOverlap="1" wp14:anchorId="78583B90" wp14:editId="6BF1EED5">
                      <wp:simplePos x="0" y="0"/>
                      <wp:positionH relativeFrom="column">
                        <wp:posOffset>2287270</wp:posOffset>
                      </wp:positionH>
                      <wp:positionV relativeFrom="paragraph">
                        <wp:posOffset>523875</wp:posOffset>
                      </wp:positionV>
                      <wp:extent cx="558800" cy="336550"/>
                      <wp:effectExtent l="3810" t="3175" r="0" b="31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3B90" id="Rectangle 28" o:spid="_x0000_s1040" style="position:absolute;left:0;text-align:left;margin-left:180.1pt;margin-top:41.25pt;width:44pt;height:2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" filled="f" fillcolor="#ffc" stroked="f">
                      <v:textbox inset="2.33681mm,1.1684mm,2.33681mm,1.1684mm">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v:textbox>
                    </v:rect>
                  </w:pict>
                </mc:Fallback>
              </mc:AlternateContent>
            </w:r>
            <w:r w:rsidRPr="00E224E9">
              <w:rPr>
                <w:rFonts w:ascii="標楷體" w:hAnsi="標楷體"/>
                <w:b/>
                <w:noProof/>
                <w:color w:val="000000" w:themeColor="text1"/>
                <w:sz w:val="24"/>
              </w:rPr>
              <mc:AlternateContent>
                <mc:Choice Requires="wps">
                  <w:drawing>
                    <wp:anchor distT="0" distB="0" distL="0" distR="0" simplePos="0" relativeHeight="251659264" behindDoc="0" locked="0" layoutInCell="1" allowOverlap="1" wp14:anchorId="3B645465" wp14:editId="130679A4">
                      <wp:simplePos x="0" y="0"/>
                      <wp:positionH relativeFrom="column">
                        <wp:posOffset>1110615</wp:posOffset>
                      </wp:positionH>
                      <wp:positionV relativeFrom="paragraph">
                        <wp:posOffset>132080</wp:posOffset>
                      </wp:positionV>
                      <wp:extent cx="3354070" cy="336550"/>
                      <wp:effectExtent l="0" t="1905" r="0" b="444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45465" id="Rectangle 26" o:spid="_x0000_s1041" style="position:absolute;left:0;text-align:left;margin-left:87.45pt;margin-top:10.4pt;width:264.1pt;height:2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" filled="f" fillcolor="#ffc" stroked="f">
                      <v:textbox inset="2.33681mm,1.1684mm,2.33681mm,1.1684mm">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E224E9">
              <w:rPr>
                <w:rFonts w:ascii="標楷體" w:hAnsi="標楷體"/>
                <w:noProof/>
                <w:color w:val="000000" w:themeColor="text1"/>
                <w:sz w:val="24"/>
              </w:rPr>
              <mc:AlternateContent>
                <mc:Choice Requires="wps">
                  <w:drawing>
                    <wp:anchor distT="0" distB="0" distL="114300" distR="114300" simplePos="0" relativeHeight="251660288" behindDoc="0" locked="0" layoutInCell="1" allowOverlap="1" wp14:anchorId="7A753EF9" wp14:editId="7EFDD1B6">
                      <wp:simplePos x="0" y="0"/>
                      <wp:positionH relativeFrom="column">
                        <wp:posOffset>1029970</wp:posOffset>
                      </wp:positionH>
                      <wp:positionV relativeFrom="paragraph">
                        <wp:posOffset>523875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E50C"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"/>
                  </w:pict>
                </mc:Fallback>
              </mc:AlternateContent>
            </w:r>
            <w:r w:rsidRPr="00E224E9">
              <w:rPr>
                <w:rFonts w:ascii="標楷體" w:hAnsi="標楷體"/>
                <w:noProof/>
                <w:color w:val="000000" w:themeColor="text1"/>
                <w:sz w:val="24"/>
              </w:rPr>
              <mc:AlternateContent>
                <mc:Choice Requires="wps">
                  <w:drawing>
                    <wp:anchor distT="0" distB="0" distL="0" distR="0" simplePos="0" relativeHeight="251658240" behindDoc="0" locked="0" layoutInCell="1" allowOverlap="1" wp14:anchorId="6A632BAD" wp14:editId="798F6FB9">
                      <wp:simplePos x="0" y="0"/>
                      <wp:positionH relativeFrom="column">
                        <wp:posOffset>20320</wp:posOffset>
                      </wp:positionH>
                      <wp:positionV relativeFrom="paragraph">
                        <wp:posOffset>66675</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00E49C" id="Rectangle 25" o:spid="_x0000_s1026" style="position:absolute;margin-left:1.6pt;margin-top:5.25pt;width:451.2pt;height:60.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" filled="f" fillcolor="#ffc" strokecolor="blue" strokeweight="3pt">
                      <v:stroke dashstyle="1 1"/>
                      <v:shadow color="white"/>
                    </v:rect>
                  </w:pict>
                </mc:Fallback>
              </mc:AlternateContent>
            </w:r>
            <w:bookmarkEnd w:id="199"/>
            <w:bookmarkEnd w:id="200"/>
          </w:p>
        </w:tc>
      </w:tr>
    </w:tbl>
    <w:p w14:paraId="5F029BAA" w14:textId="77777777" w:rsidR="00065C53" w:rsidRPr="00E224E9" w:rsidRDefault="00065C53">
      <w:pPr>
        <w:spacing w:line="440" w:lineRule="exact"/>
        <w:jc w:val="both"/>
        <w:rPr>
          <w:rFonts w:ascii="標楷體" w:hAnsi="標楷體"/>
          <w:color w:val="000000" w:themeColor="text1"/>
        </w:rPr>
      </w:pPr>
    </w:p>
    <w:p w14:paraId="021ABE40" w14:textId="77777777" w:rsidR="00065C53" w:rsidRPr="00E224E9" w:rsidRDefault="00065C53">
      <w:pPr>
        <w:spacing w:line="440" w:lineRule="exact"/>
        <w:jc w:val="both"/>
        <w:rPr>
          <w:rFonts w:ascii="標楷體" w:hAnsi="標楷體"/>
          <w:color w:val="000000" w:themeColor="text1"/>
        </w:rPr>
      </w:pPr>
    </w:p>
    <w:p w14:paraId="57014988" w14:textId="77777777" w:rsidR="00065C53" w:rsidRPr="00E224E9" w:rsidRDefault="00AB5E1A">
      <w:pPr>
        <w:pStyle w:val="1"/>
        <w:spacing w:afterLines="0" w:line="440" w:lineRule="exact"/>
        <w:jc w:val="both"/>
        <w:rPr>
          <w:color w:val="000000" w:themeColor="text1"/>
        </w:rPr>
      </w:pPr>
      <w:bookmarkStart w:id="201" w:name="_Toc219262270"/>
      <w:r w:rsidRPr="00E224E9">
        <w:rPr>
          <w:color w:val="000000" w:themeColor="text1"/>
        </w:rPr>
        <w:br w:type="page"/>
      </w:r>
      <w:bookmarkStart w:id="202" w:name="_Toc200468577"/>
      <w:r w:rsidR="00065C53" w:rsidRPr="00E224E9">
        <w:rPr>
          <w:rFonts w:hint="eastAsia"/>
          <w:color w:val="000000" w:themeColor="text1"/>
        </w:rPr>
        <w:lastRenderedPageBreak/>
        <w:t>表30-16：國外借券再投資風險資本額計算表</w:t>
      </w:r>
      <w:bookmarkEnd w:id="201"/>
      <w:bookmarkEnd w:id="202"/>
    </w:p>
    <w:p w14:paraId="676ECDA8" w14:textId="77777777" w:rsidR="00065C53" w:rsidRPr="00E224E9" w:rsidRDefault="00065C53" w:rsidP="00AB5E1A">
      <w:pPr>
        <w:spacing w:line="440" w:lineRule="exact"/>
        <w:jc w:val="both"/>
        <w:rPr>
          <w:rFonts w:ascii="標楷體" w:hAnsi="標楷體"/>
          <w:color w:val="000000" w:themeColor="text1"/>
        </w:rPr>
      </w:pPr>
      <w:r w:rsidRPr="00E224E9">
        <w:rPr>
          <w:rFonts w:ascii="標楷體" w:hAnsi="標楷體" w:hint="eastAsia"/>
          <w:color w:val="000000" w:themeColor="text1"/>
          <w:sz w:val="24"/>
        </w:rPr>
        <w:t>本表僅供填報國外借券再投資明細，暫不作風險資本額之計算。</w:t>
      </w:r>
    </w:p>
    <w:p w14:paraId="20D4A26A" w14:textId="77777777" w:rsidR="00065C53" w:rsidRPr="00E224E9" w:rsidRDefault="00065C53" w:rsidP="00C32AAC">
      <w:pPr>
        <w:pStyle w:val="1"/>
        <w:spacing w:after="120"/>
        <w:rPr>
          <w:color w:val="000000" w:themeColor="text1"/>
        </w:rPr>
      </w:pPr>
      <w:r w:rsidRPr="00E224E9">
        <w:rPr>
          <w:color w:val="000000" w:themeColor="text1"/>
        </w:rPr>
        <w:br w:type="page"/>
      </w:r>
      <w:bookmarkStart w:id="203" w:name="_Toc219262271"/>
      <w:bookmarkStart w:id="204" w:name="_Toc200468578"/>
      <w:r w:rsidRPr="00E224E9">
        <w:rPr>
          <w:rFonts w:hint="eastAsia"/>
          <w:color w:val="000000" w:themeColor="text1"/>
        </w:rPr>
        <w:lastRenderedPageBreak/>
        <w:t>附錄一：保險業計算資本適足率之資產認許標準及評價原則</w:t>
      </w:r>
      <w:bookmarkEnd w:id="203"/>
      <w:bookmarkEnd w:id="204"/>
    </w:p>
    <w:p w14:paraId="18678411" w14:textId="77777777" w:rsidR="00065C53" w:rsidRPr="00E224E9" w:rsidRDefault="00065C53">
      <w:pPr>
        <w:pStyle w:val="Web"/>
        <w:spacing w:before="0" w:beforeAutospacing="0" w:after="0" w:afterAutospacing="0" w:line="440" w:lineRule="exact"/>
        <w:jc w:val="both"/>
        <w:rPr>
          <w:rFonts w:ascii="標楷體" w:hAnsi="標楷體"/>
          <w:b/>
          <w:bCs/>
          <w:color w:val="000000" w:themeColor="text1"/>
          <w:sz w:val="36"/>
          <w:szCs w:val="20"/>
        </w:rPr>
      </w:pPr>
    </w:p>
    <w:p w14:paraId="5642458F"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一、</w:t>
      </w:r>
      <w:r w:rsidRPr="00E224E9">
        <w:rPr>
          <w:rFonts w:hAnsi="標楷體" w:cs="Times New Roman"/>
          <w:color w:val="000000" w:themeColor="text1"/>
          <w:sz w:val="24"/>
          <w:szCs w:val="24"/>
        </w:rPr>
        <w:t>保險業認許資產之標準及評價，依本原則之規定，本原則未規定者，依有關法令及一般公認會計原則規定。</w:t>
      </w:r>
    </w:p>
    <w:p w14:paraId="4773606E" w14:textId="77777777" w:rsidR="00D8014A" w:rsidRPr="00E224E9" w:rsidRDefault="00D8014A" w:rsidP="00F3152E">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前項所稱一般公認會計原則，係指經金融監督管理委員會認可之國際財務報導準則、國際會計準則、解釋及解釋公告。</w:t>
      </w:r>
    </w:p>
    <w:p w14:paraId="304741DD"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p>
    <w:p w14:paraId="38B69653"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二、</w:t>
      </w:r>
      <w:r w:rsidRPr="00E224E9">
        <w:rPr>
          <w:rFonts w:hAnsi="標楷體" w:cs="Times New Roman"/>
          <w:color w:val="000000" w:themeColor="text1"/>
          <w:sz w:val="24"/>
          <w:szCs w:val="24"/>
        </w:rPr>
        <w:t>保險業認許資產之評價，指主管機關為確保保險業之清償能力及資本適足性，對其資產變現能力之評估。</w:t>
      </w:r>
    </w:p>
    <w:p w14:paraId="4FB1BC3A"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p>
    <w:p w14:paraId="708EE13F"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三、未上市、未上櫃之股票，以該發行股票公司每股淨值與帳面金額孰低評價。</w:t>
      </w:r>
    </w:p>
    <w:p w14:paraId="34642878" w14:textId="77777777" w:rsidR="00065C53" w:rsidRPr="00E224E9" w:rsidRDefault="00065C53">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以未上市、未上櫃股票為質之放款，其授信金額逾該質押股票以每股淨值計算之金額，屬非認許資產。</w:t>
      </w:r>
    </w:p>
    <w:p w14:paraId="017163BB" w14:textId="77777777" w:rsidR="00065C53" w:rsidRPr="00E224E9" w:rsidRDefault="00065C53">
      <w:pPr>
        <w:pStyle w:val="af3"/>
        <w:spacing w:line="440" w:lineRule="exact"/>
        <w:ind w:left="520"/>
        <w:rPr>
          <w:rFonts w:hAnsi="標楷體" w:cs="Times New Roman"/>
          <w:color w:val="000000" w:themeColor="text1"/>
          <w:szCs w:val="24"/>
        </w:rPr>
      </w:pPr>
    </w:p>
    <w:p w14:paraId="760BB221" w14:textId="77777777" w:rsidR="00065C53" w:rsidRPr="00E224E9" w:rsidRDefault="00065C53">
      <w:pPr>
        <w:pStyle w:val="af2"/>
        <w:spacing w:line="440" w:lineRule="exact"/>
        <w:ind w:left="485" w:hanging="485"/>
        <w:jc w:val="both"/>
        <w:rPr>
          <w:rFonts w:ascii="Book Antiqua" w:eastAsia="華康仿宋體W6" w:hAnsi="Book Antiqua" w:cs="Times New Roman"/>
          <w:color w:val="000000" w:themeColor="text1"/>
          <w:sz w:val="24"/>
          <w:szCs w:val="24"/>
        </w:rPr>
      </w:pPr>
      <w:r w:rsidRPr="00E224E9">
        <w:rPr>
          <w:rFonts w:hAnsi="標楷體" w:cs="Times New Roman" w:hint="eastAsia"/>
          <w:color w:val="000000" w:themeColor="text1"/>
          <w:sz w:val="24"/>
          <w:szCs w:val="24"/>
        </w:rPr>
        <w:t>四、債券投資，以其攤銷後成本評價。</w:t>
      </w:r>
    </w:p>
    <w:p w14:paraId="39BD9AD8"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p>
    <w:p w14:paraId="39EA236A" w14:textId="45C9B196"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五、應收款項，</w:t>
      </w:r>
      <w:r w:rsidR="007B30AC" w:rsidRPr="00E224E9">
        <w:rPr>
          <w:rFonts w:hAnsi="標楷體" w:cs="Times New Roman" w:hint="eastAsia"/>
          <w:color w:val="000000" w:themeColor="text1"/>
          <w:sz w:val="24"/>
          <w:szCs w:val="24"/>
        </w:rPr>
        <w:t>除主管機關另有規定者外</w:t>
      </w:r>
      <w:r w:rsidRPr="00E224E9">
        <w:rPr>
          <w:rFonts w:hAnsi="標楷體" w:cs="Times New Roman" w:hint="eastAsia"/>
          <w:color w:val="000000" w:themeColor="text1"/>
          <w:sz w:val="24"/>
          <w:szCs w:val="24"/>
        </w:rPr>
        <w:t>，</w:t>
      </w:r>
      <w:r w:rsidR="00C06472" w:rsidRPr="00E224E9">
        <w:rPr>
          <w:rFonts w:hAnsi="標楷體" w:cs="Times New Roman" w:hint="eastAsia"/>
          <w:color w:val="000000" w:themeColor="text1"/>
          <w:sz w:val="24"/>
          <w:szCs w:val="24"/>
        </w:rPr>
        <w:t>有下列情事者，</w:t>
      </w:r>
      <w:r w:rsidRPr="00E224E9">
        <w:rPr>
          <w:rFonts w:hAnsi="標楷體" w:cs="Times New Roman" w:hint="eastAsia"/>
          <w:color w:val="000000" w:themeColor="text1"/>
          <w:sz w:val="24"/>
          <w:szCs w:val="24"/>
        </w:rPr>
        <w:t>屬非認許資產：</w:t>
      </w:r>
    </w:p>
    <w:p w14:paraId="665D7644"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（一）應收票據到期日逾評價基準日三個月以上者，應收保費逾保單生效日三個月以上者，其他應收款逾入帳日三個月以上者。</w:t>
      </w:r>
    </w:p>
    <w:p w14:paraId="2A8F09F6"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（二）約定分期交付保險費之應收票據或應收保費，逾分期保險費繳付日三個月以上者。</w:t>
      </w:r>
      <w:r w:rsidRPr="00E224E9">
        <w:rPr>
          <w:rFonts w:hAnsi="標楷體" w:cs="Times New Roman"/>
          <w:color w:val="000000" w:themeColor="text1"/>
          <w:szCs w:val="24"/>
        </w:rPr>
        <w:t xml:space="preserve"> </w:t>
      </w:r>
    </w:p>
    <w:p w14:paraId="4C7DF47D"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（三）應收收益除壽險貸款及墊繳保費之應收利息外，逾契約收款日三個月以上者。</w:t>
      </w:r>
    </w:p>
    <w:p w14:paraId="17193C40"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（四）應收票據，到期未兌現者。</w:t>
      </w:r>
      <w:r w:rsidRPr="00E224E9">
        <w:rPr>
          <w:rFonts w:hAnsi="標楷體" w:cs="Times New Roman"/>
          <w:color w:val="000000" w:themeColor="text1"/>
          <w:szCs w:val="24"/>
        </w:rPr>
        <w:t xml:space="preserve"> </w:t>
      </w:r>
    </w:p>
    <w:p w14:paraId="3E2918C0"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（五）應攤回再保賠款與給付，除再保險契約另有訂定外，逾保險賠款與給付日九個月以上者。</w:t>
      </w:r>
      <w:r w:rsidRPr="00E224E9">
        <w:rPr>
          <w:rFonts w:hAnsi="標楷體" w:cs="Times New Roman"/>
          <w:color w:val="000000" w:themeColor="text1"/>
          <w:szCs w:val="24"/>
        </w:rPr>
        <w:t xml:space="preserve"> </w:t>
      </w:r>
    </w:p>
    <w:p w14:paraId="49A74BC0"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（六）應收再保往來款項，除有足額之擔保品外，逾入帳日九個月以上者。</w:t>
      </w:r>
    </w:p>
    <w:p w14:paraId="3211E1F6" w14:textId="77777777" w:rsidR="00065C53" w:rsidRPr="00E224E9" w:rsidRDefault="00065C53">
      <w:pPr>
        <w:pStyle w:val="af4"/>
        <w:spacing w:line="440" w:lineRule="exact"/>
        <w:ind w:left="1168"/>
        <w:rPr>
          <w:rFonts w:hAnsi="標楷體" w:cs="Times New Roman"/>
          <w:b/>
          <w:color w:val="000000" w:themeColor="text1"/>
          <w:szCs w:val="24"/>
        </w:rPr>
      </w:pPr>
      <w:r w:rsidRPr="00E224E9">
        <w:rPr>
          <w:rFonts w:hAnsi="標楷體" w:cs="Times New Roman" w:hint="eastAsia"/>
          <w:color w:val="000000" w:themeColor="text1"/>
          <w:szCs w:val="24"/>
        </w:rPr>
        <w:t>上列各項應收款項之催收款，除已提供足額擔保者外，屬非認許資產。</w:t>
      </w:r>
    </w:p>
    <w:p w14:paraId="731672B4" w14:textId="77777777" w:rsidR="00065C53" w:rsidRPr="00E224E9" w:rsidRDefault="00065C53">
      <w:pPr>
        <w:pStyle w:val="af4"/>
        <w:spacing w:line="440" w:lineRule="exact"/>
        <w:ind w:left="1168"/>
        <w:rPr>
          <w:rFonts w:hAnsi="標楷體" w:cs="Times New Roman"/>
          <w:color w:val="000000" w:themeColor="text1"/>
          <w:szCs w:val="24"/>
        </w:rPr>
      </w:pPr>
    </w:p>
    <w:p w14:paraId="3F3B6983"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六、暫、預付款項，除暫、預付稅款或購買不動產、電子資料處理設備與電腦軟體外，屬非認許資產。</w:t>
      </w:r>
    </w:p>
    <w:p w14:paraId="654BA5D2"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p>
    <w:p w14:paraId="22256453"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七、擔保放款之催收款項，除已提供足額之擔保者外，屬非認許資產。</w:t>
      </w:r>
    </w:p>
    <w:p w14:paraId="0F86815F"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p>
    <w:p w14:paraId="361DDC59"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八、無經濟效益之土地屬非認許資產，無法獨立使用之土地，倘取得鑑價機構對其土地之鑑價報告，鑑定價值低於成本者，其差額部分，屬非認許資產。</w:t>
      </w:r>
    </w:p>
    <w:p w14:paraId="329B1D12" w14:textId="77777777" w:rsidR="00065C53" w:rsidRPr="00E224E9" w:rsidRDefault="00065C53">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不動產以外之固定資產，除電子資料處理設備與電腦軟體外，屬非認許資產</w:t>
      </w:r>
      <w:r w:rsidR="00670605" w:rsidRPr="00E224E9">
        <w:rPr>
          <w:rFonts w:hAnsi="標楷體" w:cs="Times New Roman" w:hint="eastAsia"/>
          <w:color w:val="000000" w:themeColor="text1"/>
          <w:szCs w:val="24"/>
        </w:rPr>
        <w:t>；無形資產除電腦軟體外，屬非認許資產</w:t>
      </w:r>
      <w:r w:rsidRPr="00E224E9">
        <w:rPr>
          <w:rFonts w:hAnsi="標楷體" w:cs="Times New Roman" w:hint="eastAsia"/>
          <w:color w:val="000000" w:themeColor="text1"/>
          <w:szCs w:val="24"/>
        </w:rPr>
        <w:t>。</w:t>
      </w:r>
    </w:p>
    <w:p w14:paraId="03B7141C" w14:textId="49CEB5BB" w:rsidR="00C279D1" w:rsidRPr="00E224E9" w:rsidRDefault="00065C53" w:rsidP="00C279D1">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14:paraId="218B1E1C" w14:textId="77777777" w:rsidR="00065C53" w:rsidRPr="00E224E9" w:rsidRDefault="00C279D1" w:rsidP="00C279D1">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保險業對不動產之投資，以所投資不動產即時利用並有收益者為限</w:t>
      </w:r>
    </w:p>
    <w:p w14:paraId="710EEAE4" w14:textId="77777777" w:rsidR="00065C53" w:rsidRPr="00E224E9" w:rsidRDefault="00065C53">
      <w:pPr>
        <w:pStyle w:val="af3"/>
        <w:spacing w:line="440" w:lineRule="exact"/>
        <w:ind w:left="520"/>
        <w:rPr>
          <w:rFonts w:hAnsi="標楷體" w:cs="Times New Roman"/>
          <w:color w:val="000000" w:themeColor="text1"/>
          <w:szCs w:val="24"/>
        </w:rPr>
      </w:pPr>
    </w:p>
    <w:p w14:paraId="64561B0C" w14:textId="77777777" w:rsidR="0009720E"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九、遞延借項屬非認許資產</w:t>
      </w:r>
      <w:r w:rsidR="0009720E" w:rsidRPr="00E224E9">
        <w:rPr>
          <w:rFonts w:hAnsi="標楷體" w:cs="Times New Roman" w:hint="eastAsia"/>
          <w:color w:val="000000" w:themeColor="text1"/>
          <w:sz w:val="24"/>
          <w:szCs w:val="24"/>
        </w:rPr>
        <w:t>。</w:t>
      </w:r>
    </w:p>
    <w:p w14:paraId="56587CB1" w14:textId="77777777" w:rsidR="00065C53" w:rsidRPr="00E224E9" w:rsidRDefault="0009720E">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 xml:space="preserve">    </w:t>
      </w:r>
      <w:r w:rsidR="00065C53" w:rsidRPr="00E224E9">
        <w:rPr>
          <w:rFonts w:hAnsi="標楷體" w:cs="Times New Roman" w:hint="eastAsia"/>
          <w:color w:val="000000" w:themeColor="text1"/>
          <w:sz w:val="24"/>
          <w:szCs w:val="24"/>
        </w:rPr>
        <w:t>遞延所得稅資產</w:t>
      </w:r>
      <w:r w:rsidRPr="00E224E9">
        <w:rPr>
          <w:rFonts w:hAnsi="標楷體" w:cs="Times New Roman" w:hint="eastAsia"/>
          <w:color w:val="000000" w:themeColor="text1"/>
          <w:sz w:val="24"/>
          <w:szCs w:val="24"/>
        </w:rPr>
        <w:t>與</w:t>
      </w:r>
      <w:r w:rsidR="00065C53" w:rsidRPr="00E224E9">
        <w:rPr>
          <w:rFonts w:hAnsi="標楷體" w:cs="Times New Roman" w:hint="eastAsia"/>
          <w:color w:val="000000" w:themeColor="text1"/>
          <w:sz w:val="24"/>
          <w:szCs w:val="24"/>
        </w:rPr>
        <w:t>遞延所得稅負債</w:t>
      </w:r>
      <w:r w:rsidRPr="00E224E9">
        <w:rPr>
          <w:rFonts w:hAnsi="標楷體" w:cs="Times New Roman" w:hint="eastAsia"/>
          <w:color w:val="000000" w:themeColor="text1"/>
          <w:sz w:val="24"/>
          <w:szCs w:val="24"/>
        </w:rPr>
        <w:t>相互抵銷後之淨額，</w:t>
      </w:r>
      <w:r w:rsidR="00065C53" w:rsidRPr="00E224E9">
        <w:rPr>
          <w:rFonts w:hAnsi="標楷體" w:cs="Times New Roman" w:hint="eastAsia"/>
          <w:color w:val="000000" w:themeColor="text1"/>
          <w:sz w:val="24"/>
          <w:szCs w:val="24"/>
        </w:rPr>
        <w:t>認列為認許資產</w:t>
      </w:r>
      <w:r w:rsidRPr="00E224E9">
        <w:rPr>
          <w:rFonts w:hAnsi="標楷體" w:cs="Times New Roman" w:hint="eastAsia"/>
          <w:color w:val="000000" w:themeColor="text1"/>
          <w:sz w:val="24"/>
          <w:szCs w:val="24"/>
        </w:rPr>
        <w:t>或負債</w:t>
      </w:r>
      <w:r w:rsidR="00065C53" w:rsidRPr="00E224E9">
        <w:rPr>
          <w:rFonts w:hAnsi="標楷體" w:cs="Times New Roman" w:hint="eastAsia"/>
          <w:color w:val="000000" w:themeColor="text1"/>
          <w:sz w:val="24"/>
          <w:szCs w:val="24"/>
        </w:rPr>
        <w:t>。</w:t>
      </w:r>
    </w:p>
    <w:p w14:paraId="1BB46A45" w14:textId="2BBEF13F" w:rsidR="00065C53" w:rsidRPr="00E224E9" w:rsidRDefault="00065C53">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r w:rsidR="000A4A13" w:rsidRPr="00E224E9">
        <w:rPr>
          <w:rFonts w:hAnsi="標楷體" w:cs="Times New Roman" w:hint="eastAsia"/>
          <w:color w:val="000000" w:themeColor="text1"/>
          <w:szCs w:val="24"/>
        </w:rPr>
        <w:t>惟因「法定傳染病」保單所致損失產生之遞延所得稅資產，其金額經公司簽證會計師簽證可於未來</w:t>
      </w:r>
      <w:r w:rsidR="000A4A13" w:rsidRPr="00E224E9">
        <w:rPr>
          <w:rFonts w:hAnsi="標楷體" w:cs="Times New Roman"/>
          <w:color w:val="000000" w:themeColor="text1"/>
          <w:szCs w:val="24"/>
        </w:rPr>
        <w:t>10年實現者，依</w:t>
      </w:r>
      <w:r w:rsidR="00D62A99" w:rsidRPr="00E224E9">
        <w:rPr>
          <w:rFonts w:hAnsi="標楷體" w:cs="Times New Roman" w:hint="eastAsia"/>
          <w:color w:val="000000" w:themeColor="text1"/>
          <w:szCs w:val="24"/>
        </w:rPr>
        <w:t>金管保財字第11104627911號</w:t>
      </w:r>
      <w:r w:rsidR="000A4A13" w:rsidRPr="00E224E9">
        <w:rPr>
          <w:rFonts w:hAnsi="標楷體" w:cs="Times New Roman"/>
          <w:color w:val="000000" w:themeColor="text1"/>
          <w:szCs w:val="24"/>
        </w:rPr>
        <w:t>函，得全額認列為認許資產。</w:t>
      </w:r>
    </w:p>
    <w:p w14:paraId="735D95FB" w14:textId="77777777" w:rsidR="00065C53" w:rsidRPr="00E224E9" w:rsidRDefault="00352E76">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以上第二、三項之遞延所得</w:t>
      </w:r>
      <w:r w:rsidR="006D173A" w:rsidRPr="00E224E9">
        <w:rPr>
          <w:rFonts w:hAnsi="標楷體" w:cs="Times New Roman" w:hint="eastAsia"/>
          <w:color w:val="000000" w:themeColor="text1"/>
          <w:szCs w:val="24"/>
        </w:rPr>
        <w:t>稅</w:t>
      </w:r>
      <w:r w:rsidRPr="00E224E9">
        <w:rPr>
          <w:rFonts w:hAnsi="標楷體" w:cs="Times New Roman" w:hint="eastAsia"/>
          <w:color w:val="000000" w:themeColor="text1"/>
          <w:szCs w:val="24"/>
        </w:rPr>
        <w:t>負債不含土地增值稅準備。</w:t>
      </w:r>
    </w:p>
    <w:p w14:paraId="684FB1DF" w14:textId="77777777" w:rsidR="00352E76" w:rsidRPr="00E224E9" w:rsidRDefault="00352E76">
      <w:pPr>
        <w:pStyle w:val="af3"/>
        <w:spacing w:line="440" w:lineRule="exact"/>
        <w:ind w:left="520"/>
        <w:rPr>
          <w:rFonts w:hAnsi="標楷體" w:cs="Times New Roman"/>
          <w:color w:val="000000" w:themeColor="text1"/>
          <w:szCs w:val="24"/>
        </w:rPr>
      </w:pPr>
    </w:p>
    <w:p w14:paraId="5467A33C"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十、其他資產之認許，依下列各款：</w:t>
      </w:r>
    </w:p>
    <w:p w14:paraId="26EE0BDE"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（一）存出保證金依其內容，準用本原則相關規定。</w:t>
      </w:r>
    </w:p>
    <w:p w14:paraId="1549F9AD"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（二）存出再保責任準備金，逾再保險契約收款日之期限六個月以上者，屬非認許資產。</w:t>
      </w:r>
    </w:p>
    <w:p w14:paraId="51FC13E6" w14:textId="77777777" w:rsidR="00F51D78" w:rsidRPr="00E224E9" w:rsidRDefault="00F51D78">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（三）使用權資產依其內容，準用本原則相關規定。</w:t>
      </w:r>
    </w:p>
    <w:p w14:paraId="4E944548" w14:textId="77777777" w:rsidR="00065C53" w:rsidRPr="00E224E9" w:rsidRDefault="00F51D78">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（四</w:t>
      </w:r>
      <w:r w:rsidR="00065C53" w:rsidRPr="00E224E9">
        <w:rPr>
          <w:rFonts w:hAnsi="標楷體" w:cs="Times New Roman" w:hint="eastAsia"/>
          <w:color w:val="000000" w:themeColor="text1"/>
          <w:szCs w:val="24"/>
        </w:rPr>
        <w:t>）其他什項資產，屬非認許資產。</w:t>
      </w:r>
    </w:p>
    <w:p w14:paraId="2932B61F" w14:textId="77777777" w:rsidR="00065C53" w:rsidRPr="00E224E9" w:rsidRDefault="00065C53">
      <w:pPr>
        <w:pStyle w:val="af4"/>
        <w:spacing w:line="440" w:lineRule="exact"/>
        <w:ind w:left="1168"/>
        <w:rPr>
          <w:rFonts w:hAnsi="標楷體" w:cs="Times New Roman"/>
          <w:color w:val="000000" w:themeColor="text1"/>
          <w:szCs w:val="24"/>
        </w:rPr>
      </w:pPr>
    </w:p>
    <w:p w14:paraId="19818A5F" w14:textId="77777777" w:rsidR="00065C53" w:rsidRPr="00E224E9" w:rsidRDefault="00065C53">
      <w:pPr>
        <w:pStyle w:val="af2"/>
        <w:spacing w:line="440" w:lineRule="exact"/>
        <w:ind w:left="720" w:hangingChars="300" w:hanging="720"/>
        <w:jc w:val="both"/>
        <w:rPr>
          <w:rFonts w:hAnsi="標楷體" w:cs="Times New Roman"/>
          <w:color w:val="000000" w:themeColor="text1"/>
          <w:sz w:val="24"/>
          <w:szCs w:val="24"/>
        </w:rPr>
      </w:pPr>
      <w:r w:rsidRPr="00E224E9">
        <w:rPr>
          <w:rFonts w:hAnsi="標楷體" w:cs="Times New Roman" w:hint="eastAsia"/>
          <w:color w:val="000000" w:themeColor="text1"/>
          <w:sz w:val="24"/>
          <w:szCs w:val="24"/>
        </w:rPr>
        <w:t>十一、</w:t>
      </w:r>
      <w:r w:rsidRPr="00E224E9">
        <w:rPr>
          <w:rFonts w:hAnsi="標楷體" w:cs="Times New Roman"/>
          <w:color w:val="000000" w:themeColor="text1"/>
          <w:sz w:val="24"/>
          <w:szCs w:val="24"/>
        </w:rPr>
        <w:t>保險業之各項資產，於受存單位有財務危機、債信發生問題，或有充分之證據顯示資產價值已減損時，其減損部分，屬非認許資產。</w:t>
      </w:r>
      <w:r w:rsidR="00760E8F" w:rsidRPr="00E224E9">
        <w:rPr>
          <w:rFonts w:hAnsi="標楷體" w:cs="Times New Roman" w:hint="eastAsia"/>
          <w:color w:val="000000" w:themeColor="text1"/>
          <w:sz w:val="24"/>
          <w:szCs w:val="24"/>
        </w:rPr>
        <w:t>(所稱減損包含所有依一般公認會計原則規定因減損認列之備抵損失、累計減損及其他綜合損失)。</w:t>
      </w:r>
    </w:p>
    <w:p w14:paraId="19A62074"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p>
    <w:p w14:paraId="1537AFA0" w14:textId="77777777" w:rsidR="005B5E0A" w:rsidRPr="00E224E9" w:rsidRDefault="00065C53">
      <w:pPr>
        <w:pStyle w:val="af2"/>
        <w:spacing w:line="440" w:lineRule="exact"/>
        <w:ind w:left="720" w:hangingChars="300" w:hanging="720"/>
        <w:jc w:val="both"/>
        <w:rPr>
          <w:rFonts w:hAnsi="標楷體" w:cs="Times New Roman"/>
          <w:color w:val="000000" w:themeColor="text1"/>
          <w:sz w:val="24"/>
          <w:szCs w:val="24"/>
        </w:rPr>
      </w:pPr>
      <w:r w:rsidRPr="00E224E9">
        <w:rPr>
          <w:rFonts w:hAnsi="標楷體" w:cs="Times New Roman"/>
          <w:color w:val="000000" w:themeColor="text1"/>
          <w:sz w:val="24"/>
          <w:szCs w:val="24"/>
        </w:rPr>
        <w:t>十</w:t>
      </w:r>
      <w:r w:rsidRPr="00E224E9">
        <w:rPr>
          <w:rFonts w:hAnsi="標楷體" w:cs="Times New Roman" w:hint="eastAsia"/>
          <w:color w:val="000000" w:themeColor="text1"/>
          <w:sz w:val="24"/>
          <w:szCs w:val="24"/>
        </w:rPr>
        <w:t>二</w:t>
      </w:r>
      <w:r w:rsidRPr="00E224E9">
        <w:rPr>
          <w:rFonts w:hAnsi="標楷體" w:cs="Times New Roman"/>
          <w:color w:val="000000" w:themeColor="text1"/>
          <w:sz w:val="24"/>
          <w:szCs w:val="24"/>
        </w:rPr>
        <w:t>、主管機關得視情況需要，令保險業取得鑑價機構對其資產之鑑價報告，鑑定價值較帳面價值為低者，以鑑定價值評價，其鑑價費用，由保險業負擔之。</w:t>
      </w:r>
    </w:p>
    <w:p w14:paraId="14594A6B" w14:textId="77777777" w:rsidR="005B5E0A" w:rsidRPr="00E224E9" w:rsidRDefault="005B5E0A" w:rsidP="005926E0">
      <w:pPr>
        <w:pStyle w:val="af2"/>
        <w:spacing w:line="440" w:lineRule="exact"/>
        <w:ind w:left="720" w:hangingChars="300" w:hanging="720"/>
        <w:jc w:val="both"/>
        <w:rPr>
          <w:rFonts w:hAnsi="Book Antiqua"/>
          <w:color w:val="000000" w:themeColor="text1"/>
        </w:rPr>
      </w:pPr>
      <w:r w:rsidRPr="00E224E9">
        <w:rPr>
          <w:rFonts w:hAnsi="標楷體" w:cs="Times New Roman"/>
          <w:color w:val="000000" w:themeColor="text1"/>
          <w:sz w:val="24"/>
          <w:szCs w:val="24"/>
        </w:rPr>
        <w:br w:type="page"/>
      </w:r>
      <w:bookmarkStart w:id="205" w:name="_Toc467170681"/>
      <w:r w:rsidRPr="00E224E9">
        <w:rPr>
          <w:color w:val="000000" w:themeColor="text1"/>
        </w:rPr>
        <w:lastRenderedPageBreak/>
        <w:t>附錄</w:t>
      </w:r>
      <w:r w:rsidRPr="00E224E9">
        <w:rPr>
          <w:rFonts w:hint="eastAsia"/>
          <w:color w:val="000000" w:themeColor="text1"/>
        </w:rPr>
        <w:t>二</w:t>
      </w:r>
      <w:r w:rsidRPr="00E224E9">
        <w:rPr>
          <w:color w:val="000000" w:themeColor="text1"/>
        </w:rPr>
        <w:t>：</w:t>
      </w:r>
      <w:r w:rsidRPr="00E224E9">
        <w:rPr>
          <w:rFonts w:hint="eastAsia"/>
          <w:color w:val="000000" w:themeColor="text1"/>
        </w:rPr>
        <w:t>「</w:t>
      </w:r>
      <w:r w:rsidRPr="00E224E9">
        <w:rPr>
          <w:color w:val="000000" w:themeColor="text1"/>
        </w:rPr>
        <w:t>保險業計算</w:t>
      </w:r>
      <w:r w:rsidRPr="00E224E9">
        <w:rPr>
          <w:rFonts w:hint="eastAsia"/>
          <w:color w:val="000000" w:themeColor="text1"/>
        </w:rPr>
        <w:t>自有資本及風險資本之範圍及計算公式」就保險公司合併時相關報表之填報原則</w:t>
      </w:r>
      <w:bookmarkEnd w:id="205"/>
    </w:p>
    <w:p w14:paraId="4088B4AD" w14:textId="77777777" w:rsidR="005B5E0A" w:rsidRPr="00E224E9" w:rsidRDefault="005B5E0A" w:rsidP="005B5E0A">
      <w:pPr>
        <w:pStyle w:val="Web"/>
        <w:spacing w:before="0" w:beforeAutospacing="0" w:after="0" w:afterAutospacing="0" w:line="440" w:lineRule="exact"/>
        <w:jc w:val="center"/>
        <w:rPr>
          <w:rFonts w:ascii="Book Antiqua" w:hAnsi="Book Antiqua"/>
          <w:b/>
          <w:bCs/>
          <w:color w:val="000000" w:themeColor="text1"/>
          <w:sz w:val="24"/>
        </w:rPr>
      </w:pPr>
    </w:p>
    <w:p w14:paraId="57882777" w14:textId="77777777" w:rsidR="005B5E0A" w:rsidRPr="00E224E9" w:rsidRDefault="005B5E0A" w:rsidP="005B5E0A">
      <w:pPr>
        <w:pStyle w:val="af2"/>
        <w:spacing w:line="440" w:lineRule="exact"/>
        <w:ind w:left="2" w:firstLineChars="0" w:hanging="2"/>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9019AC" w:rsidRPr="00E224E9">
        <w:rPr>
          <w:rFonts w:hAnsi="標楷體" w:cs="Times New Roman" w:hint="eastAsia"/>
          <w:color w:val="000000" w:themeColor="text1"/>
          <w:sz w:val="24"/>
          <w:szCs w:val="24"/>
        </w:rPr>
        <w:t>，但承接問題保險公司之合併案不在此限</w:t>
      </w:r>
      <w:r w:rsidRPr="00E224E9">
        <w:rPr>
          <w:rFonts w:hAnsi="標楷體" w:cs="Times New Roman" w:hint="eastAsia"/>
          <w:color w:val="000000" w:themeColor="text1"/>
          <w:sz w:val="24"/>
          <w:szCs w:val="24"/>
        </w:rPr>
        <w:t>。</w:t>
      </w:r>
    </w:p>
    <w:p w14:paraId="1D5ED92C" w14:textId="77777777" w:rsidR="005B5E0A" w:rsidRPr="00E224E9" w:rsidRDefault="005B5E0A" w:rsidP="005B5E0A">
      <w:pPr>
        <w:pStyle w:val="af2"/>
        <w:spacing w:line="440" w:lineRule="exact"/>
        <w:ind w:left="720" w:hangingChars="300" w:hanging="720"/>
        <w:jc w:val="both"/>
        <w:rPr>
          <w:rFonts w:hAnsi="標楷體" w:cs="Times New Roman"/>
          <w:color w:val="000000" w:themeColor="text1"/>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E224E9" w:rsidRPr="00E224E9" w14:paraId="70A7CB84" w14:textId="77777777" w:rsidTr="00A92488">
        <w:tc>
          <w:tcPr>
            <w:tcW w:w="2458" w:type="dxa"/>
            <w:shd w:val="clear" w:color="auto" w:fill="BFBFBF"/>
          </w:tcPr>
          <w:p w14:paraId="5ABE37C3" w14:textId="77777777" w:rsidR="005B5E0A" w:rsidRPr="00E224E9" w:rsidRDefault="005B5E0A" w:rsidP="00A92488">
            <w:pPr>
              <w:pStyle w:val="af2"/>
              <w:spacing w:line="440" w:lineRule="exact"/>
              <w:ind w:left="0" w:firstLineChars="0" w:firstLine="0"/>
              <w:jc w:val="center"/>
              <w:rPr>
                <w:rFonts w:hAnsi="標楷體" w:cs="Times New Roman"/>
                <w:color w:val="000000" w:themeColor="text1"/>
                <w:sz w:val="24"/>
                <w:szCs w:val="24"/>
              </w:rPr>
            </w:pPr>
            <w:r w:rsidRPr="00E224E9">
              <w:rPr>
                <w:rFonts w:hAnsi="標楷體" w:cs="Times New Roman" w:hint="eastAsia"/>
                <w:color w:val="000000" w:themeColor="text1"/>
                <w:sz w:val="24"/>
                <w:szCs w:val="24"/>
              </w:rPr>
              <w:t>填報種類</w:t>
            </w:r>
          </w:p>
        </w:tc>
        <w:tc>
          <w:tcPr>
            <w:tcW w:w="6237" w:type="dxa"/>
            <w:shd w:val="clear" w:color="auto" w:fill="BFBFBF"/>
          </w:tcPr>
          <w:p w14:paraId="4E6E1851" w14:textId="77777777" w:rsidR="005B5E0A" w:rsidRPr="00E224E9" w:rsidRDefault="005B5E0A" w:rsidP="00A92488">
            <w:pPr>
              <w:pStyle w:val="af2"/>
              <w:spacing w:line="440" w:lineRule="exact"/>
              <w:ind w:left="0" w:firstLineChars="0" w:firstLine="0"/>
              <w:jc w:val="center"/>
              <w:rPr>
                <w:rFonts w:hAnsi="標楷體" w:cs="Times New Roman"/>
                <w:color w:val="000000" w:themeColor="text1"/>
                <w:sz w:val="24"/>
                <w:szCs w:val="24"/>
              </w:rPr>
            </w:pPr>
            <w:r w:rsidRPr="00E224E9">
              <w:rPr>
                <w:rFonts w:hAnsi="標楷體" w:cs="Times New Roman" w:hint="eastAsia"/>
                <w:color w:val="000000" w:themeColor="text1"/>
                <w:sz w:val="24"/>
                <w:szCs w:val="24"/>
              </w:rPr>
              <w:t>填報原則</w:t>
            </w:r>
          </w:p>
        </w:tc>
      </w:tr>
      <w:tr w:rsidR="00E224E9" w:rsidRPr="00E224E9" w14:paraId="79A8D218" w14:textId="77777777" w:rsidTr="00A92488">
        <w:tc>
          <w:tcPr>
            <w:tcW w:w="2458" w:type="dxa"/>
            <w:shd w:val="clear" w:color="auto" w:fill="auto"/>
          </w:tcPr>
          <w:p w14:paraId="70377CF6" w14:textId="77777777" w:rsidR="005B5E0A" w:rsidRPr="00E224E9" w:rsidRDefault="005B5E0A" w:rsidP="00A92488">
            <w:pPr>
              <w:pStyle w:val="af2"/>
              <w:spacing w:line="440" w:lineRule="exact"/>
              <w:ind w:left="0" w:firstLineChars="0" w:firstLine="0"/>
              <w:jc w:val="both"/>
              <w:rPr>
                <w:rFonts w:hAnsi="標楷體" w:cs="Times New Roman"/>
                <w:color w:val="000000" w:themeColor="text1"/>
                <w:sz w:val="24"/>
                <w:szCs w:val="24"/>
              </w:rPr>
            </w:pPr>
            <w:r w:rsidRPr="00E224E9">
              <w:rPr>
                <w:rFonts w:hAnsi="標楷體" w:cs="Times New Roman" w:hint="eastAsia"/>
                <w:color w:val="000000" w:themeColor="text1"/>
                <w:sz w:val="24"/>
                <w:szCs w:val="24"/>
              </w:rPr>
              <w:t>財務會計類相關表格</w:t>
            </w:r>
          </w:p>
        </w:tc>
        <w:tc>
          <w:tcPr>
            <w:tcW w:w="6237" w:type="dxa"/>
            <w:shd w:val="clear" w:color="auto" w:fill="auto"/>
          </w:tcPr>
          <w:p w14:paraId="1BC1ECDE" w14:textId="77777777" w:rsidR="005B5E0A" w:rsidRPr="00E224E9" w:rsidRDefault="005B5E0A" w:rsidP="00A92488">
            <w:pPr>
              <w:pStyle w:val="af2"/>
              <w:spacing w:line="440" w:lineRule="exact"/>
              <w:ind w:left="0" w:firstLineChars="0" w:firstLine="0"/>
              <w:jc w:val="both"/>
              <w:rPr>
                <w:rFonts w:hAnsi="標楷體" w:cs="Times New Roman"/>
                <w:color w:val="000000" w:themeColor="text1"/>
                <w:sz w:val="24"/>
                <w:szCs w:val="24"/>
              </w:rPr>
            </w:pPr>
            <w:r w:rsidRPr="00E224E9">
              <w:rPr>
                <w:rFonts w:hAnsi="標楷體" w:cs="Times New Roman" w:hint="eastAsia"/>
                <w:color w:val="000000" w:themeColor="text1"/>
                <w:sz w:val="24"/>
                <w:szCs w:val="24"/>
              </w:rPr>
              <w:t>檢查年報及半年報中相關表格若僅與財務會計資訊相關，應得依保險業財務報告編製準則相關規定辦理。</w:t>
            </w:r>
          </w:p>
        </w:tc>
      </w:tr>
      <w:tr w:rsidR="005B5E0A" w:rsidRPr="00E224E9" w14:paraId="20D4D113" w14:textId="77777777" w:rsidTr="00A92488">
        <w:tc>
          <w:tcPr>
            <w:tcW w:w="2458" w:type="dxa"/>
            <w:shd w:val="clear" w:color="auto" w:fill="auto"/>
          </w:tcPr>
          <w:p w14:paraId="5C90CD91" w14:textId="77777777" w:rsidR="005B5E0A" w:rsidRPr="00E224E9" w:rsidRDefault="005B5E0A" w:rsidP="00A92488">
            <w:pPr>
              <w:pStyle w:val="af2"/>
              <w:spacing w:line="440" w:lineRule="exact"/>
              <w:ind w:left="0" w:firstLineChars="0" w:firstLine="0"/>
              <w:jc w:val="both"/>
              <w:rPr>
                <w:rFonts w:hAnsi="標楷體" w:cs="Times New Roman"/>
                <w:color w:val="000000" w:themeColor="text1"/>
                <w:sz w:val="24"/>
                <w:szCs w:val="24"/>
              </w:rPr>
            </w:pPr>
            <w:r w:rsidRPr="00E224E9">
              <w:rPr>
                <w:rFonts w:hAnsi="標楷體" w:cs="Times New Roman" w:hint="eastAsia"/>
                <w:color w:val="000000" w:themeColor="text1"/>
                <w:sz w:val="24"/>
                <w:szCs w:val="24"/>
              </w:rPr>
              <w:t>風險核算類相關表格</w:t>
            </w:r>
          </w:p>
        </w:tc>
        <w:tc>
          <w:tcPr>
            <w:tcW w:w="6237" w:type="dxa"/>
            <w:shd w:val="clear" w:color="auto" w:fill="auto"/>
          </w:tcPr>
          <w:p w14:paraId="3A2B0E6A" w14:textId="77777777" w:rsidR="005B5E0A" w:rsidRPr="00E224E9" w:rsidRDefault="005B5E0A" w:rsidP="00A92488">
            <w:pPr>
              <w:pStyle w:val="af2"/>
              <w:spacing w:line="440" w:lineRule="exact"/>
              <w:ind w:left="0" w:firstLineChars="0" w:firstLine="0"/>
              <w:jc w:val="both"/>
              <w:rPr>
                <w:rFonts w:hAnsi="標楷體" w:cs="Times New Roman"/>
                <w:color w:val="000000" w:themeColor="text1"/>
                <w:sz w:val="24"/>
                <w:szCs w:val="24"/>
              </w:rPr>
            </w:pPr>
            <w:r w:rsidRPr="00E224E9">
              <w:rPr>
                <w:rFonts w:hAnsi="標楷體" w:cs="Times New Roman" w:hint="eastAsia"/>
                <w:color w:val="000000" w:themeColor="text1"/>
                <w:sz w:val="24"/>
                <w:szCs w:val="24"/>
              </w:rPr>
              <w:t>影響風險資本額(RBC比率)核算相關表格若涉及前期資訊者，該前期資訊應以擬制公司合併後之整體風險計算。</w:t>
            </w:r>
          </w:p>
        </w:tc>
      </w:tr>
    </w:tbl>
    <w:p w14:paraId="1F659434" w14:textId="77777777" w:rsidR="000668D9" w:rsidRPr="00E224E9" w:rsidRDefault="000668D9" w:rsidP="0009720E">
      <w:pPr>
        <w:pStyle w:val="af2"/>
        <w:spacing w:line="440" w:lineRule="exact"/>
        <w:jc w:val="both"/>
        <w:rPr>
          <w:color w:val="000000" w:themeColor="text1"/>
        </w:rPr>
      </w:pPr>
    </w:p>
    <w:p w14:paraId="16F3619D" w14:textId="77777777" w:rsidR="00D403BB" w:rsidRPr="00E224E9" w:rsidRDefault="00D403BB" w:rsidP="00D403BB">
      <w:pPr>
        <w:pStyle w:val="af2"/>
        <w:spacing w:line="440" w:lineRule="exact"/>
        <w:ind w:left="0" w:firstLineChars="0" w:firstLine="0"/>
        <w:jc w:val="both"/>
        <w:rPr>
          <w:color w:val="000000" w:themeColor="text1"/>
          <w:sz w:val="24"/>
          <w:szCs w:val="24"/>
        </w:rPr>
      </w:pPr>
      <w:r w:rsidRPr="00E224E9">
        <w:rPr>
          <w:rFonts w:hint="eastAsia"/>
          <w:color w:val="000000" w:themeColor="text1"/>
          <w:sz w:val="24"/>
          <w:szCs w:val="24"/>
        </w:rPr>
        <w:t>下列各表中凡上期(帳載)金額、上期比率(%)、上期損益、期初(上期)餘額、上年度底風險資本額、最近五年度資金運用收益率及其他前期歷年相關資訊，於進行合併時依本附錄規定原則填報。</w:t>
      </w:r>
    </w:p>
    <w:p w14:paraId="11F48BE5" w14:textId="77777777" w:rsidR="00D403BB" w:rsidRPr="00E224E9" w:rsidRDefault="00D403BB" w:rsidP="00D403BB">
      <w:pPr>
        <w:pStyle w:val="af2"/>
        <w:spacing w:line="440" w:lineRule="exact"/>
        <w:ind w:left="2" w:firstLineChars="0" w:hanging="2"/>
        <w:jc w:val="both"/>
        <w:rPr>
          <w:color w:val="000000" w:themeColor="text1"/>
          <w:sz w:val="24"/>
          <w:szCs w:val="24"/>
        </w:rPr>
      </w:pPr>
      <w:r w:rsidRPr="00E224E9">
        <w:rPr>
          <w:rFonts w:hint="eastAsia"/>
          <w:color w:val="000000" w:themeColor="text1"/>
          <w:sz w:val="24"/>
          <w:szCs w:val="24"/>
        </w:rPr>
        <w:t>與RBC相關之報表：</w:t>
      </w:r>
    </w:p>
    <w:p w14:paraId="6DA78B15" w14:textId="77777777" w:rsidR="00D403BB" w:rsidRPr="00E224E9" w:rsidRDefault="00D403BB" w:rsidP="00D403BB">
      <w:pPr>
        <w:pStyle w:val="af2"/>
        <w:spacing w:line="440" w:lineRule="exact"/>
        <w:ind w:left="2" w:firstLineChars="0" w:hanging="2"/>
        <w:jc w:val="both"/>
        <w:rPr>
          <w:color w:val="000000" w:themeColor="text1"/>
          <w:sz w:val="24"/>
          <w:szCs w:val="24"/>
        </w:rPr>
      </w:pPr>
      <w:r w:rsidRPr="00E224E9">
        <w:rPr>
          <w:rFonts w:hint="eastAsia"/>
          <w:color w:val="000000" w:themeColor="text1"/>
          <w:sz w:val="24"/>
          <w:szCs w:val="24"/>
        </w:rPr>
        <w:t>表03、表05-1、表06、表21-8、表24、表25-1、表25-2、表25-6、表25-7、表25-7-1、表25-7-2、表30-5、表30-7-6、表30-</w:t>
      </w:r>
      <w:r w:rsidRPr="00E224E9">
        <w:rPr>
          <w:color w:val="000000" w:themeColor="text1"/>
          <w:sz w:val="24"/>
          <w:szCs w:val="24"/>
        </w:rPr>
        <w:t>13</w:t>
      </w:r>
      <w:r w:rsidRPr="00E224E9">
        <w:rPr>
          <w:rFonts w:hint="eastAsia"/>
          <w:color w:val="000000" w:themeColor="text1"/>
          <w:sz w:val="24"/>
          <w:szCs w:val="24"/>
        </w:rPr>
        <w:t>-1</w:t>
      </w:r>
    </w:p>
    <w:p w14:paraId="4F8F9BFD" w14:textId="77777777" w:rsidR="00D403BB" w:rsidRPr="00E224E9" w:rsidRDefault="00D403BB" w:rsidP="00D403BB">
      <w:pPr>
        <w:pStyle w:val="af2"/>
        <w:spacing w:line="440" w:lineRule="exact"/>
        <w:ind w:left="2" w:firstLineChars="0" w:hanging="2"/>
        <w:jc w:val="both"/>
        <w:rPr>
          <w:color w:val="000000" w:themeColor="text1"/>
          <w:sz w:val="24"/>
          <w:szCs w:val="24"/>
        </w:rPr>
      </w:pPr>
      <w:r w:rsidRPr="00E224E9">
        <w:rPr>
          <w:rFonts w:hint="eastAsia"/>
          <w:color w:val="000000" w:themeColor="text1"/>
          <w:sz w:val="24"/>
          <w:szCs w:val="24"/>
        </w:rPr>
        <w:t>非與RBC相關之報表：</w:t>
      </w:r>
    </w:p>
    <w:p w14:paraId="53602063" w14:textId="7C9A9A3F" w:rsidR="00D403BB" w:rsidRPr="00E224E9" w:rsidRDefault="00D403BB" w:rsidP="00D403BB">
      <w:pPr>
        <w:pStyle w:val="af2"/>
        <w:spacing w:line="440" w:lineRule="exact"/>
        <w:ind w:left="2" w:firstLineChars="0" w:hanging="2"/>
        <w:jc w:val="both"/>
        <w:rPr>
          <w:color w:val="000000" w:themeColor="text1"/>
          <w:sz w:val="24"/>
          <w:szCs w:val="24"/>
        </w:rPr>
      </w:pPr>
      <w:r w:rsidRPr="00E224E9">
        <w:rPr>
          <w:rFonts w:hint="eastAsia"/>
          <w:color w:val="000000" w:themeColor="text1"/>
          <w:sz w:val="24"/>
          <w:szCs w:val="24"/>
        </w:rPr>
        <w:t>表04、表05-2、表05-2(續)、</w:t>
      </w:r>
      <w:r w:rsidR="00215B29" w:rsidRPr="00E224E9">
        <w:rPr>
          <w:rFonts w:hint="eastAsia"/>
          <w:color w:val="000000" w:themeColor="text1"/>
          <w:sz w:val="24"/>
          <w:szCs w:val="24"/>
        </w:rPr>
        <w:t>表1</w:t>
      </w:r>
      <w:r w:rsidR="00215B29" w:rsidRPr="00E224E9">
        <w:rPr>
          <w:color w:val="000000" w:themeColor="text1"/>
          <w:sz w:val="24"/>
          <w:szCs w:val="24"/>
        </w:rPr>
        <w:t>4</w:t>
      </w:r>
      <w:r w:rsidR="00215B29" w:rsidRPr="00E224E9">
        <w:rPr>
          <w:rFonts w:hint="eastAsia"/>
          <w:color w:val="000000" w:themeColor="text1"/>
          <w:sz w:val="24"/>
          <w:szCs w:val="24"/>
        </w:rPr>
        <w:t>-4、</w:t>
      </w:r>
      <w:r w:rsidRPr="00E224E9">
        <w:rPr>
          <w:rFonts w:hint="eastAsia"/>
          <w:color w:val="000000" w:themeColor="text1"/>
          <w:sz w:val="24"/>
          <w:szCs w:val="24"/>
        </w:rPr>
        <w:t>表21-6、表21-7、表25-3、表25-4、表25-5、表26-1、表26-2、表26-3、表26-4、表27、表28、表29</w:t>
      </w:r>
    </w:p>
    <w:sectPr w:rsidR="00D403BB" w:rsidRPr="00E224E9" w:rsidSect="00CE5AE1">
      <w:footerReference w:type="default" r:id="rId30"/>
      <w:pgSz w:w="11906" w:h="16838" w:code="9"/>
      <w:pgMar w:top="1418" w:right="1134" w:bottom="1418" w:left="1134" w:header="851" w:footer="737" w:gutter="454"/>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D3B7A" w14:textId="77777777" w:rsidR="0094458E" w:rsidRDefault="0094458E">
      <w:r>
        <w:separator/>
      </w:r>
    </w:p>
  </w:endnote>
  <w:endnote w:type="continuationSeparator" w:id="0">
    <w:p w14:paraId="02439E66" w14:textId="77777777" w:rsidR="0094458E" w:rsidRDefault="0094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panose1 w:val="0202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panose1 w:val="02020609000000000000"/>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華康仿宋體W4">
    <w:panose1 w:val="020204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A64E" w14:textId="77777777" w:rsidR="0094458E" w:rsidRDefault="0094458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65BBF26" w14:textId="77777777" w:rsidR="0094458E" w:rsidRDefault="0094458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59B9" w14:textId="77777777" w:rsidR="0094458E" w:rsidRDefault="0094458E">
    <w:pPr>
      <w:pStyle w:val="ab"/>
      <w:framePr w:w="721" w:wrap="around" w:vAnchor="text" w:hAnchor="page" w:x="5862" w:y="-45"/>
      <w:jc w:val="center"/>
      <w:rPr>
        <w:rStyle w:val="ac"/>
      </w:rPr>
    </w:pPr>
    <w:r>
      <w:rPr>
        <w:rStyle w:val="ac"/>
        <w:rFonts w:hint="eastAsia"/>
      </w:rPr>
      <w:t xml:space="preserve">~ </w:t>
    </w:r>
    <w:r>
      <w:rPr>
        <w:rStyle w:val="ac"/>
      </w:rPr>
      <w:fldChar w:fldCharType="begin"/>
    </w:r>
    <w:r>
      <w:rPr>
        <w:rStyle w:val="ac"/>
      </w:rPr>
      <w:instrText xml:space="preserve">PAGE  </w:instrText>
    </w:r>
    <w:r>
      <w:rPr>
        <w:rStyle w:val="ac"/>
      </w:rPr>
      <w:fldChar w:fldCharType="separate"/>
    </w:r>
    <w:r>
      <w:rPr>
        <w:rStyle w:val="ac"/>
        <w:noProof/>
      </w:rPr>
      <w:t>169</w:t>
    </w:r>
    <w:r>
      <w:rPr>
        <w:rStyle w:val="ac"/>
      </w:rPr>
      <w:fldChar w:fldCharType="end"/>
    </w:r>
    <w:r>
      <w:rPr>
        <w:rStyle w:val="ac"/>
        <w:rFonts w:hint="eastAsia"/>
        <w:color w:val="FFFFFF"/>
      </w:rPr>
      <w:t>.</w:t>
    </w:r>
    <w:r>
      <w:rPr>
        <w:rStyle w:val="ac"/>
        <w:rFonts w:hint="eastAsia"/>
      </w:rPr>
      <w:t xml:space="preserve"> ~</w:t>
    </w:r>
  </w:p>
  <w:p w14:paraId="1261F8C2" w14:textId="77777777" w:rsidR="0094458E" w:rsidRDefault="009445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63AF4" w14:textId="77777777" w:rsidR="0094458E" w:rsidRDefault="0094458E">
      <w:r>
        <w:separator/>
      </w:r>
    </w:p>
  </w:footnote>
  <w:footnote w:type="continuationSeparator" w:id="0">
    <w:p w14:paraId="58E224ED" w14:textId="77777777" w:rsidR="0094458E" w:rsidRDefault="0094458E">
      <w:r>
        <w:continuationSeparator/>
      </w:r>
    </w:p>
  </w:footnote>
  <w:footnote w:id="1">
    <w:p w14:paraId="60BE010D" w14:textId="77777777" w:rsidR="0094458E" w:rsidRDefault="0094458E" w:rsidP="007304CC">
      <w:pPr>
        <w:pStyle w:val="afb"/>
      </w:pPr>
      <w:r>
        <w:rPr>
          <w:rStyle w:val="afa"/>
        </w:rPr>
        <w:t>註：</w:t>
      </w:r>
      <w:r>
        <w:rPr>
          <w:rFonts w:hint="eastAsia"/>
        </w:rPr>
        <w:t>商品有無區隔資產依精算學會「壽險商品精算實務處理準則」規範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8351" w14:textId="77777777" w:rsidR="0094458E" w:rsidRDefault="0094458E">
    <w:pPr>
      <w:pStyle w:val="ad"/>
      <w:jc w:val="right"/>
      <w:rPr>
        <w:u w:val="single"/>
      </w:rPr>
    </w:pPr>
    <w:r>
      <w:rPr>
        <w:rFonts w:hint="eastAsia"/>
        <w:u w:val="single"/>
      </w:rPr>
      <w:t>人身保險業資本適足性報告相關填報表格填報手冊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02324A"/>
    <w:multiLevelType w:val="hybridMultilevel"/>
    <w:tmpl w:val="F426E942"/>
    <w:lvl w:ilvl="0" w:tplc="6BC83E86">
      <w:start w:val="1"/>
      <w:numFmt w:val="taiwaneseCountingThousand"/>
      <w:lvlText w:val="%1、"/>
      <w:lvlJc w:val="left"/>
      <w:pPr>
        <w:tabs>
          <w:tab w:val="num" w:pos="-63"/>
        </w:tabs>
        <w:ind w:left="-63" w:hanging="480"/>
      </w:pPr>
      <w:rPr>
        <w:rFonts w:hint="eastAsia"/>
      </w:rPr>
    </w:lvl>
    <w:lvl w:ilvl="1" w:tplc="04090019" w:tentative="1">
      <w:start w:val="1"/>
      <w:numFmt w:val="ideographTraditional"/>
      <w:lvlText w:val="%2、"/>
      <w:lvlJc w:val="left"/>
      <w:pPr>
        <w:tabs>
          <w:tab w:val="num" w:pos="-103"/>
        </w:tabs>
        <w:ind w:left="-103" w:hanging="480"/>
      </w:pPr>
    </w:lvl>
    <w:lvl w:ilvl="2" w:tplc="0409001B" w:tentative="1">
      <w:start w:val="1"/>
      <w:numFmt w:val="lowerRoman"/>
      <w:lvlText w:val="%3."/>
      <w:lvlJc w:val="right"/>
      <w:pPr>
        <w:tabs>
          <w:tab w:val="num" w:pos="377"/>
        </w:tabs>
        <w:ind w:left="377" w:hanging="480"/>
      </w:pPr>
    </w:lvl>
    <w:lvl w:ilvl="3" w:tplc="0409000F" w:tentative="1">
      <w:start w:val="1"/>
      <w:numFmt w:val="decimal"/>
      <w:lvlText w:val="%4."/>
      <w:lvlJc w:val="left"/>
      <w:pPr>
        <w:tabs>
          <w:tab w:val="num" w:pos="857"/>
        </w:tabs>
        <w:ind w:left="857" w:hanging="480"/>
      </w:pPr>
    </w:lvl>
    <w:lvl w:ilvl="4" w:tplc="04090019" w:tentative="1">
      <w:start w:val="1"/>
      <w:numFmt w:val="ideographTraditional"/>
      <w:lvlText w:val="%5、"/>
      <w:lvlJc w:val="left"/>
      <w:pPr>
        <w:tabs>
          <w:tab w:val="num" w:pos="1337"/>
        </w:tabs>
        <w:ind w:left="1337" w:hanging="480"/>
      </w:pPr>
    </w:lvl>
    <w:lvl w:ilvl="5" w:tplc="0409001B" w:tentative="1">
      <w:start w:val="1"/>
      <w:numFmt w:val="lowerRoman"/>
      <w:lvlText w:val="%6."/>
      <w:lvlJc w:val="right"/>
      <w:pPr>
        <w:tabs>
          <w:tab w:val="num" w:pos="1817"/>
        </w:tabs>
        <w:ind w:left="1817" w:hanging="480"/>
      </w:pPr>
    </w:lvl>
    <w:lvl w:ilvl="6" w:tplc="0409000F" w:tentative="1">
      <w:start w:val="1"/>
      <w:numFmt w:val="decimal"/>
      <w:lvlText w:val="%7."/>
      <w:lvlJc w:val="left"/>
      <w:pPr>
        <w:tabs>
          <w:tab w:val="num" w:pos="2297"/>
        </w:tabs>
        <w:ind w:left="2297" w:hanging="480"/>
      </w:pPr>
    </w:lvl>
    <w:lvl w:ilvl="7" w:tplc="04090019" w:tentative="1">
      <w:start w:val="1"/>
      <w:numFmt w:val="ideographTraditional"/>
      <w:lvlText w:val="%8、"/>
      <w:lvlJc w:val="left"/>
      <w:pPr>
        <w:tabs>
          <w:tab w:val="num" w:pos="2777"/>
        </w:tabs>
        <w:ind w:left="2777" w:hanging="480"/>
      </w:pPr>
    </w:lvl>
    <w:lvl w:ilvl="8" w:tplc="0409001B" w:tentative="1">
      <w:start w:val="1"/>
      <w:numFmt w:val="lowerRoman"/>
      <w:lvlText w:val="%9."/>
      <w:lvlJc w:val="right"/>
      <w:pPr>
        <w:tabs>
          <w:tab w:val="num" w:pos="3257"/>
        </w:tabs>
        <w:ind w:left="3257" w:hanging="480"/>
      </w:pPr>
    </w:lvl>
  </w:abstractNum>
  <w:abstractNum w:abstractNumId="3"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4"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pStyle w:val="a0"/>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pStyle w:val="A1"/>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3A0266F"/>
    <w:multiLevelType w:val="hybridMultilevel"/>
    <w:tmpl w:val="40347004"/>
    <w:lvl w:ilvl="0" w:tplc="6BC83E86">
      <w:start w:val="1"/>
      <w:numFmt w:val="taiwaneseCountingThousand"/>
      <w:lvlText w:val="%1、"/>
      <w:lvlJc w:val="left"/>
      <w:pPr>
        <w:tabs>
          <w:tab w:val="num" w:pos="641"/>
        </w:tabs>
        <w:ind w:left="641" w:hanging="480"/>
      </w:pPr>
      <w:rPr>
        <w:rFonts w:hint="eastAsia"/>
      </w:rPr>
    </w:lvl>
    <w:lvl w:ilvl="1" w:tplc="04090019" w:tentative="1">
      <w:start w:val="1"/>
      <w:numFmt w:val="ideographTraditional"/>
      <w:lvlText w:val="%2、"/>
      <w:lvlJc w:val="left"/>
      <w:pPr>
        <w:tabs>
          <w:tab w:val="num" w:pos="601"/>
        </w:tabs>
        <w:ind w:left="601" w:hanging="480"/>
      </w:pPr>
    </w:lvl>
    <w:lvl w:ilvl="2" w:tplc="0409001B" w:tentative="1">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8" w15:restartNumberingAfterBreak="0">
    <w:nsid w:val="141109FB"/>
    <w:multiLevelType w:val="hybridMultilevel"/>
    <w:tmpl w:val="9C723976"/>
    <w:lvl w:ilvl="0" w:tplc="D4204770">
      <w:start w:val="1"/>
      <w:numFmt w:val="decimal"/>
      <w:lvlText w:val="%1、"/>
      <w:lvlJc w:val="left"/>
      <w:pPr>
        <w:ind w:left="1417" w:hanging="480"/>
      </w:pPr>
      <w:rPr>
        <w:rFonts w:hint="default"/>
      </w:rPr>
    </w:lvl>
    <w:lvl w:ilvl="1" w:tplc="B032F984">
      <w:start w:val="1"/>
      <w:numFmt w:val="taiwaneseCountingThousand"/>
      <w:lvlText w:val="(%2)"/>
      <w:lvlJc w:val="left"/>
      <w:pPr>
        <w:ind w:left="1807" w:hanging="390"/>
      </w:pPr>
      <w:rPr>
        <w:rFonts w:hint="default"/>
        <w:color w:val="auto"/>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9" w15:restartNumberingAfterBreak="0">
    <w:nsid w:val="15046974"/>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0" w15:restartNumberingAfterBreak="0">
    <w:nsid w:val="151D1DB6"/>
    <w:multiLevelType w:val="hybridMultilevel"/>
    <w:tmpl w:val="27705264"/>
    <w:lvl w:ilvl="0" w:tplc="04090015">
      <w:start w:val="1"/>
      <w:numFmt w:val="taiwaneseCountingThousand"/>
      <w:lvlText w:val="%1、"/>
      <w:lvlJc w:val="left"/>
      <w:pPr>
        <w:tabs>
          <w:tab w:val="num" w:pos="480"/>
        </w:tabs>
        <w:ind w:left="480" w:hanging="480"/>
      </w:pPr>
    </w:lvl>
    <w:lvl w:ilvl="1" w:tplc="1E702602">
      <w:start w:val="1"/>
      <w:numFmt w:val="decimal"/>
      <w:lvlText w:val="%2."/>
      <w:lvlJc w:val="left"/>
      <w:pPr>
        <w:tabs>
          <w:tab w:val="num" w:pos="840"/>
        </w:tabs>
        <w:ind w:left="840" w:hanging="360"/>
      </w:pPr>
      <w:rPr>
        <w:rFonts w:hint="eastAsia"/>
      </w:rPr>
    </w:lvl>
    <w:lvl w:ilvl="2" w:tplc="04090007">
      <w:start w:val="1"/>
      <w:numFmt w:val="bullet"/>
      <w:lvlText w:val=""/>
      <w:lvlJc w:val="left"/>
      <w:pPr>
        <w:tabs>
          <w:tab w:val="num" w:pos="1440"/>
        </w:tabs>
        <w:ind w:left="1440" w:hanging="480"/>
      </w:pPr>
      <w:rPr>
        <w:rFonts w:ascii="Wingdings" w:hAnsi="Wingdings" w:hint="default"/>
        <w:sz w:val="1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5D441E"/>
    <w:multiLevelType w:val="hybridMultilevel"/>
    <w:tmpl w:val="E9142930"/>
    <w:lvl w:ilvl="0" w:tplc="35186132">
      <w:start w:val="1"/>
      <w:numFmt w:val="taiwaneseCountingThousand"/>
      <w:lvlText w:val="%1、"/>
      <w:lvlJc w:val="left"/>
      <w:pPr>
        <w:tabs>
          <w:tab w:val="num" w:pos="2895"/>
        </w:tabs>
        <w:ind w:left="2895" w:hanging="495"/>
      </w:pPr>
      <w:rPr>
        <w:rFonts w:ascii="Times New Roman" w:hAnsi="Times New Roman" w:hint="default"/>
        <w:color w:val="auto"/>
        <w:u w:val="none"/>
      </w:rPr>
    </w:lvl>
    <w:lvl w:ilvl="1" w:tplc="7F5EC7B2">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366A08"/>
    <w:multiLevelType w:val="hybridMultilevel"/>
    <w:tmpl w:val="F40AA7F6"/>
    <w:lvl w:ilvl="0" w:tplc="B2CA9E3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2E0C44A8"/>
    <w:multiLevelType w:val="hybridMultilevel"/>
    <w:tmpl w:val="30FA3A72"/>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7" w15:restartNumberingAfterBreak="0">
    <w:nsid w:val="345726B2"/>
    <w:multiLevelType w:val="hybridMultilevel"/>
    <w:tmpl w:val="BF7C7116"/>
    <w:lvl w:ilvl="0" w:tplc="E990BC1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8"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C91F51"/>
    <w:multiLevelType w:val="hybridMultilevel"/>
    <w:tmpl w:val="54E8A932"/>
    <w:lvl w:ilvl="0" w:tplc="D4FC5B80">
      <w:start w:val="1"/>
      <w:numFmt w:val="decimal"/>
      <w:lvlText w:val="%1."/>
      <w:lvlJc w:val="left"/>
      <w:pPr>
        <w:tabs>
          <w:tab w:val="num" w:pos="3120"/>
        </w:tabs>
        <w:ind w:left="3120" w:hanging="480"/>
      </w:pPr>
      <w:rPr>
        <w:rFonts w:ascii="Times New Roman" w:hAnsi="Times New Roman" w:cs="Times New Roman" w:hint="default"/>
      </w:rPr>
    </w:lvl>
    <w:lvl w:ilvl="1" w:tplc="8F66B264">
      <w:start w:val="1"/>
      <w:numFmt w:val="decimal"/>
      <w:lvlText w:val="(%2)"/>
      <w:lvlJc w:val="left"/>
      <w:pPr>
        <w:ind w:left="2280" w:hanging="360"/>
      </w:pPr>
      <w:rPr>
        <w:rFonts w:hint="default"/>
      </w:r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0"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F51AFA"/>
    <w:multiLevelType w:val="hybridMultilevel"/>
    <w:tmpl w:val="534ACBD6"/>
    <w:lvl w:ilvl="0" w:tplc="4AB8EF7E">
      <w:start w:val="1"/>
      <w:numFmt w:val="taiwaneseCountingThousand"/>
      <w:lvlText w:val="%1、"/>
      <w:lvlJc w:val="left"/>
      <w:pPr>
        <w:tabs>
          <w:tab w:val="num" w:pos="1000"/>
        </w:tabs>
        <w:ind w:left="1000" w:hanging="480"/>
      </w:pPr>
      <w:rPr>
        <w:rFonts w:hint="eastAsia"/>
        <w:color w:val="auto"/>
      </w:rPr>
    </w:lvl>
    <w:lvl w:ilvl="1" w:tplc="6D942564">
      <w:start w:val="1"/>
      <w:numFmt w:val="taiwaneseCountingThousand"/>
      <w:lvlText w:val="(%2)"/>
      <w:lvlJc w:val="left"/>
      <w:pPr>
        <w:tabs>
          <w:tab w:val="num" w:pos="960"/>
        </w:tabs>
        <w:ind w:left="960" w:hanging="480"/>
      </w:pPr>
      <w:rPr>
        <w:rFonts w:hint="eastAsia"/>
      </w:rPr>
    </w:lvl>
    <w:lvl w:ilvl="2" w:tplc="2752C4A0">
      <w:start w:val="1"/>
      <w:numFmt w:val="decimal"/>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15:restartNumberingAfterBreak="0">
    <w:nsid w:val="467C34AD"/>
    <w:multiLevelType w:val="hybridMultilevel"/>
    <w:tmpl w:val="814E1B1A"/>
    <w:lvl w:ilvl="0" w:tplc="74068022">
      <w:start w:val="1"/>
      <w:numFmt w:val="taiwaneseCountingThousand"/>
      <w:lvlText w:val="(%1)"/>
      <w:lvlJc w:val="left"/>
      <w:pPr>
        <w:tabs>
          <w:tab w:val="num" w:pos="2400"/>
        </w:tabs>
        <w:ind w:left="2400" w:hanging="480"/>
      </w:pPr>
      <w:rPr>
        <w:rFonts w:hint="eastAsia"/>
        <w:color w:val="auto"/>
        <w:u w:val="single"/>
      </w:rPr>
    </w:lvl>
    <w:lvl w:ilvl="1" w:tplc="2ABA932C">
      <w:start w:val="1"/>
      <w:numFmt w:val="decimal"/>
      <w:lvlText w:val="%2."/>
      <w:lvlJc w:val="left"/>
      <w:pPr>
        <w:tabs>
          <w:tab w:val="num" w:pos="840"/>
        </w:tabs>
        <w:ind w:left="840" w:hanging="360"/>
      </w:pPr>
      <w:rPr>
        <w:rFonts w:ascii="Times New Roman" w:hAnsi="Times New Roman" w:cs="Times New Roman" w:hint="default"/>
        <w:b w:val="0"/>
        <w:bCs w:val="0"/>
        <w:color w:val="000000" w:themeColor="text1"/>
        <w:u w:val="none"/>
      </w:rPr>
    </w:lvl>
    <w:lvl w:ilvl="2" w:tplc="C4B83F40">
      <w:start w:val="1"/>
      <w:numFmt w:val="decimal"/>
      <w:lvlText w:val="%3."/>
      <w:lvlJc w:val="left"/>
      <w:pPr>
        <w:tabs>
          <w:tab w:val="num" w:pos="1320"/>
        </w:tabs>
        <w:ind w:left="1320" w:hanging="360"/>
      </w:pPr>
      <w:rPr>
        <w:rFonts w:ascii="Times New Roman" w:hAnsi="Times New Roman" w:cs="Times New Roman" w:hint="default"/>
        <w:color w:val="auto"/>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6AA3C80"/>
    <w:multiLevelType w:val="hybridMultilevel"/>
    <w:tmpl w:val="851AD522"/>
    <w:lvl w:ilvl="0" w:tplc="B2CA9E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E584191"/>
    <w:multiLevelType w:val="hybridMultilevel"/>
    <w:tmpl w:val="77F21B2E"/>
    <w:lvl w:ilvl="0" w:tplc="7C36AC52">
      <w:start w:val="1"/>
      <w:numFmt w:val="decimal"/>
      <w:lvlText w:val="%1."/>
      <w:lvlJc w:val="left"/>
      <w:pPr>
        <w:tabs>
          <w:tab w:val="num" w:pos="360"/>
        </w:tabs>
        <w:ind w:left="360" w:hanging="360"/>
      </w:pPr>
      <w:rPr>
        <w:rFonts w:ascii="Book Antiqua" w:hAnsi="Book Antiqua" w:hint="default"/>
      </w:rPr>
    </w:lvl>
    <w:lvl w:ilvl="1" w:tplc="383A662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4284EC8"/>
    <w:multiLevelType w:val="hybridMultilevel"/>
    <w:tmpl w:val="6986D5CA"/>
    <w:lvl w:ilvl="0" w:tplc="3C1428FE">
      <w:start w:val="1"/>
      <w:numFmt w:val="taiwaneseCountingThousand"/>
      <w:lvlText w:val="%1、"/>
      <w:lvlJc w:val="left"/>
      <w:pPr>
        <w:tabs>
          <w:tab w:val="num" w:pos="1346"/>
        </w:tabs>
        <w:ind w:left="1346" w:hanging="495"/>
      </w:pPr>
      <w:rPr>
        <w:rFonts w:ascii="Times New Roman" w:hAnsi="Times New Roman" w:hint="default"/>
        <w:color w:val="auto"/>
        <w:u w:val="none"/>
      </w:rPr>
    </w:lvl>
    <w:lvl w:ilvl="1" w:tplc="DB3642DC">
      <w:start w:val="1"/>
      <w:numFmt w:val="taiwaneseCountingThousand"/>
      <w:lvlText w:val="(%2)"/>
      <w:lvlJc w:val="left"/>
      <w:pPr>
        <w:tabs>
          <w:tab w:val="num" w:pos="-589"/>
        </w:tabs>
        <w:ind w:left="-589"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09"/>
        </w:tabs>
        <w:ind w:left="-109" w:hanging="480"/>
      </w:pPr>
    </w:lvl>
    <w:lvl w:ilvl="3" w:tplc="0409000F" w:tentative="1">
      <w:start w:val="1"/>
      <w:numFmt w:val="decimal"/>
      <w:lvlText w:val="%4."/>
      <w:lvlJc w:val="left"/>
      <w:pPr>
        <w:tabs>
          <w:tab w:val="num" w:pos="371"/>
        </w:tabs>
        <w:ind w:left="371" w:hanging="480"/>
      </w:pPr>
    </w:lvl>
    <w:lvl w:ilvl="4" w:tplc="04090019" w:tentative="1">
      <w:start w:val="1"/>
      <w:numFmt w:val="ideographTraditional"/>
      <w:lvlText w:val="%5、"/>
      <w:lvlJc w:val="left"/>
      <w:pPr>
        <w:tabs>
          <w:tab w:val="num" w:pos="851"/>
        </w:tabs>
        <w:ind w:left="851" w:hanging="480"/>
      </w:pPr>
    </w:lvl>
    <w:lvl w:ilvl="5" w:tplc="0409001B" w:tentative="1">
      <w:start w:val="1"/>
      <w:numFmt w:val="lowerRoman"/>
      <w:lvlText w:val="%6."/>
      <w:lvlJc w:val="right"/>
      <w:pPr>
        <w:tabs>
          <w:tab w:val="num" w:pos="1331"/>
        </w:tabs>
        <w:ind w:left="1331" w:hanging="480"/>
      </w:pPr>
    </w:lvl>
    <w:lvl w:ilvl="6" w:tplc="0409000F" w:tentative="1">
      <w:start w:val="1"/>
      <w:numFmt w:val="decimal"/>
      <w:lvlText w:val="%7."/>
      <w:lvlJc w:val="left"/>
      <w:pPr>
        <w:tabs>
          <w:tab w:val="num" w:pos="1811"/>
        </w:tabs>
        <w:ind w:left="1811" w:hanging="480"/>
      </w:pPr>
    </w:lvl>
    <w:lvl w:ilvl="7" w:tplc="04090019" w:tentative="1">
      <w:start w:val="1"/>
      <w:numFmt w:val="ideographTraditional"/>
      <w:lvlText w:val="%8、"/>
      <w:lvlJc w:val="left"/>
      <w:pPr>
        <w:tabs>
          <w:tab w:val="num" w:pos="2291"/>
        </w:tabs>
        <w:ind w:left="2291" w:hanging="480"/>
      </w:pPr>
    </w:lvl>
    <w:lvl w:ilvl="8" w:tplc="0409001B" w:tentative="1">
      <w:start w:val="1"/>
      <w:numFmt w:val="lowerRoman"/>
      <w:lvlText w:val="%9."/>
      <w:lvlJc w:val="right"/>
      <w:pPr>
        <w:tabs>
          <w:tab w:val="num" w:pos="2771"/>
        </w:tabs>
        <w:ind w:left="2771" w:hanging="480"/>
      </w:pPr>
    </w:lvl>
  </w:abstractNum>
  <w:abstractNum w:abstractNumId="29"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D69594B"/>
    <w:multiLevelType w:val="hybridMultilevel"/>
    <w:tmpl w:val="9CB07BC4"/>
    <w:lvl w:ilvl="0" w:tplc="0409000B">
      <w:start w:val="1"/>
      <w:numFmt w:val="bullet"/>
      <w:lvlText w:val=""/>
      <w:lvlJc w:val="left"/>
      <w:pPr>
        <w:ind w:left="740" w:hanging="480"/>
      </w:pPr>
      <w:rPr>
        <w:rFonts w:ascii="Wingdings" w:hAnsi="Wingdings" w:hint="default"/>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31" w15:restartNumberingAfterBreak="0">
    <w:nsid w:val="5E4D6BCA"/>
    <w:multiLevelType w:val="hybridMultilevel"/>
    <w:tmpl w:val="E59ADBF8"/>
    <w:lvl w:ilvl="0" w:tplc="9006D614">
      <w:start w:val="1"/>
      <w:numFmt w:val="taiwaneseCountingThousand"/>
      <w:pStyle w:val="Item3"/>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15:restartNumberingAfterBreak="0">
    <w:nsid w:val="5FAD4546"/>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7C24CE6"/>
    <w:multiLevelType w:val="hybridMultilevel"/>
    <w:tmpl w:val="AC608D5C"/>
    <w:lvl w:ilvl="0" w:tplc="764C9D0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0B238E6"/>
    <w:multiLevelType w:val="hybridMultilevel"/>
    <w:tmpl w:val="2D80E934"/>
    <w:lvl w:ilvl="0" w:tplc="724C2DC6">
      <w:start w:val="1"/>
      <w:numFmt w:val="taiwaneseCountingThousand"/>
      <w:lvlText w:val="(%1)"/>
      <w:lvlJc w:val="left"/>
      <w:pPr>
        <w:tabs>
          <w:tab w:val="num" w:pos="1022"/>
        </w:tabs>
        <w:ind w:left="1022" w:hanging="480"/>
      </w:pPr>
      <w:rPr>
        <w:rFonts w:hint="eastAsia"/>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38" w15:restartNumberingAfterBreak="0">
    <w:nsid w:val="70E6772D"/>
    <w:multiLevelType w:val="hybridMultilevel"/>
    <w:tmpl w:val="9F7E10CE"/>
    <w:lvl w:ilvl="0" w:tplc="0A28F1DA">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3E0935"/>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40"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1"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42"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237320737">
    <w:abstractNumId w:val="31"/>
  </w:num>
  <w:num w:numId="2" w16cid:durableId="464391009">
    <w:abstractNumId w:val="40"/>
  </w:num>
  <w:num w:numId="3" w16cid:durableId="299191679">
    <w:abstractNumId w:val="10"/>
  </w:num>
  <w:num w:numId="4" w16cid:durableId="889338447">
    <w:abstractNumId w:val="35"/>
  </w:num>
  <w:num w:numId="5" w16cid:durableId="1864710072">
    <w:abstractNumId w:val="15"/>
  </w:num>
  <w:num w:numId="6" w16cid:durableId="1001158383">
    <w:abstractNumId w:val="28"/>
  </w:num>
  <w:num w:numId="7" w16cid:durableId="580337736">
    <w:abstractNumId w:val="13"/>
  </w:num>
  <w:num w:numId="8" w16cid:durableId="433475356">
    <w:abstractNumId w:val="18"/>
  </w:num>
  <w:num w:numId="9" w16cid:durableId="368384147">
    <w:abstractNumId w:val="0"/>
  </w:num>
  <w:num w:numId="10" w16cid:durableId="1607884365">
    <w:abstractNumId w:val="36"/>
  </w:num>
  <w:num w:numId="11" w16cid:durableId="1373310861">
    <w:abstractNumId w:val="20"/>
  </w:num>
  <w:num w:numId="12" w16cid:durableId="140926702">
    <w:abstractNumId w:val="42"/>
  </w:num>
  <w:num w:numId="13" w16cid:durableId="2014913777">
    <w:abstractNumId w:val="25"/>
  </w:num>
  <w:num w:numId="14" w16cid:durableId="437021224">
    <w:abstractNumId w:val="1"/>
  </w:num>
  <w:num w:numId="15" w16cid:durableId="937639792">
    <w:abstractNumId w:val="37"/>
  </w:num>
  <w:num w:numId="16" w16cid:durableId="1560244410">
    <w:abstractNumId w:val="22"/>
  </w:num>
  <w:num w:numId="17" w16cid:durableId="649941147">
    <w:abstractNumId w:val="23"/>
  </w:num>
  <w:num w:numId="18" w16cid:durableId="1163081555">
    <w:abstractNumId w:val="19"/>
  </w:num>
  <w:num w:numId="19" w16cid:durableId="580022405">
    <w:abstractNumId w:val="2"/>
  </w:num>
  <w:num w:numId="20" w16cid:durableId="1765106844">
    <w:abstractNumId w:val="7"/>
  </w:num>
  <w:num w:numId="21" w16cid:durableId="974138508">
    <w:abstractNumId w:val="32"/>
  </w:num>
  <w:num w:numId="22" w16cid:durableId="1468469655">
    <w:abstractNumId w:val="11"/>
  </w:num>
  <w:num w:numId="23" w16cid:durableId="1125738436">
    <w:abstractNumId w:val="4"/>
  </w:num>
  <w:num w:numId="24" w16cid:durableId="2075426140">
    <w:abstractNumId w:val="12"/>
  </w:num>
  <w:num w:numId="25" w16cid:durableId="481580664">
    <w:abstractNumId w:val="9"/>
  </w:num>
  <w:num w:numId="26" w16cid:durableId="109785546">
    <w:abstractNumId w:val="17"/>
  </w:num>
  <w:num w:numId="27" w16cid:durableId="433134425">
    <w:abstractNumId w:val="3"/>
  </w:num>
  <w:num w:numId="28" w16cid:durableId="981738059">
    <w:abstractNumId w:val="39"/>
  </w:num>
  <w:num w:numId="29" w16cid:durableId="8426280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7250681">
    <w:abstractNumId w:val="29"/>
  </w:num>
  <w:num w:numId="31" w16cid:durableId="843475321">
    <w:abstractNumId w:val="21"/>
  </w:num>
  <w:num w:numId="32" w16cid:durableId="1799448782">
    <w:abstractNumId w:val="41"/>
  </w:num>
  <w:num w:numId="33" w16cid:durableId="346828866">
    <w:abstractNumId w:val="8"/>
  </w:num>
  <w:num w:numId="34" w16cid:durableId="1400596617">
    <w:abstractNumId w:val="5"/>
  </w:num>
  <w:num w:numId="35" w16cid:durableId="1898855941">
    <w:abstractNumId w:val="16"/>
  </w:num>
  <w:num w:numId="36" w16cid:durableId="731849328">
    <w:abstractNumId w:val="33"/>
  </w:num>
  <w:num w:numId="37" w16cid:durableId="983970496">
    <w:abstractNumId w:val="34"/>
  </w:num>
  <w:num w:numId="38" w16cid:durableId="89082652">
    <w:abstractNumId w:val="6"/>
  </w:num>
  <w:num w:numId="39" w16cid:durableId="1158694293">
    <w:abstractNumId w:val="38"/>
  </w:num>
  <w:num w:numId="40" w16cid:durableId="1269044313">
    <w:abstractNumId w:val="24"/>
  </w:num>
  <w:num w:numId="41" w16cid:durableId="35396649">
    <w:abstractNumId w:val="14"/>
  </w:num>
  <w:num w:numId="42" w16cid:durableId="1341080812">
    <w:abstractNumId w:val="26"/>
  </w:num>
  <w:num w:numId="43" w16cid:durableId="750810375">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hideGrammaticalErrors/>
  <w:activeWritingStyle w:appName="MSWord" w:lang="zh-TW" w:vendorID="64" w:dllVersion="5" w:nlCheck="1" w:checkStyle="1"/>
  <w:activeWritingStyle w:appName="MSWord" w:lang="en-US" w:vendorID="64" w:dllVersion="6" w:nlCheck="1" w:checkStyle="0"/>
  <w:activeWritingStyle w:appName="MSWord" w:lang="en-US"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defaultTabStop w:val="480"/>
  <w:displayHorizontalDrawingGridEvery w:val="0"/>
  <w:displayVerticalDrawingGridEvery w:val="2"/>
  <w:characterSpacingControl w:val="compressPunctuation"/>
  <w:hdrShapeDefaults>
    <o:shapedefaults v:ext="edit" spidmax="208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0F"/>
    <w:rsid w:val="00000069"/>
    <w:rsid w:val="000004F9"/>
    <w:rsid w:val="0000361D"/>
    <w:rsid w:val="000039F3"/>
    <w:rsid w:val="00003F01"/>
    <w:rsid w:val="000042D7"/>
    <w:rsid w:val="00004973"/>
    <w:rsid w:val="000065A1"/>
    <w:rsid w:val="0000679B"/>
    <w:rsid w:val="00006B29"/>
    <w:rsid w:val="00007379"/>
    <w:rsid w:val="00007A0D"/>
    <w:rsid w:val="000113A8"/>
    <w:rsid w:val="0001168D"/>
    <w:rsid w:val="00011D31"/>
    <w:rsid w:val="000122B5"/>
    <w:rsid w:val="000206A8"/>
    <w:rsid w:val="00020892"/>
    <w:rsid w:val="00020FEE"/>
    <w:rsid w:val="00022817"/>
    <w:rsid w:val="00022F35"/>
    <w:rsid w:val="00023D65"/>
    <w:rsid w:val="00024789"/>
    <w:rsid w:val="00024AF6"/>
    <w:rsid w:val="00025F8D"/>
    <w:rsid w:val="00031F6D"/>
    <w:rsid w:val="00032012"/>
    <w:rsid w:val="000332F4"/>
    <w:rsid w:val="000376BB"/>
    <w:rsid w:val="00037E86"/>
    <w:rsid w:val="00042CEE"/>
    <w:rsid w:val="000469AB"/>
    <w:rsid w:val="00056F9C"/>
    <w:rsid w:val="00061E03"/>
    <w:rsid w:val="000626A4"/>
    <w:rsid w:val="000628B1"/>
    <w:rsid w:val="00063532"/>
    <w:rsid w:val="00063B92"/>
    <w:rsid w:val="00065C53"/>
    <w:rsid w:val="00066335"/>
    <w:rsid w:val="000668D9"/>
    <w:rsid w:val="00067359"/>
    <w:rsid w:val="00070554"/>
    <w:rsid w:val="00070AE0"/>
    <w:rsid w:val="0007230F"/>
    <w:rsid w:val="00074C2A"/>
    <w:rsid w:val="000750E8"/>
    <w:rsid w:val="000752E7"/>
    <w:rsid w:val="000753D6"/>
    <w:rsid w:val="00076069"/>
    <w:rsid w:val="000841AC"/>
    <w:rsid w:val="00085C0F"/>
    <w:rsid w:val="00085EA7"/>
    <w:rsid w:val="00091E8C"/>
    <w:rsid w:val="00092A51"/>
    <w:rsid w:val="000933DE"/>
    <w:rsid w:val="0009411C"/>
    <w:rsid w:val="000965F0"/>
    <w:rsid w:val="00096770"/>
    <w:rsid w:val="0009720E"/>
    <w:rsid w:val="000A030D"/>
    <w:rsid w:val="000A4A13"/>
    <w:rsid w:val="000B030B"/>
    <w:rsid w:val="000B31E1"/>
    <w:rsid w:val="000C0B6D"/>
    <w:rsid w:val="000C1A34"/>
    <w:rsid w:val="000C35E6"/>
    <w:rsid w:val="000C42A1"/>
    <w:rsid w:val="000C6A59"/>
    <w:rsid w:val="000D1C84"/>
    <w:rsid w:val="000D1CEA"/>
    <w:rsid w:val="000D2AEA"/>
    <w:rsid w:val="000E0C51"/>
    <w:rsid w:val="000E0E7E"/>
    <w:rsid w:val="000E250A"/>
    <w:rsid w:val="000E2939"/>
    <w:rsid w:val="000E3D27"/>
    <w:rsid w:val="000E490E"/>
    <w:rsid w:val="000E4BD9"/>
    <w:rsid w:val="000E745D"/>
    <w:rsid w:val="000F08B4"/>
    <w:rsid w:val="000F11C6"/>
    <w:rsid w:val="000F2AC2"/>
    <w:rsid w:val="000F4592"/>
    <w:rsid w:val="00100198"/>
    <w:rsid w:val="0010183C"/>
    <w:rsid w:val="001029B7"/>
    <w:rsid w:val="001035FA"/>
    <w:rsid w:val="00103DBA"/>
    <w:rsid w:val="00105630"/>
    <w:rsid w:val="0010643A"/>
    <w:rsid w:val="00106CFE"/>
    <w:rsid w:val="001077F1"/>
    <w:rsid w:val="001103B1"/>
    <w:rsid w:val="001110D5"/>
    <w:rsid w:val="001125DD"/>
    <w:rsid w:val="00116777"/>
    <w:rsid w:val="0011745C"/>
    <w:rsid w:val="001200F0"/>
    <w:rsid w:val="00120CFE"/>
    <w:rsid w:val="001212A9"/>
    <w:rsid w:val="001214A8"/>
    <w:rsid w:val="00121A08"/>
    <w:rsid w:val="00122637"/>
    <w:rsid w:val="00123A25"/>
    <w:rsid w:val="00127CA4"/>
    <w:rsid w:val="001304DA"/>
    <w:rsid w:val="0013138C"/>
    <w:rsid w:val="00131B15"/>
    <w:rsid w:val="00132760"/>
    <w:rsid w:val="00135A46"/>
    <w:rsid w:val="00137371"/>
    <w:rsid w:val="00140E39"/>
    <w:rsid w:val="00141280"/>
    <w:rsid w:val="00142A68"/>
    <w:rsid w:val="00142F50"/>
    <w:rsid w:val="00143159"/>
    <w:rsid w:val="00143FD5"/>
    <w:rsid w:val="00145054"/>
    <w:rsid w:val="001474C1"/>
    <w:rsid w:val="00150468"/>
    <w:rsid w:val="001513C1"/>
    <w:rsid w:val="0015428B"/>
    <w:rsid w:val="00155E89"/>
    <w:rsid w:val="00156CBB"/>
    <w:rsid w:val="00160B53"/>
    <w:rsid w:val="001616A6"/>
    <w:rsid w:val="0016170B"/>
    <w:rsid w:val="00162729"/>
    <w:rsid w:val="00162D19"/>
    <w:rsid w:val="0016326D"/>
    <w:rsid w:val="0016420F"/>
    <w:rsid w:val="001654E7"/>
    <w:rsid w:val="00166011"/>
    <w:rsid w:val="00166990"/>
    <w:rsid w:val="00170B3A"/>
    <w:rsid w:val="001717BD"/>
    <w:rsid w:val="00175969"/>
    <w:rsid w:val="00176FD5"/>
    <w:rsid w:val="001847C3"/>
    <w:rsid w:val="00185FF6"/>
    <w:rsid w:val="0018672D"/>
    <w:rsid w:val="00187A39"/>
    <w:rsid w:val="00190177"/>
    <w:rsid w:val="00192C3F"/>
    <w:rsid w:val="00193564"/>
    <w:rsid w:val="001936FF"/>
    <w:rsid w:val="001A097A"/>
    <w:rsid w:val="001A35EC"/>
    <w:rsid w:val="001A36A1"/>
    <w:rsid w:val="001A3A55"/>
    <w:rsid w:val="001A434E"/>
    <w:rsid w:val="001B0B23"/>
    <w:rsid w:val="001B2BA6"/>
    <w:rsid w:val="001B2F38"/>
    <w:rsid w:val="001B3B55"/>
    <w:rsid w:val="001B4854"/>
    <w:rsid w:val="001B6698"/>
    <w:rsid w:val="001B7C96"/>
    <w:rsid w:val="001C0466"/>
    <w:rsid w:val="001C1445"/>
    <w:rsid w:val="001C40E3"/>
    <w:rsid w:val="001C54E3"/>
    <w:rsid w:val="001C79B1"/>
    <w:rsid w:val="001D1B0E"/>
    <w:rsid w:val="001D451B"/>
    <w:rsid w:val="001D476A"/>
    <w:rsid w:val="001D4F69"/>
    <w:rsid w:val="001D6C2F"/>
    <w:rsid w:val="001E1FE2"/>
    <w:rsid w:val="001E2D71"/>
    <w:rsid w:val="001E2EA7"/>
    <w:rsid w:val="001E32E1"/>
    <w:rsid w:val="001E62AA"/>
    <w:rsid w:val="001E6F2D"/>
    <w:rsid w:val="001F08E1"/>
    <w:rsid w:val="001F0927"/>
    <w:rsid w:val="001F0CFB"/>
    <w:rsid w:val="001F4D33"/>
    <w:rsid w:val="001F5760"/>
    <w:rsid w:val="001F714C"/>
    <w:rsid w:val="001F7AEE"/>
    <w:rsid w:val="00200804"/>
    <w:rsid w:val="00211C98"/>
    <w:rsid w:val="00212E75"/>
    <w:rsid w:val="00213F6B"/>
    <w:rsid w:val="00215B29"/>
    <w:rsid w:val="00216CB3"/>
    <w:rsid w:val="002173E6"/>
    <w:rsid w:val="002174AC"/>
    <w:rsid w:val="00220AC4"/>
    <w:rsid w:val="002215E1"/>
    <w:rsid w:val="00222CCD"/>
    <w:rsid w:val="0022465D"/>
    <w:rsid w:val="002246FD"/>
    <w:rsid w:val="00226D73"/>
    <w:rsid w:val="00227442"/>
    <w:rsid w:val="0023089E"/>
    <w:rsid w:val="002324F2"/>
    <w:rsid w:val="002329C1"/>
    <w:rsid w:val="002345EC"/>
    <w:rsid w:val="0023566A"/>
    <w:rsid w:val="00237F42"/>
    <w:rsid w:val="00240DD7"/>
    <w:rsid w:val="00241022"/>
    <w:rsid w:val="0024408C"/>
    <w:rsid w:val="00244B69"/>
    <w:rsid w:val="00254185"/>
    <w:rsid w:val="00261C9D"/>
    <w:rsid w:val="00262F77"/>
    <w:rsid w:val="00264F2A"/>
    <w:rsid w:val="00264F86"/>
    <w:rsid w:val="00266C93"/>
    <w:rsid w:val="00271200"/>
    <w:rsid w:val="00273457"/>
    <w:rsid w:val="00273543"/>
    <w:rsid w:val="00274463"/>
    <w:rsid w:val="00276D0C"/>
    <w:rsid w:val="0027710E"/>
    <w:rsid w:val="00280260"/>
    <w:rsid w:val="00280997"/>
    <w:rsid w:val="00280F8E"/>
    <w:rsid w:val="002852E3"/>
    <w:rsid w:val="00285610"/>
    <w:rsid w:val="00291650"/>
    <w:rsid w:val="00294862"/>
    <w:rsid w:val="00295BBD"/>
    <w:rsid w:val="002A0F2E"/>
    <w:rsid w:val="002A2CAE"/>
    <w:rsid w:val="002A6586"/>
    <w:rsid w:val="002B105E"/>
    <w:rsid w:val="002B123D"/>
    <w:rsid w:val="002C1610"/>
    <w:rsid w:val="002C215B"/>
    <w:rsid w:val="002C3ED3"/>
    <w:rsid w:val="002C540C"/>
    <w:rsid w:val="002C78A7"/>
    <w:rsid w:val="002D2D7A"/>
    <w:rsid w:val="002D5D4F"/>
    <w:rsid w:val="002D623E"/>
    <w:rsid w:val="002E4B73"/>
    <w:rsid w:val="002E5E2D"/>
    <w:rsid w:val="002E6F56"/>
    <w:rsid w:val="002E7346"/>
    <w:rsid w:val="002E7A7F"/>
    <w:rsid w:val="002F02FC"/>
    <w:rsid w:val="002F0638"/>
    <w:rsid w:val="002F1135"/>
    <w:rsid w:val="002F1769"/>
    <w:rsid w:val="002F269C"/>
    <w:rsid w:val="002F3072"/>
    <w:rsid w:val="002F3AF6"/>
    <w:rsid w:val="002F3F87"/>
    <w:rsid w:val="002F699B"/>
    <w:rsid w:val="00304E96"/>
    <w:rsid w:val="0030616E"/>
    <w:rsid w:val="003064C1"/>
    <w:rsid w:val="003111B6"/>
    <w:rsid w:val="0031277E"/>
    <w:rsid w:val="003131E8"/>
    <w:rsid w:val="00313FF9"/>
    <w:rsid w:val="00315F4A"/>
    <w:rsid w:val="0032067D"/>
    <w:rsid w:val="00322912"/>
    <w:rsid w:val="003243C2"/>
    <w:rsid w:val="0032447F"/>
    <w:rsid w:val="003247EB"/>
    <w:rsid w:val="0032646B"/>
    <w:rsid w:val="00331881"/>
    <w:rsid w:val="003336FA"/>
    <w:rsid w:val="003342E5"/>
    <w:rsid w:val="00341C38"/>
    <w:rsid w:val="0034216B"/>
    <w:rsid w:val="00343AD7"/>
    <w:rsid w:val="0034450F"/>
    <w:rsid w:val="00344890"/>
    <w:rsid w:val="00345FB8"/>
    <w:rsid w:val="003477BF"/>
    <w:rsid w:val="00351443"/>
    <w:rsid w:val="00352E76"/>
    <w:rsid w:val="00356966"/>
    <w:rsid w:val="00357E10"/>
    <w:rsid w:val="00361B4D"/>
    <w:rsid w:val="00362517"/>
    <w:rsid w:val="00363048"/>
    <w:rsid w:val="0036414C"/>
    <w:rsid w:val="00366DFB"/>
    <w:rsid w:val="0036772A"/>
    <w:rsid w:val="00367A36"/>
    <w:rsid w:val="00367E22"/>
    <w:rsid w:val="00372AAF"/>
    <w:rsid w:val="00375C91"/>
    <w:rsid w:val="003763B7"/>
    <w:rsid w:val="0037654B"/>
    <w:rsid w:val="00380737"/>
    <w:rsid w:val="00382A3A"/>
    <w:rsid w:val="003834CF"/>
    <w:rsid w:val="003865D4"/>
    <w:rsid w:val="00386802"/>
    <w:rsid w:val="00386AF5"/>
    <w:rsid w:val="003A165D"/>
    <w:rsid w:val="003A1F34"/>
    <w:rsid w:val="003A27B8"/>
    <w:rsid w:val="003A3C88"/>
    <w:rsid w:val="003A3D3A"/>
    <w:rsid w:val="003A53D3"/>
    <w:rsid w:val="003A5F20"/>
    <w:rsid w:val="003A6E7B"/>
    <w:rsid w:val="003A7D78"/>
    <w:rsid w:val="003B0FAE"/>
    <w:rsid w:val="003B21B9"/>
    <w:rsid w:val="003B428A"/>
    <w:rsid w:val="003B4609"/>
    <w:rsid w:val="003B555A"/>
    <w:rsid w:val="003B5DE7"/>
    <w:rsid w:val="003B6B01"/>
    <w:rsid w:val="003B78DC"/>
    <w:rsid w:val="003C2392"/>
    <w:rsid w:val="003C2B88"/>
    <w:rsid w:val="003C30FD"/>
    <w:rsid w:val="003C3331"/>
    <w:rsid w:val="003C4465"/>
    <w:rsid w:val="003C56F2"/>
    <w:rsid w:val="003C66D4"/>
    <w:rsid w:val="003C68AA"/>
    <w:rsid w:val="003D0AA4"/>
    <w:rsid w:val="003D2217"/>
    <w:rsid w:val="003D5CE9"/>
    <w:rsid w:val="003D623F"/>
    <w:rsid w:val="003E0C1B"/>
    <w:rsid w:val="003E24A6"/>
    <w:rsid w:val="003E4B3B"/>
    <w:rsid w:val="003E5CF4"/>
    <w:rsid w:val="003F318C"/>
    <w:rsid w:val="003F6071"/>
    <w:rsid w:val="00400DBD"/>
    <w:rsid w:val="00402DB0"/>
    <w:rsid w:val="00403658"/>
    <w:rsid w:val="004036EC"/>
    <w:rsid w:val="00404B69"/>
    <w:rsid w:val="00405D49"/>
    <w:rsid w:val="004067BB"/>
    <w:rsid w:val="004076BB"/>
    <w:rsid w:val="004101E3"/>
    <w:rsid w:val="00410689"/>
    <w:rsid w:val="00411CD8"/>
    <w:rsid w:val="00414079"/>
    <w:rsid w:val="00414697"/>
    <w:rsid w:val="00416B4A"/>
    <w:rsid w:val="00420E07"/>
    <w:rsid w:val="00421A21"/>
    <w:rsid w:val="0042408B"/>
    <w:rsid w:val="00424357"/>
    <w:rsid w:val="00425251"/>
    <w:rsid w:val="00430E04"/>
    <w:rsid w:val="004326D7"/>
    <w:rsid w:val="004336AC"/>
    <w:rsid w:val="00434A7A"/>
    <w:rsid w:val="004373AD"/>
    <w:rsid w:val="00441A59"/>
    <w:rsid w:val="004438F0"/>
    <w:rsid w:val="004472B6"/>
    <w:rsid w:val="00452F28"/>
    <w:rsid w:val="004535D4"/>
    <w:rsid w:val="00453C29"/>
    <w:rsid w:val="0045566F"/>
    <w:rsid w:val="00456DFF"/>
    <w:rsid w:val="00460EE8"/>
    <w:rsid w:val="00461A76"/>
    <w:rsid w:val="004640E8"/>
    <w:rsid w:val="004643C2"/>
    <w:rsid w:val="00467DDF"/>
    <w:rsid w:val="00470614"/>
    <w:rsid w:val="0047266D"/>
    <w:rsid w:val="00473E9F"/>
    <w:rsid w:val="004754EF"/>
    <w:rsid w:val="00475989"/>
    <w:rsid w:val="0048236E"/>
    <w:rsid w:val="00483A71"/>
    <w:rsid w:val="00484FA8"/>
    <w:rsid w:val="004854DD"/>
    <w:rsid w:val="004870CE"/>
    <w:rsid w:val="00487801"/>
    <w:rsid w:val="00487CA2"/>
    <w:rsid w:val="00487D1A"/>
    <w:rsid w:val="004906F7"/>
    <w:rsid w:val="00491311"/>
    <w:rsid w:val="0049273A"/>
    <w:rsid w:val="00493095"/>
    <w:rsid w:val="0049313A"/>
    <w:rsid w:val="00493840"/>
    <w:rsid w:val="004944A7"/>
    <w:rsid w:val="00494DD1"/>
    <w:rsid w:val="00495874"/>
    <w:rsid w:val="0049665E"/>
    <w:rsid w:val="00496FD2"/>
    <w:rsid w:val="004A0124"/>
    <w:rsid w:val="004A0F2C"/>
    <w:rsid w:val="004A1349"/>
    <w:rsid w:val="004A4062"/>
    <w:rsid w:val="004A6AC7"/>
    <w:rsid w:val="004B45AF"/>
    <w:rsid w:val="004B5D34"/>
    <w:rsid w:val="004B7CD2"/>
    <w:rsid w:val="004C0175"/>
    <w:rsid w:val="004C1BD2"/>
    <w:rsid w:val="004C53CA"/>
    <w:rsid w:val="004C5406"/>
    <w:rsid w:val="004C5680"/>
    <w:rsid w:val="004C58E3"/>
    <w:rsid w:val="004C67C2"/>
    <w:rsid w:val="004C6A76"/>
    <w:rsid w:val="004C6F0A"/>
    <w:rsid w:val="004C790B"/>
    <w:rsid w:val="004D4E14"/>
    <w:rsid w:val="004D5D28"/>
    <w:rsid w:val="004D5E15"/>
    <w:rsid w:val="004D7677"/>
    <w:rsid w:val="004D77CA"/>
    <w:rsid w:val="004E14C0"/>
    <w:rsid w:val="004E2692"/>
    <w:rsid w:val="004E2EFC"/>
    <w:rsid w:val="004E33A5"/>
    <w:rsid w:val="004E360C"/>
    <w:rsid w:val="004E3985"/>
    <w:rsid w:val="004E4131"/>
    <w:rsid w:val="004E5823"/>
    <w:rsid w:val="004E5DCA"/>
    <w:rsid w:val="004F07C6"/>
    <w:rsid w:val="004F2C0C"/>
    <w:rsid w:val="004F5CE3"/>
    <w:rsid w:val="004F6C8A"/>
    <w:rsid w:val="00500EE2"/>
    <w:rsid w:val="00501936"/>
    <w:rsid w:val="005021F4"/>
    <w:rsid w:val="005064CC"/>
    <w:rsid w:val="00506578"/>
    <w:rsid w:val="005074E0"/>
    <w:rsid w:val="00507604"/>
    <w:rsid w:val="00507662"/>
    <w:rsid w:val="00507989"/>
    <w:rsid w:val="005103DD"/>
    <w:rsid w:val="00512CFE"/>
    <w:rsid w:val="00514273"/>
    <w:rsid w:val="00514D4A"/>
    <w:rsid w:val="00516C6C"/>
    <w:rsid w:val="00517F90"/>
    <w:rsid w:val="00522FE9"/>
    <w:rsid w:val="0052588C"/>
    <w:rsid w:val="00527823"/>
    <w:rsid w:val="00527DA8"/>
    <w:rsid w:val="0053248F"/>
    <w:rsid w:val="0053389F"/>
    <w:rsid w:val="00533C9F"/>
    <w:rsid w:val="00533DD0"/>
    <w:rsid w:val="00533EAE"/>
    <w:rsid w:val="00534F59"/>
    <w:rsid w:val="0053647B"/>
    <w:rsid w:val="005368BA"/>
    <w:rsid w:val="0054058C"/>
    <w:rsid w:val="005412B3"/>
    <w:rsid w:val="00543B2D"/>
    <w:rsid w:val="005461EA"/>
    <w:rsid w:val="00550739"/>
    <w:rsid w:val="005522AC"/>
    <w:rsid w:val="00560496"/>
    <w:rsid w:val="00561C32"/>
    <w:rsid w:val="00562BD3"/>
    <w:rsid w:val="005656D5"/>
    <w:rsid w:val="005658A1"/>
    <w:rsid w:val="00572835"/>
    <w:rsid w:val="0057604E"/>
    <w:rsid w:val="00577C40"/>
    <w:rsid w:val="00580AB0"/>
    <w:rsid w:val="00581164"/>
    <w:rsid w:val="00581285"/>
    <w:rsid w:val="00582127"/>
    <w:rsid w:val="00583C13"/>
    <w:rsid w:val="005848DE"/>
    <w:rsid w:val="00591892"/>
    <w:rsid w:val="00591EED"/>
    <w:rsid w:val="00591FEF"/>
    <w:rsid w:val="005926E0"/>
    <w:rsid w:val="00592FAC"/>
    <w:rsid w:val="00593AD5"/>
    <w:rsid w:val="005943A4"/>
    <w:rsid w:val="005945D9"/>
    <w:rsid w:val="00597882"/>
    <w:rsid w:val="005A08EB"/>
    <w:rsid w:val="005A176B"/>
    <w:rsid w:val="005A17A4"/>
    <w:rsid w:val="005A2ACB"/>
    <w:rsid w:val="005B0605"/>
    <w:rsid w:val="005B1FF2"/>
    <w:rsid w:val="005B2412"/>
    <w:rsid w:val="005B46FA"/>
    <w:rsid w:val="005B5E0A"/>
    <w:rsid w:val="005B7B9E"/>
    <w:rsid w:val="005C023E"/>
    <w:rsid w:val="005C0E26"/>
    <w:rsid w:val="005C5801"/>
    <w:rsid w:val="005C5CAF"/>
    <w:rsid w:val="005C634F"/>
    <w:rsid w:val="005C64AA"/>
    <w:rsid w:val="005C6957"/>
    <w:rsid w:val="005D41D7"/>
    <w:rsid w:val="005D67C7"/>
    <w:rsid w:val="005D70D2"/>
    <w:rsid w:val="005D7451"/>
    <w:rsid w:val="005D7615"/>
    <w:rsid w:val="005E003C"/>
    <w:rsid w:val="005E1082"/>
    <w:rsid w:val="005E2E33"/>
    <w:rsid w:val="005E2F0C"/>
    <w:rsid w:val="005E38F9"/>
    <w:rsid w:val="005E3FFE"/>
    <w:rsid w:val="005E4790"/>
    <w:rsid w:val="005E4FB9"/>
    <w:rsid w:val="005E5535"/>
    <w:rsid w:val="005F029E"/>
    <w:rsid w:val="005F3BDA"/>
    <w:rsid w:val="005F3F81"/>
    <w:rsid w:val="005F4FE1"/>
    <w:rsid w:val="005F5050"/>
    <w:rsid w:val="005F672D"/>
    <w:rsid w:val="005F6BD5"/>
    <w:rsid w:val="00600AA6"/>
    <w:rsid w:val="00600B66"/>
    <w:rsid w:val="0060226B"/>
    <w:rsid w:val="00603901"/>
    <w:rsid w:val="00603FE5"/>
    <w:rsid w:val="0060748C"/>
    <w:rsid w:val="00610FC7"/>
    <w:rsid w:val="006122C0"/>
    <w:rsid w:val="00612792"/>
    <w:rsid w:val="0061534E"/>
    <w:rsid w:val="00620716"/>
    <w:rsid w:val="00623132"/>
    <w:rsid w:val="00623CB3"/>
    <w:rsid w:val="00626DCA"/>
    <w:rsid w:val="00627051"/>
    <w:rsid w:val="0063116E"/>
    <w:rsid w:val="006338A8"/>
    <w:rsid w:val="00633FE3"/>
    <w:rsid w:val="00634412"/>
    <w:rsid w:val="00636B7E"/>
    <w:rsid w:val="00636E51"/>
    <w:rsid w:val="00641868"/>
    <w:rsid w:val="006424B7"/>
    <w:rsid w:val="00642662"/>
    <w:rsid w:val="006455F8"/>
    <w:rsid w:val="0064676F"/>
    <w:rsid w:val="00646A5A"/>
    <w:rsid w:val="00650F79"/>
    <w:rsid w:val="00651096"/>
    <w:rsid w:val="006561A0"/>
    <w:rsid w:val="006571D5"/>
    <w:rsid w:val="006606CB"/>
    <w:rsid w:val="0066326D"/>
    <w:rsid w:val="00664571"/>
    <w:rsid w:val="00664993"/>
    <w:rsid w:val="00670605"/>
    <w:rsid w:val="00670B38"/>
    <w:rsid w:val="006715E1"/>
    <w:rsid w:val="006741B4"/>
    <w:rsid w:val="00676675"/>
    <w:rsid w:val="00680BDC"/>
    <w:rsid w:val="00682316"/>
    <w:rsid w:val="006831AA"/>
    <w:rsid w:val="0068352E"/>
    <w:rsid w:val="00691C23"/>
    <w:rsid w:val="00692B5F"/>
    <w:rsid w:val="0069370A"/>
    <w:rsid w:val="00693CCB"/>
    <w:rsid w:val="00693F57"/>
    <w:rsid w:val="0069476B"/>
    <w:rsid w:val="00696A70"/>
    <w:rsid w:val="00696C69"/>
    <w:rsid w:val="00696EE4"/>
    <w:rsid w:val="006A0336"/>
    <w:rsid w:val="006A1745"/>
    <w:rsid w:val="006A1D14"/>
    <w:rsid w:val="006A42BD"/>
    <w:rsid w:val="006A5C5F"/>
    <w:rsid w:val="006A61C0"/>
    <w:rsid w:val="006B0F0B"/>
    <w:rsid w:val="006B2AB1"/>
    <w:rsid w:val="006B4088"/>
    <w:rsid w:val="006B6332"/>
    <w:rsid w:val="006B692B"/>
    <w:rsid w:val="006B730A"/>
    <w:rsid w:val="006C11B6"/>
    <w:rsid w:val="006C1F22"/>
    <w:rsid w:val="006C2963"/>
    <w:rsid w:val="006C4975"/>
    <w:rsid w:val="006C4E27"/>
    <w:rsid w:val="006C7267"/>
    <w:rsid w:val="006D1631"/>
    <w:rsid w:val="006D173A"/>
    <w:rsid w:val="006D1902"/>
    <w:rsid w:val="006D2401"/>
    <w:rsid w:val="006D2E99"/>
    <w:rsid w:val="006D57D0"/>
    <w:rsid w:val="006D5FD9"/>
    <w:rsid w:val="006E2DA9"/>
    <w:rsid w:val="006E3E15"/>
    <w:rsid w:val="006E74A1"/>
    <w:rsid w:val="006E7C5F"/>
    <w:rsid w:val="006F0431"/>
    <w:rsid w:val="006F063D"/>
    <w:rsid w:val="006F2B2D"/>
    <w:rsid w:val="006F4E1F"/>
    <w:rsid w:val="006F600C"/>
    <w:rsid w:val="0070451F"/>
    <w:rsid w:val="00705F25"/>
    <w:rsid w:val="00706AE5"/>
    <w:rsid w:val="00707D80"/>
    <w:rsid w:val="00711615"/>
    <w:rsid w:val="00711DFD"/>
    <w:rsid w:val="00713CC0"/>
    <w:rsid w:val="007143E9"/>
    <w:rsid w:val="007148CF"/>
    <w:rsid w:val="00716681"/>
    <w:rsid w:val="00716EF1"/>
    <w:rsid w:val="007210D3"/>
    <w:rsid w:val="007221AE"/>
    <w:rsid w:val="007304CC"/>
    <w:rsid w:val="0073265A"/>
    <w:rsid w:val="007416E0"/>
    <w:rsid w:val="00741AAE"/>
    <w:rsid w:val="007429B3"/>
    <w:rsid w:val="007436B8"/>
    <w:rsid w:val="00743F7C"/>
    <w:rsid w:val="0074446C"/>
    <w:rsid w:val="0074468B"/>
    <w:rsid w:val="007452D5"/>
    <w:rsid w:val="00745BB3"/>
    <w:rsid w:val="00750E64"/>
    <w:rsid w:val="00751E82"/>
    <w:rsid w:val="00752281"/>
    <w:rsid w:val="00752E84"/>
    <w:rsid w:val="00752ED3"/>
    <w:rsid w:val="0075689E"/>
    <w:rsid w:val="0075723A"/>
    <w:rsid w:val="007576DE"/>
    <w:rsid w:val="00760D3C"/>
    <w:rsid w:val="00760E8F"/>
    <w:rsid w:val="0076454F"/>
    <w:rsid w:val="007709C3"/>
    <w:rsid w:val="00773100"/>
    <w:rsid w:val="00773B71"/>
    <w:rsid w:val="007748F4"/>
    <w:rsid w:val="0077769C"/>
    <w:rsid w:val="00780E96"/>
    <w:rsid w:val="007855AB"/>
    <w:rsid w:val="007864D1"/>
    <w:rsid w:val="00790B59"/>
    <w:rsid w:val="00791F7E"/>
    <w:rsid w:val="00796948"/>
    <w:rsid w:val="007975C9"/>
    <w:rsid w:val="007A1D7E"/>
    <w:rsid w:val="007A241D"/>
    <w:rsid w:val="007A2AFF"/>
    <w:rsid w:val="007A367C"/>
    <w:rsid w:val="007A370B"/>
    <w:rsid w:val="007A472E"/>
    <w:rsid w:val="007A602A"/>
    <w:rsid w:val="007A605F"/>
    <w:rsid w:val="007A6B1C"/>
    <w:rsid w:val="007A7B95"/>
    <w:rsid w:val="007A7DA0"/>
    <w:rsid w:val="007B0679"/>
    <w:rsid w:val="007B1D45"/>
    <w:rsid w:val="007B30AC"/>
    <w:rsid w:val="007B51CD"/>
    <w:rsid w:val="007B54B2"/>
    <w:rsid w:val="007B70C9"/>
    <w:rsid w:val="007B780C"/>
    <w:rsid w:val="007B79A8"/>
    <w:rsid w:val="007B7D4A"/>
    <w:rsid w:val="007C0606"/>
    <w:rsid w:val="007C223F"/>
    <w:rsid w:val="007C2297"/>
    <w:rsid w:val="007C231D"/>
    <w:rsid w:val="007C6341"/>
    <w:rsid w:val="007C679C"/>
    <w:rsid w:val="007D1E80"/>
    <w:rsid w:val="007D2235"/>
    <w:rsid w:val="007D42CC"/>
    <w:rsid w:val="007D4614"/>
    <w:rsid w:val="007D4D49"/>
    <w:rsid w:val="007D5BA1"/>
    <w:rsid w:val="007D710C"/>
    <w:rsid w:val="007D7C21"/>
    <w:rsid w:val="007E0E4A"/>
    <w:rsid w:val="007E12AD"/>
    <w:rsid w:val="007E1413"/>
    <w:rsid w:val="007E2030"/>
    <w:rsid w:val="007E3D0A"/>
    <w:rsid w:val="007E441A"/>
    <w:rsid w:val="007E5203"/>
    <w:rsid w:val="007E68F7"/>
    <w:rsid w:val="007E7499"/>
    <w:rsid w:val="007F27A3"/>
    <w:rsid w:val="007F4F1E"/>
    <w:rsid w:val="007F552A"/>
    <w:rsid w:val="007F5C37"/>
    <w:rsid w:val="00801D8E"/>
    <w:rsid w:val="00803008"/>
    <w:rsid w:val="00806298"/>
    <w:rsid w:val="008066B8"/>
    <w:rsid w:val="00807BBF"/>
    <w:rsid w:val="008104C4"/>
    <w:rsid w:val="008104D8"/>
    <w:rsid w:val="00813183"/>
    <w:rsid w:val="00813448"/>
    <w:rsid w:val="008147EF"/>
    <w:rsid w:val="0081567A"/>
    <w:rsid w:val="00816588"/>
    <w:rsid w:val="00817205"/>
    <w:rsid w:val="00824959"/>
    <w:rsid w:val="00824BED"/>
    <w:rsid w:val="00825A92"/>
    <w:rsid w:val="0082626A"/>
    <w:rsid w:val="00826AE8"/>
    <w:rsid w:val="008309B3"/>
    <w:rsid w:val="0083271E"/>
    <w:rsid w:val="0083339B"/>
    <w:rsid w:val="00835FFE"/>
    <w:rsid w:val="00836346"/>
    <w:rsid w:val="00837500"/>
    <w:rsid w:val="00837687"/>
    <w:rsid w:val="00840942"/>
    <w:rsid w:val="00840BD2"/>
    <w:rsid w:val="00840CFB"/>
    <w:rsid w:val="008441AD"/>
    <w:rsid w:val="00844B2F"/>
    <w:rsid w:val="00844DA6"/>
    <w:rsid w:val="00853D75"/>
    <w:rsid w:val="008559F3"/>
    <w:rsid w:val="00855AA5"/>
    <w:rsid w:val="008605AB"/>
    <w:rsid w:val="00862DDF"/>
    <w:rsid w:val="0087033F"/>
    <w:rsid w:val="00871CA2"/>
    <w:rsid w:val="00872CDF"/>
    <w:rsid w:val="00874107"/>
    <w:rsid w:val="008767AC"/>
    <w:rsid w:val="00880167"/>
    <w:rsid w:val="00882A06"/>
    <w:rsid w:val="00890C71"/>
    <w:rsid w:val="00894FF1"/>
    <w:rsid w:val="00897E5E"/>
    <w:rsid w:val="00897F8E"/>
    <w:rsid w:val="008A07F9"/>
    <w:rsid w:val="008A4273"/>
    <w:rsid w:val="008A5FE1"/>
    <w:rsid w:val="008A728D"/>
    <w:rsid w:val="008B08B6"/>
    <w:rsid w:val="008B23F8"/>
    <w:rsid w:val="008B3ED7"/>
    <w:rsid w:val="008B4236"/>
    <w:rsid w:val="008B6208"/>
    <w:rsid w:val="008C1448"/>
    <w:rsid w:val="008C17E7"/>
    <w:rsid w:val="008C4491"/>
    <w:rsid w:val="008C46AF"/>
    <w:rsid w:val="008C55A5"/>
    <w:rsid w:val="008C5A48"/>
    <w:rsid w:val="008C6741"/>
    <w:rsid w:val="008C6E5F"/>
    <w:rsid w:val="008C76A1"/>
    <w:rsid w:val="008D0116"/>
    <w:rsid w:val="008D0349"/>
    <w:rsid w:val="008D044A"/>
    <w:rsid w:val="008D16DA"/>
    <w:rsid w:val="008D214D"/>
    <w:rsid w:val="008D3025"/>
    <w:rsid w:val="008D3075"/>
    <w:rsid w:val="008D4920"/>
    <w:rsid w:val="008D4C43"/>
    <w:rsid w:val="008E074A"/>
    <w:rsid w:val="008E08B3"/>
    <w:rsid w:val="008E2DE4"/>
    <w:rsid w:val="008E5785"/>
    <w:rsid w:val="008E5F6B"/>
    <w:rsid w:val="008E5F86"/>
    <w:rsid w:val="008E64B2"/>
    <w:rsid w:val="008E7E11"/>
    <w:rsid w:val="008F0473"/>
    <w:rsid w:val="008F07C5"/>
    <w:rsid w:val="008F0CCE"/>
    <w:rsid w:val="008F1CA5"/>
    <w:rsid w:val="008F208D"/>
    <w:rsid w:val="008F3025"/>
    <w:rsid w:val="008F3C01"/>
    <w:rsid w:val="008F4DB0"/>
    <w:rsid w:val="008F7144"/>
    <w:rsid w:val="008F7C9D"/>
    <w:rsid w:val="009010E7"/>
    <w:rsid w:val="009019AC"/>
    <w:rsid w:val="009030AE"/>
    <w:rsid w:val="009037B7"/>
    <w:rsid w:val="009046AA"/>
    <w:rsid w:val="00904A8D"/>
    <w:rsid w:val="009068C7"/>
    <w:rsid w:val="00907D31"/>
    <w:rsid w:val="0091085F"/>
    <w:rsid w:val="00914019"/>
    <w:rsid w:val="00914DD1"/>
    <w:rsid w:val="00915825"/>
    <w:rsid w:val="009164A2"/>
    <w:rsid w:val="009170B5"/>
    <w:rsid w:val="00917922"/>
    <w:rsid w:val="00921BF3"/>
    <w:rsid w:val="00922C13"/>
    <w:rsid w:val="009233BB"/>
    <w:rsid w:val="00925CA1"/>
    <w:rsid w:val="009304C4"/>
    <w:rsid w:val="0093478A"/>
    <w:rsid w:val="00936915"/>
    <w:rsid w:val="00936FFA"/>
    <w:rsid w:val="0094458E"/>
    <w:rsid w:val="00944AD4"/>
    <w:rsid w:val="00944BF6"/>
    <w:rsid w:val="009464F8"/>
    <w:rsid w:val="00946FB7"/>
    <w:rsid w:val="0095056D"/>
    <w:rsid w:val="00952D5B"/>
    <w:rsid w:val="009538CC"/>
    <w:rsid w:val="0095397F"/>
    <w:rsid w:val="00954AE7"/>
    <w:rsid w:val="00955B13"/>
    <w:rsid w:val="00956328"/>
    <w:rsid w:val="00956AE2"/>
    <w:rsid w:val="00964311"/>
    <w:rsid w:val="00964C4D"/>
    <w:rsid w:val="00965F08"/>
    <w:rsid w:val="00966B76"/>
    <w:rsid w:val="00970663"/>
    <w:rsid w:val="00970F69"/>
    <w:rsid w:val="00971545"/>
    <w:rsid w:val="009722EB"/>
    <w:rsid w:val="009736AE"/>
    <w:rsid w:val="00974C21"/>
    <w:rsid w:val="009755E5"/>
    <w:rsid w:val="009772B7"/>
    <w:rsid w:val="009776B6"/>
    <w:rsid w:val="00980D6A"/>
    <w:rsid w:val="0098197E"/>
    <w:rsid w:val="009827A6"/>
    <w:rsid w:val="00984E34"/>
    <w:rsid w:val="00985F9D"/>
    <w:rsid w:val="009860E9"/>
    <w:rsid w:val="00990886"/>
    <w:rsid w:val="00990941"/>
    <w:rsid w:val="0099336E"/>
    <w:rsid w:val="009942EA"/>
    <w:rsid w:val="00994819"/>
    <w:rsid w:val="00994ED7"/>
    <w:rsid w:val="00995461"/>
    <w:rsid w:val="00995D9A"/>
    <w:rsid w:val="009975A9"/>
    <w:rsid w:val="009A092B"/>
    <w:rsid w:val="009A17CD"/>
    <w:rsid w:val="009A2C5D"/>
    <w:rsid w:val="009A2DB2"/>
    <w:rsid w:val="009A3EB1"/>
    <w:rsid w:val="009A4253"/>
    <w:rsid w:val="009B09DD"/>
    <w:rsid w:val="009B1D60"/>
    <w:rsid w:val="009B33D2"/>
    <w:rsid w:val="009C4312"/>
    <w:rsid w:val="009C4669"/>
    <w:rsid w:val="009C520D"/>
    <w:rsid w:val="009C5899"/>
    <w:rsid w:val="009C74BA"/>
    <w:rsid w:val="009D13A8"/>
    <w:rsid w:val="009D2F99"/>
    <w:rsid w:val="009E0C06"/>
    <w:rsid w:val="009E3A34"/>
    <w:rsid w:val="009E3A61"/>
    <w:rsid w:val="009E3AFE"/>
    <w:rsid w:val="009E5E3B"/>
    <w:rsid w:val="009E5ED8"/>
    <w:rsid w:val="009F0C1C"/>
    <w:rsid w:val="009F24D7"/>
    <w:rsid w:val="009F50A1"/>
    <w:rsid w:val="00A03C24"/>
    <w:rsid w:val="00A03C71"/>
    <w:rsid w:val="00A04FFF"/>
    <w:rsid w:val="00A1005F"/>
    <w:rsid w:val="00A10E84"/>
    <w:rsid w:val="00A10F85"/>
    <w:rsid w:val="00A119CB"/>
    <w:rsid w:val="00A14066"/>
    <w:rsid w:val="00A15DFD"/>
    <w:rsid w:val="00A20270"/>
    <w:rsid w:val="00A21E3F"/>
    <w:rsid w:val="00A23BE6"/>
    <w:rsid w:val="00A256F3"/>
    <w:rsid w:val="00A26423"/>
    <w:rsid w:val="00A33512"/>
    <w:rsid w:val="00A3729F"/>
    <w:rsid w:val="00A41705"/>
    <w:rsid w:val="00A433C3"/>
    <w:rsid w:val="00A441C9"/>
    <w:rsid w:val="00A479CF"/>
    <w:rsid w:val="00A51B52"/>
    <w:rsid w:val="00A51CC3"/>
    <w:rsid w:val="00A56657"/>
    <w:rsid w:val="00A60254"/>
    <w:rsid w:val="00A608F2"/>
    <w:rsid w:val="00A65DB4"/>
    <w:rsid w:val="00A75552"/>
    <w:rsid w:val="00A76122"/>
    <w:rsid w:val="00A77703"/>
    <w:rsid w:val="00A800E2"/>
    <w:rsid w:val="00A80CA7"/>
    <w:rsid w:val="00A82B39"/>
    <w:rsid w:val="00A8351F"/>
    <w:rsid w:val="00A92488"/>
    <w:rsid w:val="00A9345F"/>
    <w:rsid w:val="00AA0C1F"/>
    <w:rsid w:val="00AA5526"/>
    <w:rsid w:val="00AB2052"/>
    <w:rsid w:val="00AB38F9"/>
    <w:rsid w:val="00AB5E1A"/>
    <w:rsid w:val="00AC1352"/>
    <w:rsid w:val="00AC18F3"/>
    <w:rsid w:val="00AC1A4F"/>
    <w:rsid w:val="00AC1C13"/>
    <w:rsid w:val="00AC2AEC"/>
    <w:rsid w:val="00AC4EBE"/>
    <w:rsid w:val="00AC6B02"/>
    <w:rsid w:val="00AC7720"/>
    <w:rsid w:val="00AD4D29"/>
    <w:rsid w:val="00AD57B7"/>
    <w:rsid w:val="00AD60ED"/>
    <w:rsid w:val="00AE0AD4"/>
    <w:rsid w:val="00AE35CF"/>
    <w:rsid w:val="00AE4E06"/>
    <w:rsid w:val="00AE6D04"/>
    <w:rsid w:val="00AE73F7"/>
    <w:rsid w:val="00AE7A3B"/>
    <w:rsid w:val="00AE7D51"/>
    <w:rsid w:val="00AF7828"/>
    <w:rsid w:val="00B0002A"/>
    <w:rsid w:val="00B0341D"/>
    <w:rsid w:val="00B03884"/>
    <w:rsid w:val="00B03FEC"/>
    <w:rsid w:val="00B059C2"/>
    <w:rsid w:val="00B05D73"/>
    <w:rsid w:val="00B13CCC"/>
    <w:rsid w:val="00B14826"/>
    <w:rsid w:val="00B14986"/>
    <w:rsid w:val="00B14B31"/>
    <w:rsid w:val="00B14ED8"/>
    <w:rsid w:val="00B14FA4"/>
    <w:rsid w:val="00B20D40"/>
    <w:rsid w:val="00B212EE"/>
    <w:rsid w:val="00B305AB"/>
    <w:rsid w:val="00B32841"/>
    <w:rsid w:val="00B44FA7"/>
    <w:rsid w:val="00B51EF4"/>
    <w:rsid w:val="00B5446A"/>
    <w:rsid w:val="00B556C3"/>
    <w:rsid w:val="00B55BDE"/>
    <w:rsid w:val="00B57B2D"/>
    <w:rsid w:val="00B57E70"/>
    <w:rsid w:val="00B60299"/>
    <w:rsid w:val="00B620B0"/>
    <w:rsid w:val="00B63C32"/>
    <w:rsid w:val="00B70EA1"/>
    <w:rsid w:val="00B71AA8"/>
    <w:rsid w:val="00B71D29"/>
    <w:rsid w:val="00B74408"/>
    <w:rsid w:val="00B7525B"/>
    <w:rsid w:val="00B76343"/>
    <w:rsid w:val="00B77092"/>
    <w:rsid w:val="00B806E2"/>
    <w:rsid w:val="00B80960"/>
    <w:rsid w:val="00B84F99"/>
    <w:rsid w:val="00B853E1"/>
    <w:rsid w:val="00B87C48"/>
    <w:rsid w:val="00B901F2"/>
    <w:rsid w:val="00B90730"/>
    <w:rsid w:val="00B90CB3"/>
    <w:rsid w:val="00B956C5"/>
    <w:rsid w:val="00B95AC8"/>
    <w:rsid w:val="00B96191"/>
    <w:rsid w:val="00BA1CDF"/>
    <w:rsid w:val="00BA2996"/>
    <w:rsid w:val="00BA2EB6"/>
    <w:rsid w:val="00BA5B4B"/>
    <w:rsid w:val="00BA7C02"/>
    <w:rsid w:val="00BB0BC6"/>
    <w:rsid w:val="00BB0C8C"/>
    <w:rsid w:val="00BB22DB"/>
    <w:rsid w:val="00BB317B"/>
    <w:rsid w:val="00BB4200"/>
    <w:rsid w:val="00BB48EA"/>
    <w:rsid w:val="00BB67F8"/>
    <w:rsid w:val="00BB6D74"/>
    <w:rsid w:val="00BB757E"/>
    <w:rsid w:val="00BC04DC"/>
    <w:rsid w:val="00BC5318"/>
    <w:rsid w:val="00BC56D0"/>
    <w:rsid w:val="00BC5E84"/>
    <w:rsid w:val="00BC7714"/>
    <w:rsid w:val="00BC7FC0"/>
    <w:rsid w:val="00BD131F"/>
    <w:rsid w:val="00BD3A72"/>
    <w:rsid w:val="00BD533E"/>
    <w:rsid w:val="00BD6F91"/>
    <w:rsid w:val="00BD7B7F"/>
    <w:rsid w:val="00BD7ECF"/>
    <w:rsid w:val="00BE1D7F"/>
    <w:rsid w:val="00BE4194"/>
    <w:rsid w:val="00BE643C"/>
    <w:rsid w:val="00BE66F0"/>
    <w:rsid w:val="00BE6FC3"/>
    <w:rsid w:val="00BE7B6E"/>
    <w:rsid w:val="00C00293"/>
    <w:rsid w:val="00C019F2"/>
    <w:rsid w:val="00C06472"/>
    <w:rsid w:val="00C07142"/>
    <w:rsid w:val="00C07A4F"/>
    <w:rsid w:val="00C07EAF"/>
    <w:rsid w:val="00C10DC4"/>
    <w:rsid w:val="00C11BAE"/>
    <w:rsid w:val="00C12FDC"/>
    <w:rsid w:val="00C16DAB"/>
    <w:rsid w:val="00C17C64"/>
    <w:rsid w:val="00C235D3"/>
    <w:rsid w:val="00C279D1"/>
    <w:rsid w:val="00C312D7"/>
    <w:rsid w:val="00C31310"/>
    <w:rsid w:val="00C32AAC"/>
    <w:rsid w:val="00C331BC"/>
    <w:rsid w:val="00C33336"/>
    <w:rsid w:val="00C348A0"/>
    <w:rsid w:val="00C46E1D"/>
    <w:rsid w:val="00C47C59"/>
    <w:rsid w:val="00C47CF4"/>
    <w:rsid w:val="00C51B3E"/>
    <w:rsid w:val="00C52CBF"/>
    <w:rsid w:val="00C52D07"/>
    <w:rsid w:val="00C5330C"/>
    <w:rsid w:val="00C54469"/>
    <w:rsid w:val="00C55C43"/>
    <w:rsid w:val="00C565EC"/>
    <w:rsid w:val="00C57F6B"/>
    <w:rsid w:val="00C6185E"/>
    <w:rsid w:val="00C61AE1"/>
    <w:rsid w:val="00C62591"/>
    <w:rsid w:val="00C64C89"/>
    <w:rsid w:val="00C655CE"/>
    <w:rsid w:val="00C655ED"/>
    <w:rsid w:val="00C65703"/>
    <w:rsid w:val="00C668AE"/>
    <w:rsid w:val="00C6718A"/>
    <w:rsid w:val="00C671E3"/>
    <w:rsid w:val="00C67B71"/>
    <w:rsid w:val="00C7102A"/>
    <w:rsid w:val="00C7479F"/>
    <w:rsid w:val="00C74DED"/>
    <w:rsid w:val="00C76581"/>
    <w:rsid w:val="00C7684D"/>
    <w:rsid w:val="00C77800"/>
    <w:rsid w:val="00C811D2"/>
    <w:rsid w:val="00C82592"/>
    <w:rsid w:val="00C82BB7"/>
    <w:rsid w:val="00C83363"/>
    <w:rsid w:val="00C84599"/>
    <w:rsid w:val="00C93145"/>
    <w:rsid w:val="00C93B26"/>
    <w:rsid w:val="00C93E41"/>
    <w:rsid w:val="00C95C2E"/>
    <w:rsid w:val="00C96511"/>
    <w:rsid w:val="00C97DDD"/>
    <w:rsid w:val="00C97EA4"/>
    <w:rsid w:val="00CA05EB"/>
    <w:rsid w:val="00CA111D"/>
    <w:rsid w:val="00CA4544"/>
    <w:rsid w:val="00CA59F9"/>
    <w:rsid w:val="00CA6126"/>
    <w:rsid w:val="00CA66EB"/>
    <w:rsid w:val="00CA71F2"/>
    <w:rsid w:val="00CA7CB4"/>
    <w:rsid w:val="00CB1242"/>
    <w:rsid w:val="00CB207C"/>
    <w:rsid w:val="00CB241F"/>
    <w:rsid w:val="00CB3693"/>
    <w:rsid w:val="00CB4295"/>
    <w:rsid w:val="00CB43FB"/>
    <w:rsid w:val="00CB5D1A"/>
    <w:rsid w:val="00CB7323"/>
    <w:rsid w:val="00CC128B"/>
    <w:rsid w:val="00CC1B54"/>
    <w:rsid w:val="00CC2F28"/>
    <w:rsid w:val="00CC45AB"/>
    <w:rsid w:val="00CC65E2"/>
    <w:rsid w:val="00CD1D24"/>
    <w:rsid w:val="00CD34A1"/>
    <w:rsid w:val="00CE05F0"/>
    <w:rsid w:val="00CE18D1"/>
    <w:rsid w:val="00CE2374"/>
    <w:rsid w:val="00CE5AE1"/>
    <w:rsid w:val="00CE6175"/>
    <w:rsid w:val="00CE7C39"/>
    <w:rsid w:val="00CF0147"/>
    <w:rsid w:val="00CF6554"/>
    <w:rsid w:val="00D005C7"/>
    <w:rsid w:val="00D026B3"/>
    <w:rsid w:val="00D03352"/>
    <w:rsid w:val="00D05DFA"/>
    <w:rsid w:val="00D05E0A"/>
    <w:rsid w:val="00D074B8"/>
    <w:rsid w:val="00D13133"/>
    <w:rsid w:val="00D14FD0"/>
    <w:rsid w:val="00D156A8"/>
    <w:rsid w:val="00D15F56"/>
    <w:rsid w:val="00D21B3C"/>
    <w:rsid w:val="00D24CDF"/>
    <w:rsid w:val="00D24FCE"/>
    <w:rsid w:val="00D25105"/>
    <w:rsid w:val="00D257C5"/>
    <w:rsid w:val="00D2616E"/>
    <w:rsid w:val="00D26A7A"/>
    <w:rsid w:val="00D30472"/>
    <w:rsid w:val="00D31B7B"/>
    <w:rsid w:val="00D31F5F"/>
    <w:rsid w:val="00D32D50"/>
    <w:rsid w:val="00D33E2B"/>
    <w:rsid w:val="00D34963"/>
    <w:rsid w:val="00D3553A"/>
    <w:rsid w:val="00D3559D"/>
    <w:rsid w:val="00D35D4D"/>
    <w:rsid w:val="00D3649C"/>
    <w:rsid w:val="00D379BC"/>
    <w:rsid w:val="00D403BB"/>
    <w:rsid w:val="00D408D3"/>
    <w:rsid w:val="00D40AEE"/>
    <w:rsid w:val="00D40EB3"/>
    <w:rsid w:val="00D43179"/>
    <w:rsid w:val="00D50B42"/>
    <w:rsid w:val="00D53EA2"/>
    <w:rsid w:val="00D60D82"/>
    <w:rsid w:val="00D61FF3"/>
    <w:rsid w:val="00D62737"/>
    <w:rsid w:val="00D62A99"/>
    <w:rsid w:val="00D63CE3"/>
    <w:rsid w:val="00D64DAE"/>
    <w:rsid w:val="00D65924"/>
    <w:rsid w:val="00D7010A"/>
    <w:rsid w:val="00D7067F"/>
    <w:rsid w:val="00D714AD"/>
    <w:rsid w:val="00D74402"/>
    <w:rsid w:val="00D74C99"/>
    <w:rsid w:val="00D75495"/>
    <w:rsid w:val="00D75EFF"/>
    <w:rsid w:val="00D8014A"/>
    <w:rsid w:val="00D80B7D"/>
    <w:rsid w:val="00D80CB3"/>
    <w:rsid w:val="00D817B1"/>
    <w:rsid w:val="00D8214C"/>
    <w:rsid w:val="00D82FC2"/>
    <w:rsid w:val="00D83D2E"/>
    <w:rsid w:val="00D85BBF"/>
    <w:rsid w:val="00D85BED"/>
    <w:rsid w:val="00D86188"/>
    <w:rsid w:val="00D87B14"/>
    <w:rsid w:val="00D90CE6"/>
    <w:rsid w:val="00D941F7"/>
    <w:rsid w:val="00D94241"/>
    <w:rsid w:val="00D94E0F"/>
    <w:rsid w:val="00D95A3F"/>
    <w:rsid w:val="00D96AC2"/>
    <w:rsid w:val="00DA2D37"/>
    <w:rsid w:val="00DA54A6"/>
    <w:rsid w:val="00DA6F0E"/>
    <w:rsid w:val="00DB05A6"/>
    <w:rsid w:val="00DB1042"/>
    <w:rsid w:val="00DB2D93"/>
    <w:rsid w:val="00DB6029"/>
    <w:rsid w:val="00DB63FE"/>
    <w:rsid w:val="00DC1E8D"/>
    <w:rsid w:val="00DC31DC"/>
    <w:rsid w:val="00DC3D34"/>
    <w:rsid w:val="00DC3DEB"/>
    <w:rsid w:val="00DC3DEE"/>
    <w:rsid w:val="00DC75B1"/>
    <w:rsid w:val="00DD0745"/>
    <w:rsid w:val="00DD0E50"/>
    <w:rsid w:val="00DD362A"/>
    <w:rsid w:val="00DD6505"/>
    <w:rsid w:val="00DD6F3B"/>
    <w:rsid w:val="00DE0766"/>
    <w:rsid w:val="00DE2961"/>
    <w:rsid w:val="00DE32DB"/>
    <w:rsid w:val="00DE375A"/>
    <w:rsid w:val="00DE3EF1"/>
    <w:rsid w:val="00DE4597"/>
    <w:rsid w:val="00DE6613"/>
    <w:rsid w:val="00DE67A0"/>
    <w:rsid w:val="00DF09E8"/>
    <w:rsid w:val="00DF3292"/>
    <w:rsid w:val="00DF6052"/>
    <w:rsid w:val="00DF701A"/>
    <w:rsid w:val="00DF7A85"/>
    <w:rsid w:val="00E007D1"/>
    <w:rsid w:val="00E03C87"/>
    <w:rsid w:val="00E06CDB"/>
    <w:rsid w:val="00E06E25"/>
    <w:rsid w:val="00E073AC"/>
    <w:rsid w:val="00E074EB"/>
    <w:rsid w:val="00E10DB6"/>
    <w:rsid w:val="00E11909"/>
    <w:rsid w:val="00E12AA3"/>
    <w:rsid w:val="00E138F5"/>
    <w:rsid w:val="00E13AC6"/>
    <w:rsid w:val="00E142D0"/>
    <w:rsid w:val="00E14382"/>
    <w:rsid w:val="00E151AB"/>
    <w:rsid w:val="00E15F8F"/>
    <w:rsid w:val="00E1748B"/>
    <w:rsid w:val="00E17750"/>
    <w:rsid w:val="00E205AC"/>
    <w:rsid w:val="00E20C6B"/>
    <w:rsid w:val="00E224E9"/>
    <w:rsid w:val="00E2314E"/>
    <w:rsid w:val="00E24069"/>
    <w:rsid w:val="00E2697A"/>
    <w:rsid w:val="00E26CD9"/>
    <w:rsid w:val="00E27FAB"/>
    <w:rsid w:val="00E32038"/>
    <w:rsid w:val="00E32273"/>
    <w:rsid w:val="00E33CAC"/>
    <w:rsid w:val="00E34AD0"/>
    <w:rsid w:val="00E35051"/>
    <w:rsid w:val="00E355BC"/>
    <w:rsid w:val="00E362AE"/>
    <w:rsid w:val="00E41A67"/>
    <w:rsid w:val="00E41D5E"/>
    <w:rsid w:val="00E4740D"/>
    <w:rsid w:val="00E477B9"/>
    <w:rsid w:val="00E47FE4"/>
    <w:rsid w:val="00E50862"/>
    <w:rsid w:val="00E50E94"/>
    <w:rsid w:val="00E53A3A"/>
    <w:rsid w:val="00E60C29"/>
    <w:rsid w:val="00E61AF2"/>
    <w:rsid w:val="00E63B85"/>
    <w:rsid w:val="00E716DD"/>
    <w:rsid w:val="00E71C2C"/>
    <w:rsid w:val="00E7265D"/>
    <w:rsid w:val="00E72C91"/>
    <w:rsid w:val="00E76433"/>
    <w:rsid w:val="00E76705"/>
    <w:rsid w:val="00E77178"/>
    <w:rsid w:val="00E80ECD"/>
    <w:rsid w:val="00E8268D"/>
    <w:rsid w:val="00E82E2F"/>
    <w:rsid w:val="00E87579"/>
    <w:rsid w:val="00E90F88"/>
    <w:rsid w:val="00E91328"/>
    <w:rsid w:val="00E91AA9"/>
    <w:rsid w:val="00E92A4F"/>
    <w:rsid w:val="00E93104"/>
    <w:rsid w:val="00E93524"/>
    <w:rsid w:val="00E9430B"/>
    <w:rsid w:val="00E94991"/>
    <w:rsid w:val="00E95FD7"/>
    <w:rsid w:val="00E971B5"/>
    <w:rsid w:val="00E97E62"/>
    <w:rsid w:val="00EA0FD7"/>
    <w:rsid w:val="00EA38A5"/>
    <w:rsid w:val="00EA5BDB"/>
    <w:rsid w:val="00EB08B2"/>
    <w:rsid w:val="00EC034D"/>
    <w:rsid w:val="00EC099A"/>
    <w:rsid w:val="00EC0BDD"/>
    <w:rsid w:val="00EC5CA0"/>
    <w:rsid w:val="00EC6B4C"/>
    <w:rsid w:val="00ED207D"/>
    <w:rsid w:val="00ED3751"/>
    <w:rsid w:val="00ED3B88"/>
    <w:rsid w:val="00ED542E"/>
    <w:rsid w:val="00ED5F6F"/>
    <w:rsid w:val="00EE1A57"/>
    <w:rsid w:val="00EE3BFB"/>
    <w:rsid w:val="00EE5306"/>
    <w:rsid w:val="00EE55D4"/>
    <w:rsid w:val="00EF186C"/>
    <w:rsid w:val="00EF2A06"/>
    <w:rsid w:val="00EF687F"/>
    <w:rsid w:val="00F002AC"/>
    <w:rsid w:val="00F005B7"/>
    <w:rsid w:val="00F00878"/>
    <w:rsid w:val="00F04DBD"/>
    <w:rsid w:val="00F05CAC"/>
    <w:rsid w:val="00F10416"/>
    <w:rsid w:val="00F12F0D"/>
    <w:rsid w:val="00F133A6"/>
    <w:rsid w:val="00F137AE"/>
    <w:rsid w:val="00F141A3"/>
    <w:rsid w:val="00F1555B"/>
    <w:rsid w:val="00F16DBA"/>
    <w:rsid w:val="00F2186F"/>
    <w:rsid w:val="00F22CE6"/>
    <w:rsid w:val="00F22EEF"/>
    <w:rsid w:val="00F23517"/>
    <w:rsid w:val="00F23D1D"/>
    <w:rsid w:val="00F30222"/>
    <w:rsid w:val="00F313F8"/>
    <w:rsid w:val="00F3152E"/>
    <w:rsid w:val="00F36617"/>
    <w:rsid w:val="00F36D34"/>
    <w:rsid w:val="00F37C5C"/>
    <w:rsid w:val="00F37FA8"/>
    <w:rsid w:val="00F406CE"/>
    <w:rsid w:val="00F4176F"/>
    <w:rsid w:val="00F4199C"/>
    <w:rsid w:val="00F42305"/>
    <w:rsid w:val="00F440CD"/>
    <w:rsid w:val="00F450D7"/>
    <w:rsid w:val="00F459A2"/>
    <w:rsid w:val="00F46EF5"/>
    <w:rsid w:val="00F47B1F"/>
    <w:rsid w:val="00F5027E"/>
    <w:rsid w:val="00F50FB7"/>
    <w:rsid w:val="00F515DE"/>
    <w:rsid w:val="00F51967"/>
    <w:rsid w:val="00F51D78"/>
    <w:rsid w:val="00F568FF"/>
    <w:rsid w:val="00F60883"/>
    <w:rsid w:val="00F632AF"/>
    <w:rsid w:val="00F63B7A"/>
    <w:rsid w:val="00F6559D"/>
    <w:rsid w:val="00F658B7"/>
    <w:rsid w:val="00F65B5D"/>
    <w:rsid w:val="00F66C18"/>
    <w:rsid w:val="00F67EB7"/>
    <w:rsid w:val="00F714AD"/>
    <w:rsid w:val="00F74BD2"/>
    <w:rsid w:val="00F76933"/>
    <w:rsid w:val="00F7712F"/>
    <w:rsid w:val="00F80779"/>
    <w:rsid w:val="00F80861"/>
    <w:rsid w:val="00F841EF"/>
    <w:rsid w:val="00F92463"/>
    <w:rsid w:val="00F958DE"/>
    <w:rsid w:val="00FA068A"/>
    <w:rsid w:val="00FA207A"/>
    <w:rsid w:val="00FA2253"/>
    <w:rsid w:val="00FA2D83"/>
    <w:rsid w:val="00FB01D8"/>
    <w:rsid w:val="00FB133C"/>
    <w:rsid w:val="00FB4825"/>
    <w:rsid w:val="00FB498D"/>
    <w:rsid w:val="00FB71A2"/>
    <w:rsid w:val="00FC025E"/>
    <w:rsid w:val="00FC23D6"/>
    <w:rsid w:val="00FC4FE5"/>
    <w:rsid w:val="00FC53E0"/>
    <w:rsid w:val="00FC554D"/>
    <w:rsid w:val="00FC6B0B"/>
    <w:rsid w:val="00FC70FE"/>
    <w:rsid w:val="00FD0C13"/>
    <w:rsid w:val="00FD2D1C"/>
    <w:rsid w:val="00FD307A"/>
    <w:rsid w:val="00FD3A67"/>
    <w:rsid w:val="00FD6BD1"/>
    <w:rsid w:val="00FE06D7"/>
    <w:rsid w:val="00FE11AE"/>
    <w:rsid w:val="00FE2787"/>
    <w:rsid w:val="00FE2B59"/>
    <w:rsid w:val="00FE3265"/>
    <w:rsid w:val="00FE6994"/>
    <w:rsid w:val="00FF2E08"/>
    <w:rsid w:val="00FF31DA"/>
    <w:rsid w:val="00FF3808"/>
    <w:rsid w:val="00FF5A7E"/>
    <w:rsid w:val="00FF5A94"/>
    <w:rsid w:val="00FF5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o:shapelayout v:ext="edit">
      <o:idmap v:ext="edit" data="2"/>
    </o:shapelayout>
  </w:shapeDefaults>
  <w:decimalSymbol w:val="."/>
  <w:listSeparator w:val=","/>
  <w14:docId w14:val="3035CFB9"/>
  <w15:chartTrackingRefBased/>
  <w15:docId w15:val="{0A476397-89B2-4EE0-9501-CB3EC1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C4669"/>
    <w:pPr>
      <w:widowControl w:val="0"/>
    </w:pPr>
    <w:rPr>
      <w:rFonts w:eastAsia="標楷體"/>
      <w:kern w:val="2"/>
      <w:sz w:val="26"/>
      <w:szCs w:val="24"/>
    </w:rPr>
  </w:style>
  <w:style w:type="paragraph" w:styleId="1">
    <w:name w:val="heading 1"/>
    <w:basedOn w:val="a2"/>
    <w:next w:val="a2"/>
    <w:qFormat/>
    <w:pPr>
      <w:keepNext/>
      <w:spacing w:afterLines="50" w:line="420" w:lineRule="exact"/>
      <w:outlineLvl w:val="0"/>
    </w:pPr>
    <w:rPr>
      <w:rFonts w:ascii="標楷體" w:hAnsi="標楷體"/>
      <w:b/>
      <w:bCs/>
      <w:color w:val="000000"/>
      <w:sz w:val="40"/>
      <w:szCs w:val="52"/>
    </w:rPr>
  </w:style>
  <w:style w:type="paragraph" w:styleId="2">
    <w:name w:val="heading 2"/>
    <w:basedOn w:val="a2"/>
    <w:next w:val="a2"/>
    <w:qFormat/>
    <w:pPr>
      <w:keepNext/>
      <w:jc w:val="center"/>
      <w:outlineLvl w:val="1"/>
    </w:pPr>
    <w:rPr>
      <w:b/>
      <w:bCs/>
    </w:rPr>
  </w:style>
  <w:style w:type="paragraph" w:styleId="3">
    <w:name w:val="heading 3"/>
    <w:basedOn w:val="a2"/>
    <w:next w:val="a2"/>
    <w:qFormat/>
    <w:pPr>
      <w:keepNext/>
      <w:spacing w:line="720" w:lineRule="auto"/>
      <w:outlineLvl w:val="2"/>
    </w:pPr>
    <w:rPr>
      <w:rFonts w:ascii="Arial" w:eastAsia="新細明體"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qFormat/>
    <w:rPr>
      <w:b/>
      <w:bCs/>
    </w:rPr>
  </w:style>
  <w:style w:type="paragraph" w:customStyle="1" w:styleId="4">
    <w:name w:val="內4"/>
    <w:basedOn w:val="a7"/>
    <w:pPr>
      <w:spacing w:after="0"/>
      <w:ind w:leftChars="0" w:left="0" w:firstLine="480"/>
    </w:pPr>
  </w:style>
  <w:style w:type="paragraph" w:styleId="a7">
    <w:name w:val="Body Text Indent"/>
    <w:basedOn w:val="a2"/>
    <w:link w:val="a8"/>
    <w:uiPriority w:val="99"/>
    <w:semiHidden/>
    <w:pPr>
      <w:spacing w:after="120"/>
      <w:ind w:leftChars="200" w:left="480"/>
    </w:pPr>
    <w:rPr>
      <w:lang w:val="x-none" w:eastAsia="x-none"/>
    </w:rPr>
  </w:style>
  <w:style w:type="paragraph" w:styleId="Web">
    <w:name w:val="Normal (Web)"/>
    <w:basedOn w:val="a2"/>
    <w:uiPriority w:val="99"/>
    <w:pPr>
      <w:widowControl/>
      <w:spacing w:before="100" w:beforeAutospacing="1" w:after="100" w:afterAutospacing="1"/>
    </w:pPr>
    <w:rPr>
      <w:rFonts w:ascii="新細明體" w:hAnsi="新細明體"/>
      <w:kern w:val="0"/>
    </w:rPr>
  </w:style>
  <w:style w:type="paragraph" w:styleId="a9">
    <w:name w:val="Body Text"/>
    <w:basedOn w:val="a2"/>
    <w:link w:val="aa"/>
    <w:semiHidden/>
    <w:pPr>
      <w:jc w:val="both"/>
    </w:pPr>
    <w:rPr>
      <w:rFonts w:ascii="標楷體" w:hAnsi="標楷體"/>
      <w:lang w:val="x-none" w:eastAsia="x-none"/>
    </w:rPr>
  </w:style>
  <w:style w:type="paragraph" w:styleId="ab">
    <w:name w:val="footer"/>
    <w:basedOn w:val="a2"/>
    <w:semiHidden/>
    <w:pPr>
      <w:tabs>
        <w:tab w:val="center" w:pos="4153"/>
        <w:tab w:val="right" w:pos="8306"/>
      </w:tabs>
      <w:snapToGrid w:val="0"/>
    </w:pPr>
    <w:rPr>
      <w:sz w:val="20"/>
      <w:szCs w:val="20"/>
    </w:rPr>
  </w:style>
  <w:style w:type="character" w:styleId="ac">
    <w:name w:val="page number"/>
    <w:basedOn w:val="a3"/>
    <w:semiHidden/>
  </w:style>
  <w:style w:type="paragraph" w:styleId="ad">
    <w:name w:val="header"/>
    <w:basedOn w:val="a2"/>
    <w:semiHidden/>
    <w:pPr>
      <w:tabs>
        <w:tab w:val="center" w:pos="4153"/>
        <w:tab w:val="right" w:pos="8306"/>
      </w:tabs>
      <w:snapToGrid w:val="0"/>
    </w:pPr>
    <w:rPr>
      <w:sz w:val="20"/>
      <w:szCs w:val="20"/>
    </w:rPr>
  </w:style>
  <w:style w:type="paragraph" w:styleId="20">
    <w:name w:val="Body Text 2"/>
    <w:basedOn w:val="a2"/>
    <w:semiHidden/>
    <w:pPr>
      <w:jc w:val="both"/>
    </w:pPr>
    <w:rPr>
      <w:rFonts w:ascii="標楷體" w:hAnsi="標楷體"/>
    </w:rPr>
  </w:style>
  <w:style w:type="paragraph" w:styleId="30">
    <w:name w:val="Body Text Indent 3"/>
    <w:basedOn w:val="a2"/>
    <w:semiHidden/>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2"/>
    <w:semiHidden/>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2"/>
    <w:semiHidden/>
    <w:rPr>
      <w:color w:val="000000"/>
    </w:rPr>
  </w:style>
  <w:style w:type="paragraph" w:customStyle="1" w:styleId="Item1">
    <w:name w:val="Item1"/>
    <w:basedOn w:val="a2"/>
    <w:pPr>
      <w:ind w:leftChars="375" w:left="1416" w:hangingChars="215" w:hanging="516"/>
    </w:pPr>
  </w:style>
  <w:style w:type="paragraph" w:styleId="ae">
    <w:name w:val="Document Map"/>
    <w:basedOn w:val="a2"/>
    <w:semiHidden/>
    <w:pPr>
      <w:shd w:val="clear" w:color="auto" w:fill="000080"/>
    </w:pPr>
    <w:rPr>
      <w:rFonts w:ascii="Arial" w:hAnsi="Arial"/>
    </w:rPr>
  </w:style>
  <w:style w:type="paragraph" w:styleId="10">
    <w:name w:val="toc 1"/>
    <w:basedOn w:val="a2"/>
    <w:next w:val="a2"/>
    <w:autoRedefine/>
    <w:uiPriority w:val="39"/>
    <w:rsid w:val="00BE4194"/>
    <w:pPr>
      <w:tabs>
        <w:tab w:val="right" w:leader="dot" w:pos="9174"/>
      </w:tabs>
      <w:spacing w:before="120" w:after="120"/>
    </w:pPr>
    <w:rPr>
      <w:rFonts w:ascii="Book Antiqua" w:hAnsi="Book Antiqua"/>
      <w:b/>
      <w:bCs/>
      <w:caps/>
      <w:noProof/>
      <w:color w:val="000000" w:themeColor="text1"/>
    </w:rPr>
  </w:style>
  <w:style w:type="paragraph" w:styleId="22">
    <w:name w:val="toc 2"/>
    <w:basedOn w:val="a2"/>
    <w:next w:val="a2"/>
    <w:autoRedefine/>
    <w:semiHidden/>
    <w:pPr>
      <w:ind w:left="260"/>
    </w:pPr>
    <w:rPr>
      <w:smallCaps/>
    </w:rPr>
  </w:style>
  <w:style w:type="paragraph" w:styleId="32">
    <w:name w:val="toc 3"/>
    <w:basedOn w:val="a2"/>
    <w:next w:val="a2"/>
    <w:autoRedefine/>
    <w:semiHidden/>
    <w:pPr>
      <w:ind w:left="520"/>
    </w:pPr>
    <w:rPr>
      <w:i/>
      <w:iCs/>
    </w:rPr>
  </w:style>
  <w:style w:type="paragraph" w:styleId="40">
    <w:name w:val="toc 4"/>
    <w:basedOn w:val="a2"/>
    <w:next w:val="a2"/>
    <w:autoRedefine/>
    <w:semiHidden/>
    <w:pPr>
      <w:ind w:left="780"/>
    </w:pPr>
    <w:rPr>
      <w:szCs w:val="21"/>
    </w:rPr>
  </w:style>
  <w:style w:type="paragraph" w:styleId="5">
    <w:name w:val="toc 5"/>
    <w:basedOn w:val="a2"/>
    <w:next w:val="a2"/>
    <w:autoRedefine/>
    <w:semiHidden/>
    <w:pPr>
      <w:ind w:left="1040"/>
    </w:pPr>
    <w:rPr>
      <w:szCs w:val="21"/>
    </w:rPr>
  </w:style>
  <w:style w:type="paragraph" w:styleId="6">
    <w:name w:val="toc 6"/>
    <w:basedOn w:val="a2"/>
    <w:next w:val="a2"/>
    <w:autoRedefine/>
    <w:semiHidden/>
    <w:pPr>
      <w:ind w:left="1300"/>
    </w:pPr>
    <w:rPr>
      <w:szCs w:val="21"/>
    </w:rPr>
  </w:style>
  <w:style w:type="paragraph" w:styleId="7">
    <w:name w:val="toc 7"/>
    <w:basedOn w:val="a2"/>
    <w:next w:val="a2"/>
    <w:autoRedefine/>
    <w:semiHidden/>
    <w:pPr>
      <w:ind w:left="1560"/>
    </w:pPr>
    <w:rPr>
      <w:szCs w:val="21"/>
    </w:rPr>
  </w:style>
  <w:style w:type="paragraph" w:styleId="8">
    <w:name w:val="toc 8"/>
    <w:basedOn w:val="a2"/>
    <w:next w:val="a2"/>
    <w:autoRedefine/>
    <w:semiHidden/>
    <w:pPr>
      <w:ind w:left="1820"/>
    </w:pPr>
    <w:rPr>
      <w:szCs w:val="21"/>
    </w:rPr>
  </w:style>
  <w:style w:type="paragraph" w:styleId="9">
    <w:name w:val="toc 9"/>
    <w:basedOn w:val="a2"/>
    <w:next w:val="a2"/>
    <w:autoRedefine/>
    <w:semiHidden/>
    <w:pPr>
      <w:ind w:left="2080"/>
    </w:pPr>
    <w:rPr>
      <w:szCs w:val="21"/>
    </w:rPr>
  </w:style>
  <w:style w:type="character" w:styleId="af">
    <w:name w:val="Hyperlink"/>
    <w:uiPriority w:val="99"/>
    <w:rPr>
      <w:color w:val="0000FF"/>
      <w:u w:val="single"/>
    </w:rPr>
  </w:style>
  <w:style w:type="paragraph" w:customStyle="1" w:styleId="Layer1">
    <w:name w:val="Layer1內"/>
    <w:basedOn w:val="a2"/>
    <w:pPr>
      <w:ind w:firstLineChars="200" w:firstLine="480"/>
      <w:jc w:val="both"/>
    </w:pPr>
  </w:style>
  <w:style w:type="character" w:styleId="af0">
    <w:name w:val="FollowedHyperlink"/>
    <w:semiHidden/>
    <w:rPr>
      <w:color w:val="800080"/>
      <w:u w:val="single"/>
    </w:rPr>
  </w:style>
  <w:style w:type="paragraph" w:customStyle="1" w:styleId="11">
    <w:name w:val="內文1"/>
    <w:rPr>
      <w:rFonts w:eastAsia="標楷體"/>
      <w:bCs/>
      <w:sz w:val="26"/>
    </w:rPr>
  </w:style>
  <w:style w:type="paragraph" w:customStyle="1" w:styleId="Layer2">
    <w:name w:val="Layer2"/>
    <w:basedOn w:val="a2"/>
    <w:rPr>
      <w:sz w:val="24"/>
    </w:rPr>
  </w:style>
  <w:style w:type="paragraph" w:customStyle="1" w:styleId="Layer3">
    <w:name w:val="Layer3"/>
    <w:basedOn w:val="a2"/>
    <w:pPr>
      <w:ind w:leftChars="225" w:left="540"/>
    </w:pPr>
    <w:rPr>
      <w:sz w:val="24"/>
    </w:rPr>
  </w:style>
  <w:style w:type="paragraph" w:customStyle="1" w:styleId="Layer30">
    <w:name w:val="Layer3內"/>
    <w:basedOn w:val="a2"/>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2"/>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2"/>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Layer10">
    <w:name w:val="Layer1"/>
    <w:basedOn w:val="a2"/>
    <w:rPr>
      <w:b/>
      <w:bCs/>
      <w:sz w:val="28"/>
    </w:rPr>
  </w:style>
  <w:style w:type="paragraph" w:styleId="af1">
    <w:name w:val="caption"/>
    <w:basedOn w:val="a2"/>
    <w:next w:val="a2"/>
    <w:qFormat/>
    <w:pPr>
      <w:spacing w:before="120" w:after="120"/>
    </w:pPr>
    <w:rPr>
      <w:rFonts w:eastAsia="新細明體"/>
      <w:sz w:val="20"/>
      <w:szCs w:val="20"/>
    </w:rPr>
  </w:style>
  <w:style w:type="paragraph" w:customStyle="1" w:styleId="Layer20">
    <w:name w:val="Layer2內"/>
    <w:basedOn w:val="a2"/>
    <w:pPr>
      <w:ind w:leftChars="225" w:left="540"/>
    </w:pPr>
    <w:rPr>
      <w:sz w:val="24"/>
    </w:rPr>
  </w:style>
  <w:style w:type="paragraph" w:customStyle="1" w:styleId="af2">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3">
    <w:name w:val="一縮排"/>
    <w:basedOn w:val="af2"/>
    <w:pPr>
      <w:spacing w:line="360" w:lineRule="exact"/>
      <w:ind w:leftChars="200" w:left="480" w:firstLineChars="0" w:firstLine="0"/>
      <w:jc w:val="both"/>
    </w:pPr>
    <w:rPr>
      <w:sz w:val="24"/>
    </w:rPr>
  </w:style>
  <w:style w:type="paragraph" w:customStyle="1" w:styleId="af4">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paragraph" w:customStyle="1" w:styleId="af5">
    <w:name w:val="對照表格式"/>
    <w:basedOn w:val="a2"/>
    <w:pPr>
      <w:spacing w:line="360" w:lineRule="auto"/>
      <w:ind w:left="850" w:right="28" w:hangingChars="354" w:hanging="850"/>
      <w:jc w:val="both"/>
    </w:pPr>
    <w:rPr>
      <w:rFonts w:ascii="標楷體"/>
      <w:bCs/>
      <w:color w:val="000000"/>
      <w:sz w:val="24"/>
      <w:szCs w:val="20"/>
    </w:rPr>
  </w:style>
  <w:style w:type="paragraph" w:styleId="af6">
    <w:name w:val="Balloon Text"/>
    <w:basedOn w:val="a2"/>
    <w:semiHidden/>
    <w:rPr>
      <w:rFonts w:ascii="Arial" w:eastAsia="新細明體" w:hAnsi="Arial"/>
      <w:sz w:val="18"/>
      <w:szCs w:val="18"/>
    </w:rPr>
  </w:style>
  <w:style w:type="character" w:styleId="af7">
    <w:name w:val="annotation reference"/>
    <w:semiHidden/>
    <w:rPr>
      <w:sz w:val="18"/>
      <w:szCs w:val="18"/>
    </w:rPr>
  </w:style>
  <w:style w:type="paragraph" w:styleId="af8">
    <w:name w:val="annotation text"/>
    <w:basedOn w:val="a2"/>
    <w:semiHidden/>
  </w:style>
  <w:style w:type="paragraph" w:styleId="af9">
    <w:name w:val="annotation subject"/>
    <w:basedOn w:val="af8"/>
    <w:next w:val="af8"/>
    <w:semiHidden/>
    <w:rPr>
      <w:b/>
      <w:bCs/>
    </w:rPr>
  </w:style>
  <w:style w:type="character" w:styleId="afa">
    <w:name w:val="footnote reference"/>
    <w:semiHidden/>
    <w:rPr>
      <w:vertAlign w:val="superscript"/>
    </w:rPr>
  </w:style>
  <w:style w:type="paragraph" w:styleId="afb">
    <w:name w:val="footnote text"/>
    <w:basedOn w:val="a2"/>
    <w:semiHidden/>
    <w:pPr>
      <w:tabs>
        <w:tab w:val="left" w:pos="192"/>
      </w:tabs>
      <w:snapToGrid w:val="0"/>
      <w:ind w:left="156" w:hangingChars="78" w:hanging="156"/>
    </w:pPr>
    <w:rPr>
      <w:rFonts w:ascii="標楷體" w:hAnsi="標楷體"/>
      <w:sz w:val="20"/>
      <w:szCs w:val="20"/>
    </w:rPr>
  </w:style>
  <w:style w:type="paragraph" w:customStyle="1" w:styleId="afc">
    <w:name w:val="內文二"/>
    <w:basedOn w:val="a2"/>
    <w:pPr>
      <w:spacing w:afterLines="50" w:line="440" w:lineRule="exact"/>
      <w:ind w:leftChars="750" w:left="1800" w:firstLine="482"/>
      <w:jc w:val="both"/>
    </w:pPr>
    <w:rPr>
      <w:sz w:val="24"/>
    </w:rPr>
  </w:style>
  <w:style w:type="paragraph" w:customStyle="1" w:styleId="a">
    <w:name w:val="內文四"/>
    <w:basedOn w:val="a2"/>
    <w:next w:val="afc"/>
    <w:pPr>
      <w:numPr>
        <w:ilvl w:val="1"/>
        <w:numId w:val="23"/>
      </w:numPr>
      <w:tabs>
        <w:tab w:val="clear" w:pos="1350"/>
      </w:tabs>
      <w:adjustRightInd w:val="0"/>
      <w:snapToGrid w:val="0"/>
      <w:spacing w:beforeLines="25" w:afterLines="25"/>
      <w:ind w:left="2002" w:hanging="471"/>
      <w:jc w:val="both"/>
    </w:pPr>
    <w:rPr>
      <w:b/>
      <w:bCs/>
      <w:sz w:val="24"/>
      <w:szCs w:val="20"/>
    </w:rPr>
  </w:style>
  <w:style w:type="paragraph" w:customStyle="1" w:styleId="a0">
    <w:name w:val="內文五"/>
    <w:basedOn w:val="afc"/>
    <w:pPr>
      <w:numPr>
        <w:ilvl w:val="2"/>
        <w:numId w:val="23"/>
      </w:numPr>
      <w:ind w:leftChars="0" w:left="0"/>
    </w:pPr>
  </w:style>
  <w:style w:type="paragraph" w:customStyle="1" w:styleId="A1">
    <w:name w:val="內文A"/>
    <w:basedOn w:val="afc"/>
    <w:pPr>
      <w:numPr>
        <w:ilvl w:val="4"/>
        <w:numId w:val="23"/>
      </w:numPr>
      <w:ind w:leftChars="0" w:left="0"/>
    </w:pPr>
  </w:style>
  <w:style w:type="paragraph" w:styleId="afd">
    <w:name w:val="Normal Indent"/>
    <w:basedOn w:val="a2"/>
    <w:semiHidden/>
    <w:pPr>
      <w:ind w:left="480"/>
    </w:pPr>
    <w:rPr>
      <w:sz w:val="24"/>
      <w:szCs w:val="20"/>
    </w:rPr>
  </w:style>
  <w:style w:type="paragraph" w:customStyle="1" w:styleId="afe">
    <w:name w:val="一、"/>
    <w:basedOn w:val="a2"/>
    <w:pPr>
      <w:spacing w:line="420" w:lineRule="exact"/>
      <w:ind w:left="510" w:hanging="510"/>
      <w:jc w:val="both"/>
    </w:pPr>
    <w:rPr>
      <w:rFonts w:eastAsia="華康中明體"/>
      <w:spacing w:val="8"/>
      <w:sz w:val="22"/>
    </w:rPr>
  </w:style>
  <w:style w:type="paragraph" w:customStyle="1" w:styleId="111">
    <w:name w:val="111"/>
    <w:basedOn w:val="a2"/>
    <w:pPr>
      <w:spacing w:line="420" w:lineRule="exact"/>
      <w:ind w:left="1644" w:hanging="567"/>
      <w:jc w:val="both"/>
    </w:pPr>
    <w:rPr>
      <w:rFonts w:eastAsia="華康中明體"/>
      <w:spacing w:val="8"/>
      <w:sz w:val="22"/>
    </w:rPr>
  </w:style>
  <w:style w:type="paragraph" w:customStyle="1" w:styleId="Char">
    <w:name w:val="字元 字元 Char"/>
    <w:basedOn w:val="a2"/>
    <w:pPr>
      <w:widowControl/>
      <w:spacing w:after="160" w:line="240" w:lineRule="exact"/>
    </w:pPr>
    <w:rPr>
      <w:rFonts w:ascii="Arial" w:eastAsia="Times New Roman" w:hAnsi="Arial" w:cs="Arial"/>
      <w:kern w:val="0"/>
      <w:sz w:val="20"/>
      <w:szCs w:val="20"/>
      <w:lang w:eastAsia="en-US"/>
    </w:rPr>
  </w:style>
  <w:style w:type="paragraph" w:customStyle="1" w:styleId="aff">
    <w:name w:val="內文一"/>
    <w:basedOn w:val="a2"/>
    <w:pPr>
      <w:spacing w:afterLines="50" w:line="440" w:lineRule="exact"/>
      <w:ind w:firstLine="482"/>
      <w:jc w:val="both"/>
    </w:pPr>
    <w:rPr>
      <w:sz w:val="24"/>
    </w:rPr>
  </w:style>
  <w:style w:type="character" w:customStyle="1" w:styleId="23">
    <w:name w:val="字元 字元2"/>
    <w:rPr>
      <w:rFonts w:ascii="標楷體" w:eastAsia="標楷體" w:hAnsi="標楷體"/>
      <w:b/>
      <w:bCs/>
      <w:color w:val="000000"/>
      <w:kern w:val="2"/>
      <w:sz w:val="40"/>
      <w:szCs w:val="52"/>
      <w:lang w:val="en-US" w:eastAsia="zh-TW" w:bidi="ar-SA"/>
    </w:rPr>
  </w:style>
  <w:style w:type="paragraph" w:styleId="aff0">
    <w:name w:val="List Paragraph"/>
    <w:basedOn w:val="a2"/>
    <w:uiPriority w:val="99"/>
    <w:qFormat/>
    <w:pPr>
      <w:ind w:leftChars="200" w:left="480"/>
    </w:pPr>
    <w:rPr>
      <w:rFonts w:ascii="Calibri" w:eastAsia="新細明體" w:hAnsi="Calibri"/>
      <w:sz w:val="24"/>
      <w:szCs w:val="22"/>
    </w:rPr>
  </w:style>
  <w:style w:type="paragraph" w:styleId="aff1">
    <w:name w:val="Plain Text"/>
    <w:basedOn w:val="a2"/>
    <w:semiHidden/>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2"/>
    <w:pPr>
      <w:numPr>
        <w:numId w:val="1"/>
      </w:numPr>
    </w:pPr>
    <w:rPr>
      <w:sz w:val="24"/>
    </w:rPr>
  </w:style>
  <w:style w:type="paragraph" w:styleId="aff2">
    <w:name w:val="Salutation"/>
    <w:basedOn w:val="a2"/>
    <w:next w:val="a2"/>
    <w:semiHidden/>
    <w:rPr>
      <w:rFonts w:hAnsi="標楷體"/>
      <w:sz w:val="24"/>
    </w:rPr>
  </w:style>
  <w:style w:type="paragraph" w:styleId="aff3">
    <w:name w:val="Closing"/>
    <w:basedOn w:val="a2"/>
    <w:semiHidden/>
    <w:pPr>
      <w:ind w:leftChars="1800" w:left="100"/>
    </w:pPr>
    <w:rPr>
      <w:rFonts w:hAnsi="標楷體"/>
      <w:sz w:val="24"/>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character" w:customStyle="1" w:styleId="st-22">
    <w:name w:val="st-22"/>
    <w:basedOn w:val="a3"/>
  </w:style>
  <w:style w:type="character" w:customStyle="1" w:styleId="productdata">
    <w:name w:val="product_data"/>
    <w:basedOn w:val="a3"/>
  </w:style>
  <w:style w:type="character" w:customStyle="1" w:styleId="largetext1">
    <w:name w:val="largetext1"/>
    <w:rPr>
      <w:rFonts w:ascii="Verdana" w:hAnsi="Verdana" w:hint="default"/>
      <w:sz w:val="20"/>
      <w:szCs w:val="20"/>
    </w:rPr>
  </w:style>
  <w:style w:type="character" w:customStyle="1" w:styleId="12">
    <w:name w:val="標題 1 字元"/>
    <w:rPr>
      <w:rFonts w:ascii="標楷體" w:eastAsia="標楷體" w:hAnsi="標楷體"/>
      <w:b/>
      <w:bCs/>
      <w:color w:val="000000"/>
      <w:kern w:val="2"/>
      <w:sz w:val="40"/>
      <w:szCs w:val="52"/>
      <w:lang w:val="en-US" w:eastAsia="zh-TW" w:bidi="ar-SA"/>
    </w:rPr>
  </w:style>
  <w:style w:type="paragraph" w:customStyle="1" w:styleId="aff4">
    <w:name w:val="a"/>
    <w:basedOn w:val="a2"/>
    <w:pPr>
      <w:widowControl/>
      <w:snapToGrid w:val="0"/>
      <w:spacing w:line="578" w:lineRule="atLeast"/>
      <w:ind w:left="340"/>
    </w:pPr>
    <w:rPr>
      <w:rFonts w:eastAsia="新細明體"/>
      <w:kern w:val="0"/>
      <w:sz w:val="34"/>
      <w:szCs w:val="34"/>
    </w:rPr>
  </w:style>
  <w:style w:type="paragraph" w:customStyle="1" w:styleId="layer11">
    <w:name w:val="layer1"/>
    <w:basedOn w:val="a2"/>
    <w:uiPriority w:val="99"/>
    <w:rsid w:val="00122637"/>
    <w:pPr>
      <w:widowControl/>
      <w:spacing w:before="100" w:beforeAutospacing="1" w:after="100" w:afterAutospacing="1"/>
    </w:pPr>
    <w:rPr>
      <w:rFonts w:ascii="新細明體" w:eastAsia="新細明體" w:hAnsi="新細明體" w:cs="新細明體"/>
      <w:kern w:val="0"/>
      <w:sz w:val="24"/>
    </w:rPr>
  </w:style>
  <w:style w:type="character" w:customStyle="1" w:styleId="aa">
    <w:name w:val="本文 字元"/>
    <w:link w:val="a9"/>
    <w:semiHidden/>
    <w:rsid w:val="00C32AAC"/>
    <w:rPr>
      <w:rFonts w:ascii="標楷體" w:eastAsia="標楷體" w:hAnsi="標楷體"/>
      <w:kern w:val="2"/>
      <w:sz w:val="26"/>
      <w:szCs w:val="24"/>
    </w:rPr>
  </w:style>
  <w:style w:type="character" w:customStyle="1" w:styleId="a8">
    <w:name w:val="本文縮排 字元"/>
    <w:link w:val="a7"/>
    <w:uiPriority w:val="99"/>
    <w:semiHidden/>
    <w:rsid w:val="00212E75"/>
    <w:rPr>
      <w:rFonts w:eastAsia="標楷體"/>
      <w:kern w:val="2"/>
      <w:sz w:val="26"/>
      <w:szCs w:val="24"/>
    </w:rPr>
  </w:style>
  <w:style w:type="table" w:styleId="aff5">
    <w:name w:val="Table Grid"/>
    <w:basedOn w:val="a4"/>
    <w:uiPriority w:val="39"/>
    <w:rsid w:val="006F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AE8"/>
    <w:pPr>
      <w:widowControl w:val="0"/>
      <w:autoSpaceDE w:val="0"/>
      <w:autoSpaceDN w:val="0"/>
      <w:adjustRightInd w:val="0"/>
    </w:pPr>
    <w:rPr>
      <w:rFonts w:ascii="標楷體" w:eastAsia="標楷體" w:cs="標楷體"/>
      <w:color w:val="000000"/>
      <w:sz w:val="24"/>
      <w:szCs w:val="24"/>
    </w:rPr>
  </w:style>
  <w:style w:type="paragraph" w:styleId="aff6">
    <w:name w:val="Revision"/>
    <w:hidden/>
    <w:uiPriority w:val="99"/>
    <w:semiHidden/>
    <w:rsid w:val="00E2314E"/>
    <w:rPr>
      <w:rFonts w:eastAsia="標楷體"/>
      <w:kern w:val="2"/>
      <w:sz w:val="26"/>
      <w:szCs w:val="24"/>
    </w:rPr>
  </w:style>
  <w:style w:type="character" w:styleId="aff7">
    <w:name w:val="Placeholder Text"/>
    <w:basedOn w:val="a3"/>
    <w:uiPriority w:val="99"/>
    <w:semiHidden/>
    <w:rsid w:val="000B0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0725">
      <w:bodyDiv w:val="1"/>
      <w:marLeft w:val="0"/>
      <w:marRight w:val="0"/>
      <w:marTop w:val="0"/>
      <w:marBottom w:val="0"/>
      <w:divBdr>
        <w:top w:val="none" w:sz="0" w:space="0" w:color="auto"/>
        <w:left w:val="none" w:sz="0" w:space="0" w:color="auto"/>
        <w:bottom w:val="none" w:sz="0" w:space="0" w:color="auto"/>
        <w:right w:val="none" w:sz="0" w:space="0" w:color="auto"/>
      </w:divBdr>
    </w:div>
    <w:div w:id="502277552">
      <w:bodyDiv w:val="1"/>
      <w:marLeft w:val="0"/>
      <w:marRight w:val="0"/>
      <w:marTop w:val="0"/>
      <w:marBottom w:val="0"/>
      <w:divBdr>
        <w:top w:val="none" w:sz="0" w:space="0" w:color="auto"/>
        <w:left w:val="none" w:sz="0" w:space="0" w:color="auto"/>
        <w:bottom w:val="none" w:sz="0" w:space="0" w:color="auto"/>
        <w:right w:val="none" w:sz="0" w:space="0" w:color="auto"/>
      </w:divBdr>
    </w:div>
    <w:div w:id="1078676278">
      <w:bodyDiv w:val="1"/>
      <w:marLeft w:val="0"/>
      <w:marRight w:val="0"/>
      <w:marTop w:val="0"/>
      <w:marBottom w:val="0"/>
      <w:divBdr>
        <w:top w:val="none" w:sz="0" w:space="0" w:color="auto"/>
        <w:left w:val="none" w:sz="0" w:space="0" w:color="auto"/>
        <w:bottom w:val="none" w:sz="0" w:space="0" w:color="auto"/>
        <w:right w:val="none" w:sz="0" w:space="0" w:color="auto"/>
      </w:divBdr>
    </w:div>
    <w:div w:id="1173299921">
      <w:bodyDiv w:val="1"/>
      <w:marLeft w:val="0"/>
      <w:marRight w:val="0"/>
      <w:marTop w:val="0"/>
      <w:marBottom w:val="0"/>
      <w:divBdr>
        <w:top w:val="none" w:sz="0" w:space="0" w:color="auto"/>
        <w:left w:val="none" w:sz="0" w:space="0" w:color="auto"/>
        <w:bottom w:val="none" w:sz="0" w:space="0" w:color="auto"/>
        <w:right w:val="none" w:sz="0" w:space="0" w:color="auto"/>
      </w:divBdr>
    </w:div>
    <w:div w:id="1399325286">
      <w:bodyDiv w:val="1"/>
      <w:marLeft w:val="0"/>
      <w:marRight w:val="0"/>
      <w:marTop w:val="0"/>
      <w:marBottom w:val="0"/>
      <w:divBdr>
        <w:top w:val="none" w:sz="0" w:space="0" w:color="auto"/>
        <w:left w:val="none" w:sz="0" w:space="0" w:color="auto"/>
        <w:bottom w:val="none" w:sz="0" w:space="0" w:color="auto"/>
        <w:right w:val="none" w:sz="0" w:space="0" w:color="auto"/>
      </w:divBdr>
    </w:div>
    <w:div w:id="1777601538">
      <w:bodyDiv w:val="1"/>
      <w:marLeft w:val="0"/>
      <w:marRight w:val="0"/>
      <w:marTop w:val="0"/>
      <w:marBottom w:val="0"/>
      <w:divBdr>
        <w:top w:val="none" w:sz="0" w:space="0" w:color="auto"/>
        <w:left w:val="none" w:sz="0" w:space="0" w:color="auto"/>
        <w:bottom w:val="none" w:sz="0" w:space="0" w:color="auto"/>
        <w:right w:val="none" w:sz="0" w:space="0" w:color="auto"/>
      </w:divBdr>
    </w:div>
    <w:div w:id="19791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9527-BCC5-45E6-A22F-25AD6B50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207</Pages>
  <Words>19598</Words>
  <Characters>111715</Characters>
  <Application>Microsoft Office Word</Application>
  <DocSecurity>0</DocSecurity>
  <Lines>930</Lines>
  <Paragraphs>262</Paragraphs>
  <ScaleCrop>false</ScaleCrop>
  <Company>Insurance</Company>
  <LinksUpToDate>false</LinksUpToDate>
  <CharactersWithSpaces>131051</CharactersWithSpaces>
  <SharedDoc>false</SharedDoc>
  <HLinks>
    <vt:vector size="390" baseType="variant">
      <vt:variant>
        <vt:i4>1703997</vt:i4>
      </vt:variant>
      <vt:variant>
        <vt:i4>386</vt:i4>
      </vt:variant>
      <vt:variant>
        <vt:i4>0</vt:i4>
      </vt:variant>
      <vt:variant>
        <vt:i4>5</vt:i4>
      </vt:variant>
      <vt:variant>
        <vt:lpwstr/>
      </vt:variant>
      <vt:variant>
        <vt:lpwstr>_Toc468198823</vt:lpwstr>
      </vt:variant>
      <vt:variant>
        <vt:i4>1703997</vt:i4>
      </vt:variant>
      <vt:variant>
        <vt:i4>380</vt:i4>
      </vt:variant>
      <vt:variant>
        <vt:i4>0</vt:i4>
      </vt:variant>
      <vt:variant>
        <vt:i4>5</vt:i4>
      </vt:variant>
      <vt:variant>
        <vt:lpwstr/>
      </vt:variant>
      <vt:variant>
        <vt:lpwstr>_Toc468198822</vt:lpwstr>
      </vt:variant>
      <vt:variant>
        <vt:i4>1703997</vt:i4>
      </vt:variant>
      <vt:variant>
        <vt:i4>374</vt:i4>
      </vt:variant>
      <vt:variant>
        <vt:i4>0</vt:i4>
      </vt:variant>
      <vt:variant>
        <vt:i4>5</vt:i4>
      </vt:variant>
      <vt:variant>
        <vt:lpwstr/>
      </vt:variant>
      <vt:variant>
        <vt:lpwstr>_Toc468198821</vt:lpwstr>
      </vt:variant>
      <vt:variant>
        <vt:i4>1703997</vt:i4>
      </vt:variant>
      <vt:variant>
        <vt:i4>368</vt:i4>
      </vt:variant>
      <vt:variant>
        <vt:i4>0</vt:i4>
      </vt:variant>
      <vt:variant>
        <vt:i4>5</vt:i4>
      </vt:variant>
      <vt:variant>
        <vt:lpwstr/>
      </vt:variant>
      <vt:variant>
        <vt:lpwstr>_Toc468198820</vt:lpwstr>
      </vt:variant>
      <vt:variant>
        <vt:i4>1638461</vt:i4>
      </vt:variant>
      <vt:variant>
        <vt:i4>362</vt:i4>
      </vt:variant>
      <vt:variant>
        <vt:i4>0</vt:i4>
      </vt:variant>
      <vt:variant>
        <vt:i4>5</vt:i4>
      </vt:variant>
      <vt:variant>
        <vt:lpwstr/>
      </vt:variant>
      <vt:variant>
        <vt:lpwstr>_Toc468198819</vt:lpwstr>
      </vt:variant>
      <vt:variant>
        <vt:i4>1638461</vt:i4>
      </vt:variant>
      <vt:variant>
        <vt:i4>356</vt:i4>
      </vt:variant>
      <vt:variant>
        <vt:i4>0</vt:i4>
      </vt:variant>
      <vt:variant>
        <vt:i4>5</vt:i4>
      </vt:variant>
      <vt:variant>
        <vt:lpwstr/>
      </vt:variant>
      <vt:variant>
        <vt:lpwstr>_Toc468198818</vt:lpwstr>
      </vt:variant>
      <vt:variant>
        <vt:i4>1638461</vt:i4>
      </vt:variant>
      <vt:variant>
        <vt:i4>350</vt:i4>
      </vt:variant>
      <vt:variant>
        <vt:i4>0</vt:i4>
      </vt:variant>
      <vt:variant>
        <vt:i4>5</vt:i4>
      </vt:variant>
      <vt:variant>
        <vt:lpwstr/>
      </vt:variant>
      <vt:variant>
        <vt:lpwstr>_Toc468198817</vt:lpwstr>
      </vt:variant>
      <vt:variant>
        <vt:i4>1638461</vt:i4>
      </vt:variant>
      <vt:variant>
        <vt:i4>344</vt:i4>
      </vt:variant>
      <vt:variant>
        <vt:i4>0</vt:i4>
      </vt:variant>
      <vt:variant>
        <vt:i4>5</vt:i4>
      </vt:variant>
      <vt:variant>
        <vt:lpwstr/>
      </vt:variant>
      <vt:variant>
        <vt:lpwstr>_Toc468198816</vt:lpwstr>
      </vt:variant>
      <vt:variant>
        <vt:i4>1638461</vt:i4>
      </vt:variant>
      <vt:variant>
        <vt:i4>338</vt:i4>
      </vt:variant>
      <vt:variant>
        <vt:i4>0</vt:i4>
      </vt:variant>
      <vt:variant>
        <vt:i4>5</vt:i4>
      </vt:variant>
      <vt:variant>
        <vt:lpwstr/>
      </vt:variant>
      <vt:variant>
        <vt:lpwstr>_Toc468198815</vt:lpwstr>
      </vt:variant>
      <vt:variant>
        <vt:i4>1638461</vt:i4>
      </vt:variant>
      <vt:variant>
        <vt:i4>332</vt:i4>
      </vt:variant>
      <vt:variant>
        <vt:i4>0</vt:i4>
      </vt:variant>
      <vt:variant>
        <vt:i4>5</vt:i4>
      </vt:variant>
      <vt:variant>
        <vt:lpwstr/>
      </vt:variant>
      <vt:variant>
        <vt:lpwstr>_Toc468198814</vt:lpwstr>
      </vt:variant>
      <vt:variant>
        <vt:i4>1638461</vt:i4>
      </vt:variant>
      <vt:variant>
        <vt:i4>326</vt:i4>
      </vt:variant>
      <vt:variant>
        <vt:i4>0</vt:i4>
      </vt:variant>
      <vt:variant>
        <vt:i4>5</vt:i4>
      </vt:variant>
      <vt:variant>
        <vt:lpwstr/>
      </vt:variant>
      <vt:variant>
        <vt:lpwstr>_Toc468198813</vt:lpwstr>
      </vt:variant>
      <vt:variant>
        <vt:i4>1638461</vt:i4>
      </vt:variant>
      <vt:variant>
        <vt:i4>320</vt:i4>
      </vt:variant>
      <vt:variant>
        <vt:i4>0</vt:i4>
      </vt:variant>
      <vt:variant>
        <vt:i4>5</vt:i4>
      </vt:variant>
      <vt:variant>
        <vt:lpwstr/>
      </vt:variant>
      <vt:variant>
        <vt:lpwstr>_Toc468198812</vt:lpwstr>
      </vt:variant>
      <vt:variant>
        <vt:i4>1638461</vt:i4>
      </vt:variant>
      <vt:variant>
        <vt:i4>314</vt:i4>
      </vt:variant>
      <vt:variant>
        <vt:i4>0</vt:i4>
      </vt:variant>
      <vt:variant>
        <vt:i4>5</vt:i4>
      </vt:variant>
      <vt:variant>
        <vt:lpwstr/>
      </vt:variant>
      <vt:variant>
        <vt:lpwstr>_Toc468198811</vt:lpwstr>
      </vt:variant>
      <vt:variant>
        <vt:i4>1638461</vt:i4>
      </vt:variant>
      <vt:variant>
        <vt:i4>308</vt:i4>
      </vt:variant>
      <vt:variant>
        <vt:i4>0</vt:i4>
      </vt:variant>
      <vt:variant>
        <vt:i4>5</vt:i4>
      </vt:variant>
      <vt:variant>
        <vt:lpwstr/>
      </vt:variant>
      <vt:variant>
        <vt:lpwstr>_Toc468198810</vt:lpwstr>
      </vt:variant>
      <vt:variant>
        <vt:i4>1572925</vt:i4>
      </vt:variant>
      <vt:variant>
        <vt:i4>302</vt:i4>
      </vt:variant>
      <vt:variant>
        <vt:i4>0</vt:i4>
      </vt:variant>
      <vt:variant>
        <vt:i4>5</vt:i4>
      </vt:variant>
      <vt:variant>
        <vt:lpwstr/>
      </vt:variant>
      <vt:variant>
        <vt:lpwstr>_Toc468198809</vt:lpwstr>
      </vt:variant>
      <vt:variant>
        <vt:i4>1572925</vt:i4>
      </vt:variant>
      <vt:variant>
        <vt:i4>296</vt:i4>
      </vt:variant>
      <vt:variant>
        <vt:i4>0</vt:i4>
      </vt:variant>
      <vt:variant>
        <vt:i4>5</vt:i4>
      </vt:variant>
      <vt:variant>
        <vt:lpwstr/>
      </vt:variant>
      <vt:variant>
        <vt:lpwstr>_Toc468198808</vt:lpwstr>
      </vt:variant>
      <vt:variant>
        <vt:i4>1572925</vt:i4>
      </vt:variant>
      <vt:variant>
        <vt:i4>290</vt:i4>
      </vt:variant>
      <vt:variant>
        <vt:i4>0</vt:i4>
      </vt:variant>
      <vt:variant>
        <vt:i4>5</vt:i4>
      </vt:variant>
      <vt:variant>
        <vt:lpwstr/>
      </vt:variant>
      <vt:variant>
        <vt:lpwstr>_Toc468198807</vt:lpwstr>
      </vt:variant>
      <vt:variant>
        <vt:i4>1572925</vt:i4>
      </vt:variant>
      <vt:variant>
        <vt:i4>284</vt:i4>
      </vt:variant>
      <vt:variant>
        <vt:i4>0</vt:i4>
      </vt:variant>
      <vt:variant>
        <vt:i4>5</vt:i4>
      </vt:variant>
      <vt:variant>
        <vt:lpwstr/>
      </vt:variant>
      <vt:variant>
        <vt:lpwstr>_Toc468198806</vt:lpwstr>
      </vt:variant>
      <vt:variant>
        <vt:i4>1572925</vt:i4>
      </vt:variant>
      <vt:variant>
        <vt:i4>278</vt:i4>
      </vt:variant>
      <vt:variant>
        <vt:i4>0</vt:i4>
      </vt:variant>
      <vt:variant>
        <vt:i4>5</vt:i4>
      </vt:variant>
      <vt:variant>
        <vt:lpwstr/>
      </vt:variant>
      <vt:variant>
        <vt:lpwstr>_Toc468198805</vt:lpwstr>
      </vt:variant>
      <vt:variant>
        <vt:i4>1572925</vt:i4>
      </vt:variant>
      <vt:variant>
        <vt:i4>272</vt:i4>
      </vt:variant>
      <vt:variant>
        <vt:i4>0</vt:i4>
      </vt:variant>
      <vt:variant>
        <vt:i4>5</vt:i4>
      </vt:variant>
      <vt:variant>
        <vt:lpwstr/>
      </vt:variant>
      <vt:variant>
        <vt:lpwstr>_Toc468198804</vt:lpwstr>
      </vt:variant>
      <vt:variant>
        <vt:i4>1572925</vt:i4>
      </vt:variant>
      <vt:variant>
        <vt:i4>266</vt:i4>
      </vt:variant>
      <vt:variant>
        <vt:i4>0</vt:i4>
      </vt:variant>
      <vt:variant>
        <vt:i4>5</vt:i4>
      </vt:variant>
      <vt:variant>
        <vt:lpwstr/>
      </vt:variant>
      <vt:variant>
        <vt:lpwstr>_Toc468198803</vt:lpwstr>
      </vt:variant>
      <vt:variant>
        <vt:i4>1572925</vt:i4>
      </vt:variant>
      <vt:variant>
        <vt:i4>260</vt:i4>
      </vt:variant>
      <vt:variant>
        <vt:i4>0</vt:i4>
      </vt:variant>
      <vt:variant>
        <vt:i4>5</vt:i4>
      </vt:variant>
      <vt:variant>
        <vt:lpwstr/>
      </vt:variant>
      <vt:variant>
        <vt:lpwstr>_Toc468198802</vt:lpwstr>
      </vt:variant>
      <vt:variant>
        <vt:i4>1572925</vt:i4>
      </vt:variant>
      <vt:variant>
        <vt:i4>254</vt:i4>
      </vt:variant>
      <vt:variant>
        <vt:i4>0</vt:i4>
      </vt:variant>
      <vt:variant>
        <vt:i4>5</vt:i4>
      </vt:variant>
      <vt:variant>
        <vt:lpwstr/>
      </vt:variant>
      <vt:variant>
        <vt:lpwstr>_Toc468198801</vt:lpwstr>
      </vt:variant>
      <vt:variant>
        <vt:i4>1572925</vt:i4>
      </vt:variant>
      <vt:variant>
        <vt:i4>248</vt:i4>
      </vt:variant>
      <vt:variant>
        <vt:i4>0</vt:i4>
      </vt:variant>
      <vt:variant>
        <vt:i4>5</vt:i4>
      </vt:variant>
      <vt:variant>
        <vt:lpwstr/>
      </vt:variant>
      <vt:variant>
        <vt:lpwstr>_Toc468198800</vt:lpwstr>
      </vt:variant>
      <vt:variant>
        <vt:i4>1114162</vt:i4>
      </vt:variant>
      <vt:variant>
        <vt:i4>242</vt:i4>
      </vt:variant>
      <vt:variant>
        <vt:i4>0</vt:i4>
      </vt:variant>
      <vt:variant>
        <vt:i4>5</vt:i4>
      </vt:variant>
      <vt:variant>
        <vt:lpwstr/>
      </vt:variant>
      <vt:variant>
        <vt:lpwstr>_Toc468198799</vt:lpwstr>
      </vt:variant>
      <vt:variant>
        <vt:i4>1114162</vt:i4>
      </vt:variant>
      <vt:variant>
        <vt:i4>236</vt:i4>
      </vt:variant>
      <vt:variant>
        <vt:i4>0</vt:i4>
      </vt:variant>
      <vt:variant>
        <vt:i4>5</vt:i4>
      </vt:variant>
      <vt:variant>
        <vt:lpwstr/>
      </vt:variant>
      <vt:variant>
        <vt:lpwstr>_Toc468198798</vt:lpwstr>
      </vt:variant>
      <vt:variant>
        <vt:i4>1114162</vt:i4>
      </vt:variant>
      <vt:variant>
        <vt:i4>230</vt:i4>
      </vt:variant>
      <vt:variant>
        <vt:i4>0</vt:i4>
      </vt:variant>
      <vt:variant>
        <vt:i4>5</vt:i4>
      </vt:variant>
      <vt:variant>
        <vt:lpwstr/>
      </vt:variant>
      <vt:variant>
        <vt:lpwstr>_Toc468198797</vt:lpwstr>
      </vt:variant>
      <vt:variant>
        <vt:i4>1114162</vt:i4>
      </vt:variant>
      <vt:variant>
        <vt:i4>224</vt:i4>
      </vt:variant>
      <vt:variant>
        <vt:i4>0</vt:i4>
      </vt:variant>
      <vt:variant>
        <vt:i4>5</vt:i4>
      </vt:variant>
      <vt:variant>
        <vt:lpwstr/>
      </vt:variant>
      <vt:variant>
        <vt:lpwstr>_Toc468198796</vt:lpwstr>
      </vt:variant>
      <vt:variant>
        <vt:i4>1114162</vt:i4>
      </vt:variant>
      <vt:variant>
        <vt:i4>218</vt:i4>
      </vt:variant>
      <vt:variant>
        <vt:i4>0</vt:i4>
      </vt:variant>
      <vt:variant>
        <vt:i4>5</vt:i4>
      </vt:variant>
      <vt:variant>
        <vt:lpwstr/>
      </vt:variant>
      <vt:variant>
        <vt:lpwstr>_Toc468198795</vt:lpwstr>
      </vt:variant>
      <vt:variant>
        <vt:i4>1114162</vt:i4>
      </vt:variant>
      <vt:variant>
        <vt:i4>212</vt:i4>
      </vt:variant>
      <vt:variant>
        <vt:i4>0</vt:i4>
      </vt:variant>
      <vt:variant>
        <vt:i4>5</vt:i4>
      </vt:variant>
      <vt:variant>
        <vt:lpwstr/>
      </vt:variant>
      <vt:variant>
        <vt:lpwstr>_Toc468198794</vt:lpwstr>
      </vt:variant>
      <vt:variant>
        <vt:i4>1114162</vt:i4>
      </vt:variant>
      <vt:variant>
        <vt:i4>206</vt:i4>
      </vt:variant>
      <vt:variant>
        <vt:i4>0</vt:i4>
      </vt:variant>
      <vt:variant>
        <vt:i4>5</vt:i4>
      </vt:variant>
      <vt:variant>
        <vt:lpwstr/>
      </vt:variant>
      <vt:variant>
        <vt:lpwstr>_Toc468198793</vt:lpwstr>
      </vt:variant>
      <vt:variant>
        <vt:i4>1114162</vt:i4>
      </vt:variant>
      <vt:variant>
        <vt:i4>200</vt:i4>
      </vt:variant>
      <vt:variant>
        <vt:i4>0</vt:i4>
      </vt:variant>
      <vt:variant>
        <vt:i4>5</vt:i4>
      </vt:variant>
      <vt:variant>
        <vt:lpwstr/>
      </vt:variant>
      <vt:variant>
        <vt:lpwstr>_Toc468198792</vt:lpwstr>
      </vt:variant>
      <vt:variant>
        <vt:i4>1114162</vt:i4>
      </vt:variant>
      <vt:variant>
        <vt:i4>194</vt:i4>
      </vt:variant>
      <vt:variant>
        <vt:i4>0</vt:i4>
      </vt:variant>
      <vt:variant>
        <vt:i4>5</vt:i4>
      </vt:variant>
      <vt:variant>
        <vt:lpwstr/>
      </vt:variant>
      <vt:variant>
        <vt:lpwstr>_Toc468198791</vt:lpwstr>
      </vt:variant>
      <vt:variant>
        <vt:i4>1114162</vt:i4>
      </vt:variant>
      <vt:variant>
        <vt:i4>188</vt:i4>
      </vt:variant>
      <vt:variant>
        <vt:i4>0</vt:i4>
      </vt:variant>
      <vt:variant>
        <vt:i4>5</vt:i4>
      </vt:variant>
      <vt:variant>
        <vt:lpwstr/>
      </vt:variant>
      <vt:variant>
        <vt:lpwstr>_Toc468198790</vt:lpwstr>
      </vt:variant>
      <vt:variant>
        <vt:i4>1048626</vt:i4>
      </vt:variant>
      <vt:variant>
        <vt:i4>182</vt:i4>
      </vt:variant>
      <vt:variant>
        <vt:i4>0</vt:i4>
      </vt:variant>
      <vt:variant>
        <vt:i4>5</vt:i4>
      </vt:variant>
      <vt:variant>
        <vt:lpwstr/>
      </vt:variant>
      <vt:variant>
        <vt:lpwstr>_Toc468198789</vt:lpwstr>
      </vt:variant>
      <vt:variant>
        <vt:i4>1048626</vt:i4>
      </vt:variant>
      <vt:variant>
        <vt:i4>176</vt:i4>
      </vt:variant>
      <vt:variant>
        <vt:i4>0</vt:i4>
      </vt:variant>
      <vt:variant>
        <vt:i4>5</vt:i4>
      </vt:variant>
      <vt:variant>
        <vt:lpwstr/>
      </vt:variant>
      <vt:variant>
        <vt:lpwstr>_Toc468198788</vt:lpwstr>
      </vt:variant>
      <vt:variant>
        <vt:i4>1048626</vt:i4>
      </vt:variant>
      <vt:variant>
        <vt:i4>170</vt:i4>
      </vt:variant>
      <vt:variant>
        <vt:i4>0</vt:i4>
      </vt:variant>
      <vt:variant>
        <vt:i4>5</vt:i4>
      </vt:variant>
      <vt:variant>
        <vt:lpwstr/>
      </vt:variant>
      <vt:variant>
        <vt:lpwstr>_Toc468198787</vt:lpwstr>
      </vt:variant>
      <vt:variant>
        <vt:i4>1048626</vt:i4>
      </vt:variant>
      <vt:variant>
        <vt:i4>164</vt:i4>
      </vt:variant>
      <vt:variant>
        <vt:i4>0</vt:i4>
      </vt:variant>
      <vt:variant>
        <vt:i4>5</vt:i4>
      </vt:variant>
      <vt:variant>
        <vt:lpwstr/>
      </vt:variant>
      <vt:variant>
        <vt:lpwstr>_Toc468198786</vt:lpwstr>
      </vt:variant>
      <vt:variant>
        <vt:i4>1048626</vt:i4>
      </vt:variant>
      <vt:variant>
        <vt:i4>158</vt:i4>
      </vt:variant>
      <vt:variant>
        <vt:i4>0</vt:i4>
      </vt:variant>
      <vt:variant>
        <vt:i4>5</vt:i4>
      </vt:variant>
      <vt:variant>
        <vt:lpwstr/>
      </vt:variant>
      <vt:variant>
        <vt:lpwstr>_Toc468198785</vt:lpwstr>
      </vt:variant>
      <vt:variant>
        <vt:i4>1048626</vt:i4>
      </vt:variant>
      <vt:variant>
        <vt:i4>152</vt:i4>
      </vt:variant>
      <vt:variant>
        <vt:i4>0</vt:i4>
      </vt:variant>
      <vt:variant>
        <vt:i4>5</vt:i4>
      </vt:variant>
      <vt:variant>
        <vt:lpwstr/>
      </vt:variant>
      <vt:variant>
        <vt:lpwstr>_Toc468198784</vt:lpwstr>
      </vt:variant>
      <vt:variant>
        <vt:i4>1048626</vt:i4>
      </vt:variant>
      <vt:variant>
        <vt:i4>146</vt:i4>
      </vt:variant>
      <vt:variant>
        <vt:i4>0</vt:i4>
      </vt:variant>
      <vt:variant>
        <vt:i4>5</vt:i4>
      </vt:variant>
      <vt:variant>
        <vt:lpwstr/>
      </vt:variant>
      <vt:variant>
        <vt:lpwstr>_Toc468198783</vt:lpwstr>
      </vt:variant>
      <vt:variant>
        <vt:i4>1048626</vt:i4>
      </vt:variant>
      <vt:variant>
        <vt:i4>140</vt:i4>
      </vt:variant>
      <vt:variant>
        <vt:i4>0</vt:i4>
      </vt:variant>
      <vt:variant>
        <vt:i4>5</vt:i4>
      </vt:variant>
      <vt:variant>
        <vt:lpwstr/>
      </vt:variant>
      <vt:variant>
        <vt:lpwstr>_Toc468198782</vt:lpwstr>
      </vt:variant>
      <vt:variant>
        <vt:i4>1048626</vt:i4>
      </vt:variant>
      <vt:variant>
        <vt:i4>134</vt:i4>
      </vt:variant>
      <vt:variant>
        <vt:i4>0</vt:i4>
      </vt:variant>
      <vt:variant>
        <vt:i4>5</vt:i4>
      </vt:variant>
      <vt:variant>
        <vt:lpwstr/>
      </vt:variant>
      <vt:variant>
        <vt:lpwstr>_Toc468198781</vt:lpwstr>
      </vt:variant>
      <vt:variant>
        <vt:i4>1048626</vt:i4>
      </vt:variant>
      <vt:variant>
        <vt:i4>128</vt:i4>
      </vt:variant>
      <vt:variant>
        <vt:i4>0</vt:i4>
      </vt:variant>
      <vt:variant>
        <vt:i4>5</vt:i4>
      </vt:variant>
      <vt:variant>
        <vt:lpwstr/>
      </vt:variant>
      <vt:variant>
        <vt:lpwstr>_Toc468198780</vt:lpwstr>
      </vt:variant>
      <vt:variant>
        <vt:i4>2031666</vt:i4>
      </vt:variant>
      <vt:variant>
        <vt:i4>122</vt:i4>
      </vt:variant>
      <vt:variant>
        <vt:i4>0</vt:i4>
      </vt:variant>
      <vt:variant>
        <vt:i4>5</vt:i4>
      </vt:variant>
      <vt:variant>
        <vt:lpwstr/>
      </vt:variant>
      <vt:variant>
        <vt:lpwstr>_Toc468198779</vt:lpwstr>
      </vt:variant>
      <vt:variant>
        <vt:i4>2031666</vt:i4>
      </vt:variant>
      <vt:variant>
        <vt:i4>116</vt:i4>
      </vt:variant>
      <vt:variant>
        <vt:i4>0</vt:i4>
      </vt:variant>
      <vt:variant>
        <vt:i4>5</vt:i4>
      </vt:variant>
      <vt:variant>
        <vt:lpwstr/>
      </vt:variant>
      <vt:variant>
        <vt:lpwstr>_Toc468198778</vt:lpwstr>
      </vt:variant>
      <vt:variant>
        <vt:i4>2031666</vt:i4>
      </vt:variant>
      <vt:variant>
        <vt:i4>110</vt:i4>
      </vt:variant>
      <vt:variant>
        <vt:i4>0</vt:i4>
      </vt:variant>
      <vt:variant>
        <vt:i4>5</vt:i4>
      </vt:variant>
      <vt:variant>
        <vt:lpwstr/>
      </vt:variant>
      <vt:variant>
        <vt:lpwstr>_Toc468198777</vt:lpwstr>
      </vt:variant>
      <vt:variant>
        <vt:i4>2031666</vt:i4>
      </vt:variant>
      <vt:variant>
        <vt:i4>104</vt:i4>
      </vt:variant>
      <vt:variant>
        <vt:i4>0</vt:i4>
      </vt:variant>
      <vt:variant>
        <vt:i4>5</vt:i4>
      </vt:variant>
      <vt:variant>
        <vt:lpwstr/>
      </vt:variant>
      <vt:variant>
        <vt:lpwstr>_Toc468198776</vt:lpwstr>
      </vt:variant>
      <vt:variant>
        <vt:i4>2031666</vt:i4>
      </vt:variant>
      <vt:variant>
        <vt:i4>98</vt:i4>
      </vt:variant>
      <vt:variant>
        <vt:i4>0</vt:i4>
      </vt:variant>
      <vt:variant>
        <vt:i4>5</vt:i4>
      </vt:variant>
      <vt:variant>
        <vt:lpwstr/>
      </vt:variant>
      <vt:variant>
        <vt:lpwstr>_Toc468198775</vt:lpwstr>
      </vt:variant>
      <vt:variant>
        <vt:i4>2031666</vt:i4>
      </vt:variant>
      <vt:variant>
        <vt:i4>92</vt:i4>
      </vt:variant>
      <vt:variant>
        <vt:i4>0</vt:i4>
      </vt:variant>
      <vt:variant>
        <vt:i4>5</vt:i4>
      </vt:variant>
      <vt:variant>
        <vt:lpwstr/>
      </vt:variant>
      <vt:variant>
        <vt:lpwstr>_Toc468198774</vt:lpwstr>
      </vt:variant>
      <vt:variant>
        <vt:i4>2031666</vt:i4>
      </vt:variant>
      <vt:variant>
        <vt:i4>86</vt:i4>
      </vt:variant>
      <vt:variant>
        <vt:i4>0</vt:i4>
      </vt:variant>
      <vt:variant>
        <vt:i4>5</vt:i4>
      </vt:variant>
      <vt:variant>
        <vt:lpwstr/>
      </vt:variant>
      <vt:variant>
        <vt:lpwstr>_Toc468198773</vt:lpwstr>
      </vt:variant>
      <vt:variant>
        <vt:i4>2031666</vt:i4>
      </vt:variant>
      <vt:variant>
        <vt:i4>80</vt:i4>
      </vt:variant>
      <vt:variant>
        <vt:i4>0</vt:i4>
      </vt:variant>
      <vt:variant>
        <vt:i4>5</vt:i4>
      </vt:variant>
      <vt:variant>
        <vt:lpwstr/>
      </vt:variant>
      <vt:variant>
        <vt:lpwstr>_Toc468198772</vt:lpwstr>
      </vt:variant>
      <vt:variant>
        <vt:i4>2031666</vt:i4>
      </vt:variant>
      <vt:variant>
        <vt:i4>74</vt:i4>
      </vt:variant>
      <vt:variant>
        <vt:i4>0</vt:i4>
      </vt:variant>
      <vt:variant>
        <vt:i4>5</vt:i4>
      </vt:variant>
      <vt:variant>
        <vt:lpwstr/>
      </vt:variant>
      <vt:variant>
        <vt:lpwstr>_Toc468198771</vt:lpwstr>
      </vt:variant>
      <vt:variant>
        <vt:i4>2031666</vt:i4>
      </vt:variant>
      <vt:variant>
        <vt:i4>68</vt:i4>
      </vt:variant>
      <vt:variant>
        <vt:i4>0</vt:i4>
      </vt:variant>
      <vt:variant>
        <vt:i4>5</vt:i4>
      </vt:variant>
      <vt:variant>
        <vt:lpwstr/>
      </vt:variant>
      <vt:variant>
        <vt:lpwstr>_Toc468198770</vt:lpwstr>
      </vt:variant>
      <vt:variant>
        <vt:i4>1966130</vt:i4>
      </vt:variant>
      <vt:variant>
        <vt:i4>62</vt:i4>
      </vt:variant>
      <vt:variant>
        <vt:i4>0</vt:i4>
      </vt:variant>
      <vt:variant>
        <vt:i4>5</vt:i4>
      </vt:variant>
      <vt:variant>
        <vt:lpwstr/>
      </vt:variant>
      <vt:variant>
        <vt:lpwstr>_Toc468198769</vt:lpwstr>
      </vt:variant>
      <vt:variant>
        <vt:i4>1966130</vt:i4>
      </vt:variant>
      <vt:variant>
        <vt:i4>56</vt:i4>
      </vt:variant>
      <vt:variant>
        <vt:i4>0</vt:i4>
      </vt:variant>
      <vt:variant>
        <vt:i4>5</vt:i4>
      </vt:variant>
      <vt:variant>
        <vt:lpwstr/>
      </vt:variant>
      <vt:variant>
        <vt:lpwstr>_Toc468198768</vt:lpwstr>
      </vt:variant>
      <vt:variant>
        <vt:i4>1966130</vt:i4>
      </vt:variant>
      <vt:variant>
        <vt:i4>50</vt:i4>
      </vt:variant>
      <vt:variant>
        <vt:i4>0</vt:i4>
      </vt:variant>
      <vt:variant>
        <vt:i4>5</vt:i4>
      </vt:variant>
      <vt:variant>
        <vt:lpwstr/>
      </vt:variant>
      <vt:variant>
        <vt:lpwstr>_Toc468198767</vt:lpwstr>
      </vt:variant>
      <vt:variant>
        <vt:i4>1966130</vt:i4>
      </vt:variant>
      <vt:variant>
        <vt:i4>44</vt:i4>
      </vt:variant>
      <vt:variant>
        <vt:i4>0</vt:i4>
      </vt:variant>
      <vt:variant>
        <vt:i4>5</vt:i4>
      </vt:variant>
      <vt:variant>
        <vt:lpwstr/>
      </vt:variant>
      <vt:variant>
        <vt:lpwstr>_Toc468198766</vt:lpwstr>
      </vt:variant>
      <vt:variant>
        <vt:i4>1966130</vt:i4>
      </vt:variant>
      <vt:variant>
        <vt:i4>38</vt:i4>
      </vt:variant>
      <vt:variant>
        <vt:i4>0</vt:i4>
      </vt:variant>
      <vt:variant>
        <vt:i4>5</vt:i4>
      </vt:variant>
      <vt:variant>
        <vt:lpwstr/>
      </vt:variant>
      <vt:variant>
        <vt:lpwstr>_Toc468198765</vt:lpwstr>
      </vt:variant>
      <vt:variant>
        <vt:i4>1966130</vt:i4>
      </vt:variant>
      <vt:variant>
        <vt:i4>32</vt:i4>
      </vt:variant>
      <vt:variant>
        <vt:i4>0</vt:i4>
      </vt:variant>
      <vt:variant>
        <vt:i4>5</vt:i4>
      </vt:variant>
      <vt:variant>
        <vt:lpwstr/>
      </vt:variant>
      <vt:variant>
        <vt:lpwstr>_Toc468198764</vt:lpwstr>
      </vt:variant>
      <vt:variant>
        <vt:i4>1966130</vt:i4>
      </vt:variant>
      <vt:variant>
        <vt:i4>26</vt:i4>
      </vt:variant>
      <vt:variant>
        <vt:i4>0</vt:i4>
      </vt:variant>
      <vt:variant>
        <vt:i4>5</vt:i4>
      </vt:variant>
      <vt:variant>
        <vt:lpwstr/>
      </vt:variant>
      <vt:variant>
        <vt:lpwstr>_Toc468198763</vt:lpwstr>
      </vt:variant>
      <vt:variant>
        <vt:i4>1966130</vt:i4>
      </vt:variant>
      <vt:variant>
        <vt:i4>20</vt:i4>
      </vt:variant>
      <vt:variant>
        <vt:i4>0</vt:i4>
      </vt:variant>
      <vt:variant>
        <vt:i4>5</vt:i4>
      </vt:variant>
      <vt:variant>
        <vt:lpwstr/>
      </vt:variant>
      <vt:variant>
        <vt:lpwstr>_Toc468198762</vt:lpwstr>
      </vt:variant>
      <vt:variant>
        <vt:i4>1966130</vt:i4>
      </vt:variant>
      <vt:variant>
        <vt:i4>14</vt:i4>
      </vt:variant>
      <vt:variant>
        <vt:i4>0</vt:i4>
      </vt:variant>
      <vt:variant>
        <vt:i4>5</vt:i4>
      </vt:variant>
      <vt:variant>
        <vt:lpwstr/>
      </vt:variant>
      <vt:variant>
        <vt:lpwstr>_Toc468198761</vt:lpwstr>
      </vt:variant>
      <vt:variant>
        <vt:i4>1966130</vt:i4>
      </vt:variant>
      <vt:variant>
        <vt:i4>8</vt:i4>
      </vt:variant>
      <vt:variant>
        <vt:i4>0</vt:i4>
      </vt:variant>
      <vt:variant>
        <vt:i4>5</vt:i4>
      </vt:variant>
      <vt:variant>
        <vt:lpwstr/>
      </vt:variant>
      <vt:variant>
        <vt:lpwstr>_Toc468198760</vt:lpwstr>
      </vt:variant>
      <vt:variant>
        <vt:i4>1900594</vt:i4>
      </vt:variant>
      <vt:variant>
        <vt:i4>2</vt:i4>
      </vt:variant>
      <vt:variant>
        <vt:i4>0</vt:i4>
      </vt:variant>
      <vt:variant>
        <vt:i4>5</vt:i4>
      </vt:variant>
      <vt:variant>
        <vt:lpwstr/>
      </vt:variant>
      <vt:variant>
        <vt:lpwstr>_Toc468198759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人身保險業資本適足性報告相關填報表格填報手冊</dc:title>
  <dc:subject/>
  <dc:creator>TII</dc:creator>
  <cp:keywords/>
  <dc:description/>
  <cp:lastModifiedBy>Office 2021 保發中心</cp:lastModifiedBy>
  <cp:revision>138</cp:revision>
  <cp:lastPrinted>2025-06-25T07:13:00Z</cp:lastPrinted>
  <dcterms:created xsi:type="dcterms:W3CDTF">2023-11-23T03:43:00Z</dcterms:created>
  <dcterms:modified xsi:type="dcterms:W3CDTF">2025-07-14T08:25:00Z</dcterms:modified>
</cp:coreProperties>
</file>