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ABC9" w14:textId="2EAD640F" w:rsidR="00C55CCF" w:rsidRPr="00CF4F8B" w:rsidRDefault="00513A40" w:rsidP="00C55CCF">
      <w:pPr>
        <w:snapToGrid w:val="0"/>
        <w:spacing w:line="360" w:lineRule="auto"/>
        <w:jc w:val="center"/>
        <w:rPr>
          <w:rFonts w:ascii="Times New Roman" w:eastAsia="標楷體" w:hAnsi="Times New Roman" w:cs="Times New Roman"/>
          <w:b/>
          <w:bCs/>
          <w:color w:val="000000" w:themeColor="text1"/>
          <w:sz w:val="40"/>
          <w:szCs w:val="28"/>
        </w:rPr>
      </w:pPr>
      <w:r>
        <w:rPr>
          <w:rFonts w:ascii="Times New Roman" w:eastAsia="標楷體" w:hAnsi="Times New Roman" w:cs="Times New Roman" w:hint="eastAsia"/>
          <w:b/>
          <w:bCs/>
          <w:color w:val="000000" w:themeColor="text1"/>
          <w:sz w:val="40"/>
          <w:szCs w:val="28"/>
        </w:rPr>
        <w:t>壽險業</w:t>
      </w:r>
      <w:r w:rsidR="00264F35" w:rsidRPr="00CF4F8B">
        <w:rPr>
          <w:rFonts w:ascii="Times New Roman" w:eastAsia="標楷體" w:hAnsi="Times New Roman" w:cs="Times New Roman"/>
          <w:b/>
          <w:bCs/>
          <w:color w:val="000000" w:themeColor="text1"/>
          <w:sz w:val="40"/>
          <w:szCs w:val="28"/>
        </w:rPr>
        <w:t>長</w:t>
      </w:r>
      <w:r w:rsidR="00670150" w:rsidRPr="00CF4F8B">
        <w:rPr>
          <w:rFonts w:ascii="Times New Roman" w:eastAsia="標楷體" w:hAnsi="Times New Roman" w:cs="Times New Roman"/>
          <w:b/>
          <w:bCs/>
          <w:color w:val="000000" w:themeColor="text1"/>
          <w:sz w:val="40"/>
          <w:szCs w:val="28"/>
        </w:rPr>
        <w:t>年</w:t>
      </w:r>
      <w:r w:rsidR="00264F35" w:rsidRPr="00CF4F8B">
        <w:rPr>
          <w:rFonts w:ascii="Times New Roman" w:eastAsia="標楷體" w:hAnsi="Times New Roman" w:cs="Times New Roman"/>
          <w:b/>
          <w:bCs/>
          <w:color w:val="000000" w:themeColor="text1"/>
          <w:sz w:val="40"/>
          <w:szCs w:val="28"/>
        </w:rPr>
        <w:t>期健康保險保單年度損失率</w:t>
      </w:r>
    </w:p>
    <w:p w14:paraId="43872113" w14:textId="77777777" w:rsidR="0049599E" w:rsidRPr="00CF4F8B" w:rsidRDefault="0049599E" w:rsidP="00D86181">
      <w:pPr>
        <w:overflowPunct w:val="0"/>
        <w:snapToGrid w:val="0"/>
        <w:spacing w:beforeLines="50" w:before="180" w:line="360" w:lineRule="auto"/>
        <w:jc w:val="both"/>
        <w:rPr>
          <w:rFonts w:ascii="Times New Roman" w:eastAsia="標楷體" w:hAnsi="Times New Roman" w:cs="Times New Roman"/>
          <w:color w:val="000000" w:themeColor="text1"/>
          <w:sz w:val="28"/>
        </w:rPr>
      </w:pPr>
      <w:r w:rsidRPr="00CF4F8B">
        <w:rPr>
          <w:rFonts w:ascii="Times New Roman" w:eastAsia="標楷體" w:hAnsi="Times New Roman" w:cs="Times New Roman"/>
          <w:color w:val="000000" w:themeColor="text1"/>
          <w:sz w:val="28"/>
        </w:rPr>
        <w:t>【損失率計算基礎】</w:t>
      </w:r>
    </w:p>
    <w:p w14:paraId="320CB4B0" w14:textId="77777777" w:rsidR="00D128BC" w:rsidRPr="00CF4F8B" w:rsidRDefault="000A475F" w:rsidP="00B27569">
      <w:pPr>
        <w:overflowPunct w:val="0"/>
        <w:snapToGrid w:val="0"/>
        <w:spacing w:beforeLines="50" w:before="180" w:line="600" w:lineRule="exact"/>
        <w:ind w:leftChars="200" w:left="480" w:firstLineChars="183" w:firstLine="512"/>
        <w:jc w:val="both"/>
        <w:rPr>
          <w:rFonts w:ascii="Times New Roman" w:eastAsia="標楷體" w:hAnsi="Times New Roman" w:cs="Times New Roman"/>
          <w:color w:val="000000" w:themeColor="text1"/>
          <w:sz w:val="28"/>
        </w:rPr>
      </w:pPr>
      <w:bookmarkStart w:id="0" w:name="_Hlk107394477"/>
      <w:r w:rsidRPr="00CF4F8B">
        <w:rPr>
          <w:rFonts w:ascii="Times New Roman" w:eastAsia="標楷體" w:hAnsi="Times New Roman" w:cs="Times New Roman"/>
          <w:color w:val="000000" w:themeColor="text1"/>
          <w:sz w:val="28"/>
        </w:rPr>
        <w:t>一般</w:t>
      </w:r>
      <w:r w:rsidR="008375C1" w:rsidRPr="00CF4F8B">
        <w:rPr>
          <w:rFonts w:ascii="Times New Roman" w:eastAsia="標楷體" w:hAnsi="Times New Roman" w:cs="Times New Roman"/>
          <w:color w:val="000000" w:themeColor="text1"/>
          <w:sz w:val="28"/>
        </w:rPr>
        <w:t>商業</w:t>
      </w:r>
      <w:r w:rsidR="00677E22" w:rsidRPr="00CF4F8B">
        <w:rPr>
          <w:rFonts w:ascii="Times New Roman" w:eastAsia="標楷體" w:hAnsi="Times New Roman" w:cs="Times New Roman"/>
          <w:color w:val="000000" w:themeColor="text1"/>
          <w:sz w:val="28"/>
        </w:rPr>
        <w:t>保險費包括兩部分，其一為「純保險費」，係保險事故發生時</w:t>
      </w:r>
      <w:r w:rsidR="008375C1" w:rsidRPr="00CF4F8B">
        <w:rPr>
          <w:rFonts w:ascii="Times New Roman" w:eastAsia="標楷體" w:hAnsi="Times New Roman" w:cs="Times New Roman"/>
          <w:color w:val="000000" w:themeColor="text1"/>
          <w:sz w:val="28"/>
        </w:rPr>
        <w:t>，</w:t>
      </w:r>
      <w:r w:rsidR="004D1638" w:rsidRPr="00CF4F8B">
        <w:rPr>
          <w:rFonts w:ascii="Times New Roman" w:eastAsia="標楷體" w:hAnsi="Times New Roman" w:cs="Times New Roman"/>
          <w:color w:val="000000" w:themeColor="text1"/>
          <w:sz w:val="28"/>
        </w:rPr>
        <w:t>保險公司</w:t>
      </w:r>
      <w:r w:rsidR="003A52DC" w:rsidRPr="00CF4F8B">
        <w:rPr>
          <w:rFonts w:ascii="Times New Roman" w:eastAsia="標楷體" w:hAnsi="Times New Roman" w:cs="Times New Roman"/>
          <w:color w:val="000000" w:themeColor="text1"/>
          <w:sz w:val="28"/>
        </w:rPr>
        <w:t>作為</w:t>
      </w:r>
      <w:r w:rsidR="008545BF" w:rsidRPr="00CF4F8B">
        <w:rPr>
          <w:rFonts w:ascii="Times New Roman" w:eastAsia="標楷體" w:hAnsi="Times New Roman" w:cs="Times New Roman"/>
          <w:color w:val="000000" w:themeColor="text1"/>
          <w:sz w:val="28"/>
        </w:rPr>
        <w:t>理賠</w:t>
      </w:r>
      <w:r w:rsidR="003A52DC" w:rsidRPr="00CF4F8B">
        <w:rPr>
          <w:rFonts w:ascii="Times New Roman" w:eastAsia="標楷體" w:hAnsi="Times New Roman" w:cs="Times New Roman"/>
          <w:color w:val="000000" w:themeColor="text1"/>
          <w:sz w:val="28"/>
        </w:rPr>
        <w:t>給付</w:t>
      </w:r>
      <w:r w:rsidR="00D128BC" w:rsidRPr="00CF4F8B">
        <w:rPr>
          <w:rFonts w:ascii="Times New Roman" w:eastAsia="標楷體" w:hAnsi="Times New Roman" w:cs="Times New Roman"/>
          <w:color w:val="000000" w:themeColor="text1"/>
          <w:sz w:val="28"/>
        </w:rPr>
        <w:t>之用，</w:t>
      </w:r>
      <w:r w:rsidR="00677E22" w:rsidRPr="00CF4F8B">
        <w:rPr>
          <w:rFonts w:ascii="Times New Roman" w:eastAsia="標楷體" w:hAnsi="Times New Roman" w:cs="Times New Roman"/>
          <w:color w:val="000000" w:themeColor="text1"/>
          <w:sz w:val="28"/>
        </w:rPr>
        <w:t>另一為「附加費用」，</w:t>
      </w:r>
      <w:r w:rsidR="00D128BC" w:rsidRPr="00CF4F8B">
        <w:rPr>
          <w:rFonts w:ascii="Times New Roman" w:eastAsia="標楷體" w:hAnsi="Times New Roman" w:cs="Times New Roman"/>
          <w:color w:val="000000" w:themeColor="text1"/>
          <w:sz w:val="28"/>
        </w:rPr>
        <w:t>作為支持公司</w:t>
      </w:r>
      <w:r w:rsidR="004C4F04" w:rsidRPr="00CF4F8B">
        <w:rPr>
          <w:rFonts w:ascii="Times New Roman" w:eastAsia="標楷體" w:hAnsi="Times New Roman" w:cs="Times New Roman"/>
          <w:color w:val="000000" w:themeColor="text1"/>
          <w:sz w:val="28"/>
        </w:rPr>
        <w:t>一般</w:t>
      </w:r>
      <w:r w:rsidR="00D128BC" w:rsidRPr="00CF4F8B">
        <w:rPr>
          <w:rFonts w:ascii="Times New Roman" w:eastAsia="標楷體" w:hAnsi="Times New Roman" w:cs="Times New Roman"/>
          <w:color w:val="000000" w:themeColor="text1"/>
          <w:sz w:val="28"/>
        </w:rPr>
        <w:t>行政營運之用，兩者</w:t>
      </w:r>
      <w:r w:rsidR="00677E22" w:rsidRPr="00CF4F8B">
        <w:rPr>
          <w:rFonts w:ascii="Times New Roman" w:eastAsia="標楷體" w:hAnsi="Times New Roman" w:cs="Times New Roman"/>
          <w:color w:val="000000" w:themeColor="text1"/>
          <w:sz w:val="28"/>
        </w:rPr>
        <w:t>合計即為保險公司</w:t>
      </w:r>
      <w:r w:rsidR="00434C8C" w:rsidRPr="00CF4F8B">
        <w:rPr>
          <w:rFonts w:ascii="Times New Roman" w:eastAsia="標楷體" w:hAnsi="Times New Roman" w:cs="Times New Roman"/>
          <w:color w:val="000000" w:themeColor="text1"/>
          <w:sz w:val="28"/>
        </w:rPr>
        <w:t>市場</w:t>
      </w:r>
      <w:r w:rsidR="00677E22" w:rsidRPr="00CF4F8B">
        <w:rPr>
          <w:rFonts w:ascii="Times New Roman" w:eastAsia="標楷體" w:hAnsi="Times New Roman" w:cs="Times New Roman"/>
          <w:color w:val="000000" w:themeColor="text1"/>
          <w:sz w:val="28"/>
        </w:rPr>
        <w:t>銷售商品時</w:t>
      </w:r>
      <w:r w:rsidR="00D128BC" w:rsidRPr="00CF4F8B">
        <w:rPr>
          <w:rFonts w:ascii="Times New Roman" w:eastAsia="標楷體" w:hAnsi="Times New Roman" w:cs="Times New Roman"/>
          <w:color w:val="000000" w:themeColor="text1"/>
          <w:sz w:val="28"/>
        </w:rPr>
        <w:t>向消費者</w:t>
      </w:r>
      <w:r w:rsidR="00677E22" w:rsidRPr="00CF4F8B">
        <w:rPr>
          <w:rFonts w:ascii="Times New Roman" w:eastAsia="標楷體" w:hAnsi="Times New Roman" w:cs="Times New Roman"/>
          <w:color w:val="000000" w:themeColor="text1"/>
          <w:sz w:val="28"/>
        </w:rPr>
        <w:t>所收取之保險費</w:t>
      </w:r>
      <w:r w:rsidR="00D128BC" w:rsidRPr="00CF4F8B">
        <w:rPr>
          <w:rFonts w:ascii="Times New Roman" w:eastAsia="標楷體" w:hAnsi="Times New Roman" w:cs="Times New Roman"/>
          <w:color w:val="000000" w:themeColor="text1"/>
          <w:sz w:val="28"/>
        </w:rPr>
        <w:t>。</w:t>
      </w:r>
      <w:bookmarkEnd w:id="0"/>
    </w:p>
    <w:p w14:paraId="1070DF98" w14:textId="6228A132" w:rsidR="0002022C" w:rsidRDefault="00191834" w:rsidP="00191834">
      <w:pPr>
        <w:overflowPunct w:val="0"/>
        <w:snapToGrid w:val="0"/>
        <w:spacing w:beforeLines="50" w:before="180" w:line="600" w:lineRule="exact"/>
        <w:ind w:leftChars="200" w:left="480" w:firstLineChars="183" w:firstLine="513"/>
        <w:jc w:val="both"/>
        <w:rPr>
          <w:rFonts w:ascii="Times New Roman" w:eastAsia="標楷體" w:hAnsi="Times New Roman" w:cs="Times New Roman"/>
          <w:b/>
          <w:bCs/>
          <w:color w:val="000000" w:themeColor="text1"/>
          <w:sz w:val="28"/>
        </w:rPr>
      </w:pPr>
      <w:r w:rsidRPr="00513A40">
        <w:rPr>
          <w:rFonts w:ascii="Times New Roman" w:eastAsia="標楷體" w:hAnsi="Times New Roman" w:cs="Times New Roman"/>
          <w:b/>
          <w:bCs/>
          <w:color w:val="000000" w:themeColor="text1"/>
          <w:sz w:val="28"/>
        </w:rPr>
        <w:t>長年期健康保險損失率係反應危險純保費是否足以支應保險理賠給付，通常以危險純保費為計算基礎</w:t>
      </w:r>
      <w:r w:rsidR="0002022C" w:rsidRPr="0002022C">
        <w:rPr>
          <w:rFonts w:ascii="Times New Roman" w:eastAsia="標楷體" w:hAnsi="Times New Roman" w:cs="Times New Roman" w:hint="eastAsia"/>
          <w:color w:val="000000" w:themeColor="text1"/>
          <w:sz w:val="28"/>
        </w:rPr>
        <w:t>，</w:t>
      </w:r>
      <w:r w:rsidR="0002022C">
        <w:rPr>
          <w:rFonts w:ascii="Times New Roman" w:eastAsia="標楷體" w:hAnsi="Times New Roman" w:cs="Times New Roman" w:hint="eastAsia"/>
          <w:color w:val="000000" w:themeColor="text1"/>
          <w:sz w:val="28"/>
        </w:rPr>
        <w:t>其中</w:t>
      </w:r>
      <w:r w:rsidR="0002022C" w:rsidRPr="00CF4F8B">
        <w:rPr>
          <w:rFonts w:ascii="Times New Roman" w:eastAsia="標楷體" w:hAnsi="Times New Roman" w:cs="Times New Roman"/>
          <w:color w:val="000000" w:themeColor="text1"/>
          <w:sz w:val="28"/>
        </w:rPr>
        <w:t>危險保險費</w:t>
      </w:r>
      <w:r w:rsidR="0002022C">
        <w:rPr>
          <w:rFonts w:ascii="Times New Roman" w:eastAsia="標楷體" w:hAnsi="Times New Roman" w:cs="Times New Roman" w:hint="eastAsia"/>
          <w:color w:val="000000" w:themeColor="text1"/>
          <w:sz w:val="28"/>
        </w:rPr>
        <w:t>又稱之為</w:t>
      </w:r>
      <w:r w:rsidR="0002022C" w:rsidRPr="00CF4F8B">
        <w:rPr>
          <w:rFonts w:ascii="Times New Roman" w:eastAsia="標楷體" w:hAnsi="Times New Roman" w:cs="Times New Roman"/>
          <w:color w:val="000000" w:themeColor="text1"/>
          <w:sz w:val="28"/>
        </w:rPr>
        <w:t>「自然保險費」，通常隨被保險人年齡增長而遞增，故消費者</w:t>
      </w:r>
      <w:proofErr w:type="gramStart"/>
      <w:r w:rsidR="0002022C" w:rsidRPr="00CF4F8B">
        <w:rPr>
          <w:rFonts w:ascii="Times New Roman" w:eastAsia="標楷體" w:hAnsi="Times New Roman" w:cs="Times New Roman"/>
          <w:color w:val="000000" w:themeColor="text1"/>
          <w:sz w:val="28"/>
        </w:rPr>
        <w:t>每年均需繳納</w:t>
      </w:r>
      <w:proofErr w:type="gramEnd"/>
      <w:r w:rsidR="0002022C" w:rsidRPr="00CF4F8B">
        <w:rPr>
          <w:rFonts w:ascii="Times New Roman" w:eastAsia="標楷體" w:hAnsi="Times New Roman" w:cs="Times New Roman"/>
          <w:color w:val="000000" w:themeColor="text1"/>
          <w:sz w:val="28"/>
        </w:rPr>
        <w:t>保險費且繳付金額</w:t>
      </w:r>
      <w:r w:rsidR="00712AFA">
        <w:rPr>
          <w:rFonts w:ascii="Times New Roman" w:eastAsia="標楷體" w:hAnsi="Times New Roman" w:cs="Times New Roman" w:hint="eastAsia"/>
          <w:color w:val="000000" w:themeColor="text1"/>
          <w:sz w:val="28"/>
        </w:rPr>
        <w:t>會</w:t>
      </w:r>
      <w:r w:rsidR="0002022C" w:rsidRPr="00CF4F8B">
        <w:rPr>
          <w:rFonts w:ascii="Times New Roman" w:eastAsia="標楷體" w:hAnsi="Times New Roman" w:cs="Times New Roman"/>
          <w:color w:val="000000" w:themeColor="text1"/>
          <w:sz w:val="28"/>
        </w:rPr>
        <w:t>逐年增加</w:t>
      </w:r>
      <w:r w:rsidR="00712AFA">
        <w:rPr>
          <w:rFonts w:ascii="Times New Roman" w:eastAsia="標楷體" w:hAnsi="Times New Roman" w:cs="Times New Roman" w:hint="eastAsia"/>
          <w:color w:val="000000" w:themeColor="text1"/>
          <w:sz w:val="28"/>
        </w:rPr>
        <w:t>直至保單結束</w:t>
      </w:r>
      <w:r w:rsidR="0002022C">
        <w:rPr>
          <w:rFonts w:ascii="Times New Roman" w:eastAsia="標楷體" w:hAnsi="Times New Roman" w:cs="Times New Roman" w:hint="eastAsia"/>
          <w:color w:val="000000" w:themeColor="text1"/>
          <w:sz w:val="28"/>
        </w:rPr>
        <w:t>。</w:t>
      </w:r>
    </w:p>
    <w:p w14:paraId="42731BD6" w14:textId="47CD62CC" w:rsidR="00133427" w:rsidRPr="0002022C" w:rsidRDefault="0002022C" w:rsidP="0002022C">
      <w:pPr>
        <w:overflowPunct w:val="0"/>
        <w:snapToGrid w:val="0"/>
        <w:spacing w:beforeLines="50" w:before="180" w:line="600" w:lineRule="exact"/>
        <w:ind w:leftChars="200" w:left="480" w:firstLineChars="183" w:firstLine="512"/>
        <w:jc w:val="both"/>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而</w:t>
      </w:r>
      <w:r w:rsidRPr="00CF4F8B">
        <w:rPr>
          <w:rFonts w:ascii="Times New Roman" w:eastAsia="標楷體" w:hAnsi="Times New Roman" w:cs="Times New Roman"/>
          <w:color w:val="000000" w:themeColor="text1"/>
          <w:sz w:val="28"/>
        </w:rPr>
        <w:t>目前市場銷售長年期健康保險大多為限期繳費，</w:t>
      </w:r>
      <w:proofErr w:type="gramStart"/>
      <w:r w:rsidRPr="00CF4F8B">
        <w:rPr>
          <w:rFonts w:ascii="Times New Roman" w:eastAsia="標楷體" w:hAnsi="Times New Roman" w:cs="Times New Roman"/>
          <w:color w:val="000000" w:themeColor="text1"/>
          <w:sz w:val="28"/>
        </w:rPr>
        <w:t>採</w:t>
      </w:r>
      <w:proofErr w:type="gramEnd"/>
      <w:r w:rsidRPr="00CF4F8B">
        <w:rPr>
          <w:rFonts w:ascii="Times New Roman" w:eastAsia="標楷體" w:hAnsi="Times New Roman" w:cs="Times New Roman"/>
          <w:color w:val="000000" w:themeColor="text1"/>
          <w:sz w:val="28"/>
        </w:rPr>
        <w:t>平</w:t>
      </w:r>
      <w:proofErr w:type="gramStart"/>
      <w:r w:rsidRPr="00CF4F8B">
        <w:rPr>
          <w:rFonts w:ascii="Times New Roman" w:eastAsia="標楷體" w:hAnsi="Times New Roman" w:cs="Times New Roman"/>
          <w:color w:val="000000" w:themeColor="text1"/>
          <w:sz w:val="28"/>
        </w:rPr>
        <w:t>準</w:t>
      </w:r>
      <w:proofErr w:type="gramEnd"/>
      <w:r>
        <w:rPr>
          <w:rFonts w:ascii="Times New Roman" w:eastAsia="標楷體" w:hAnsi="Times New Roman" w:cs="Times New Roman" w:hint="eastAsia"/>
          <w:color w:val="000000" w:themeColor="text1"/>
          <w:sz w:val="28"/>
        </w:rPr>
        <w:t>總</w:t>
      </w:r>
      <w:r w:rsidRPr="00CF4F8B">
        <w:rPr>
          <w:rFonts w:ascii="Times New Roman" w:eastAsia="標楷體" w:hAnsi="Times New Roman" w:cs="Times New Roman"/>
          <w:color w:val="000000" w:themeColor="text1"/>
          <w:sz w:val="28"/>
        </w:rPr>
        <w:t>保</w:t>
      </w:r>
      <w:r>
        <w:rPr>
          <w:rFonts w:ascii="Times New Roman" w:eastAsia="標楷體" w:hAnsi="Times New Roman" w:cs="Times New Roman" w:hint="eastAsia"/>
          <w:color w:val="000000" w:themeColor="text1"/>
          <w:sz w:val="28"/>
        </w:rPr>
        <w:t>險</w:t>
      </w:r>
      <w:r w:rsidRPr="00CF4F8B">
        <w:rPr>
          <w:rFonts w:ascii="Times New Roman" w:eastAsia="標楷體" w:hAnsi="Times New Roman" w:cs="Times New Roman"/>
          <w:color w:val="000000" w:themeColor="text1"/>
          <w:sz w:val="28"/>
        </w:rPr>
        <w:t>費方式計收。「平</w:t>
      </w:r>
      <w:proofErr w:type="gramStart"/>
      <w:r w:rsidRPr="00CF4F8B">
        <w:rPr>
          <w:rFonts w:ascii="Times New Roman" w:eastAsia="標楷體" w:hAnsi="Times New Roman" w:cs="Times New Roman"/>
          <w:color w:val="000000" w:themeColor="text1"/>
          <w:sz w:val="28"/>
        </w:rPr>
        <w:t>準</w:t>
      </w:r>
      <w:proofErr w:type="gramEnd"/>
      <w:r>
        <w:rPr>
          <w:rFonts w:ascii="Times New Roman" w:eastAsia="標楷體" w:hAnsi="Times New Roman" w:cs="Times New Roman" w:hint="eastAsia"/>
          <w:color w:val="000000" w:themeColor="text1"/>
          <w:sz w:val="28"/>
        </w:rPr>
        <w:t>總</w:t>
      </w:r>
      <w:r w:rsidRPr="00CF4F8B">
        <w:rPr>
          <w:rFonts w:ascii="Times New Roman" w:eastAsia="標楷體" w:hAnsi="Times New Roman" w:cs="Times New Roman"/>
          <w:color w:val="000000" w:themeColor="text1"/>
          <w:sz w:val="28"/>
        </w:rPr>
        <w:t>保險費」係將整個保險期間之</w:t>
      </w:r>
      <w:r>
        <w:rPr>
          <w:rFonts w:ascii="Times New Roman" w:eastAsia="標楷體" w:hAnsi="Times New Roman" w:cs="Times New Roman" w:hint="eastAsia"/>
          <w:color w:val="000000" w:themeColor="text1"/>
          <w:sz w:val="28"/>
        </w:rPr>
        <w:t>經營</w:t>
      </w:r>
      <w:r w:rsidRPr="00CF4F8B">
        <w:rPr>
          <w:rFonts w:ascii="Times New Roman" w:eastAsia="標楷體" w:hAnsi="Times New Roman" w:cs="Times New Roman"/>
          <w:color w:val="000000" w:themeColor="text1"/>
          <w:sz w:val="28"/>
        </w:rPr>
        <w:t>成本平均分攤於繳費期間內，使要保人每期負擔之保險費均相同，其目的在避免保險費因隨被保險人年齡而增加，致使要保人高齡時無法負擔過高之保險費，亦可免除被保險人於退休後，無工作收入時仍需繳納保險費之可能性。</w:t>
      </w:r>
      <w:r w:rsidR="00D16085">
        <w:rPr>
          <w:rFonts w:ascii="Times New Roman" w:eastAsia="標楷體" w:hAnsi="Times New Roman" w:cs="Times New Roman" w:hint="eastAsia"/>
          <w:color w:val="000000" w:themeColor="text1"/>
          <w:sz w:val="28"/>
        </w:rPr>
        <w:t>倘</w:t>
      </w:r>
      <w:r w:rsidR="00FC64E4" w:rsidRPr="00CF4F8B">
        <w:rPr>
          <w:rFonts w:ascii="Times New Roman" w:eastAsia="標楷體" w:hAnsi="Times New Roman" w:cs="Times New Roman"/>
          <w:color w:val="000000" w:themeColor="text1"/>
          <w:sz w:val="28"/>
        </w:rPr>
        <w:t>以</w:t>
      </w:r>
      <w:r w:rsidR="00117860" w:rsidRPr="00CF4F8B">
        <w:rPr>
          <w:rFonts w:ascii="Times New Roman" w:eastAsia="標楷體" w:hAnsi="Times New Roman" w:cs="Times New Roman"/>
          <w:color w:val="000000" w:themeColor="text1"/>
          <w:sz w:val="28"/>
        </w:rPr>
        <w:t>「當年度</w:t>
      </w:r>
      <w:r w:rsidR="00097259" w:rsidRPr="00CF4F8B">
        <w:rPr>
          <w:rFonts w:ascii="Times New Roman" w:eastAsia="標楷體" w:hAnsi="Times New Roman" w:cs="Times New Roman"/>
          <w:color w:val="000000" w:themeColor="text1"/>
          <w:sz w:val="28"/>
        </w:rPr>
        <w:t>保險理賠給付</w:t>
      </w:r>
      <w:r w:rsidR="00117860" w:rsidRPr="00CF4F8B">
        <w:rPr>
          <w:rFonts w:ascii="Times New Roman" w:eastAsia="標楷體" w:hAnsi="Times New Roman" w:cs="Times New Roman"/>
          <w:color w:val="000000" w:themeColor="text1"/>
          <w:sz w:val="28"/>
        </w:rPr>
        <w:t>÷</w:t>
      </w:r>
      <w:r w:rsidR="00117860" w:rsidRPr="00CF4F8B">
        <w:rPr>
          <w:rFonts w:ascii="Times New Roman" w:eastAsia="標楷體" w:hAnsi="Times New Roman" w:cs="Times New Roman"/>
          <w:color w:val="000000" w:themeColor="text1"/>
          <w:sz w:val="28"/>
        </w:rPr>
        <w:t>當年度保</w:t>
      </w:r>
      <w:r w:rsidR="00AF479C" w:rsidRPr="00CF4F8B">
        <w:rPr>
          <w:rFonts w:ascii="Times New Roman" w:eastAsia="標楷體" w:hAnsi="Times New Roman" w:cs="Times New Roman"/>
          <w:color w:val="000000" w:themeColor="text1"/>
          <w:sz w:val="28"/>
        </w:rPr>
        <w:t>險</w:t>
      </w:r>
      <w:r w:rsidR="00117860" w:rsidRPr="00CF4F8B">
        <w:rPr>
          <w:rFonts w:ascii="Times New Roman" w:eastAsia="標楷體" w:hAnsi="Times New Roman" w:cs="Times New Roman"/>
          <w:color w:val="000000" w:themeColor="text1"/>
          <w:sz w:val="28"/>
        </w:rPr>
        <w:t>費收入」作</w:t>
      </w:r>
      <w:r w:rsidR="001C7AF4" w:rsidRPr="00CF4F8B">
        <w:rPr>
          <w:rFonts w:ascii="Times New Roman" w:eastAsia="標楷體" w:hAnsi="Times New Roman" w:cs="Times New Roman"/>
          <w:color w:val="000000" w:themeColor="text1"/>
          <w:sz w:val="28"/>
        </w:rPr>
        <w:t>為</w:t>
      </w:r>
      <w:r w:rsidR="00677E22" w:rsidRPr="00CF4F8B">
        <w:rPr>
          <w:rFonts w:ascii="Times New Roman" w:eastAsia="標楷體" w:hAnsi="Times New Roman" w:cs="Times New Roman"/>
          <w:color w:val="000000" w:themeColor="text1"/>
          <w:sz w:val="28"/>
        </w:rPr>
        <w:t>長年期健康保險損失率</w:t>
      </w:r>
      <w:r w:rsidR="000C702E" w:rsidRPr="00CF4F8B">
        <w:rPr>
          <w:rFonts w:ascii="Times New Roman" w:eastAsia="標楷體" w:hAnsi="Times New Roman" w:cs="Times New Roman"/>
          <w:color w:val="000000" w:themeColor="text1"/>
          <w:sz w:val="28"/>
        </w:rPr>
        <w:t>之計算</w:t>
      </w:r>
      <w:r w:rsidR="00172DE6" w:rsidRPr="00CF4F8B">
        <w:rPr>
          <w:rFonts w:ascii="Times New Roman" w:eastAsia="標楷體" w:hAnsi="Times New Roman" w:cs="Times New Roman"/>
          <w:color w:val="000000" w:themeColor="text1"/>
          <w:sz w:val="28"/>
        </w:rPr>
        <w:t>公式</w:t>
      </w:r>
      <w:r w:rsidR="00677E22" w:rsidRPr="00CF4F8B">
        <w:rPr>
          <w:rFonts w:ascii="Times New Roman" w:eastAsia="標楷體" w:hAnsi="Times New Roman" w:cs="Times New Roman"/>
          <w:color w:val="000000" w:themeColor="text1"/>
          <w:sz w:val="28"/>
        </w:rPr>
        <w:t>，</w:t>
      </w:r>
      <w:r w:rsidR="00712AFA">
        <w:rPr>
          <w:rFonts w:ascii="Times New Roman" w:eastAsia="標楷體" w:hAnsi="Times New Roman" w:cs="Times New Roman" w:hint="eastAsia"/>
          <w:color w:val="000000" w:themeColor="text1"/>
          <w:sz w:val="28"/>
        </w:rPr>
        <w:t>因</w:t>
      </w:r>
      <w:r w:rsidR="00712AFA" w:rsidRPr="00CF4F8B">
        <w:rPr>
          <w:rFonts w:ascii="Times New Roman" w:eastAsia="標楷體" w:hAnsi="Times New Roman" w:cs="Times New Roman"/>
          <w:color w:val="000000" w:themeColor="text1"/>
          <w:sz w:val="28"/>
        </w:rPr>
        <w:t>當年度保險費收入</w:t>
      </w:r>
      <w:r w:rsidR="00DF0BE5" w:rsidRPr="00CF4F8B">
        <w:rPr>
          <w:rFonts w:ascii="Times New Roman" w:eastAsia="標楷體" w:hAnsi="Times New Roman" w:cs="Times New Roman"/>
          <w:color w:val="000000" w:themeColor="text1"/>
          <w:sz w:val="28"/>
        </w:rPr>
        <w:t>遠高於當年度危險保險費</w:t>
      </w:r>
      <w:r w:rsidR="00ED538B" w:rsidRPr="00CF4F8B">
        <w:rPr>
          <w:rFonts w:ascii="Times New Roman" w:eastAsia="標楷體" w:hAnsi="Times New Roman" w:cs="Times New Roman"/>
          <w:color w:val="000000" w:themeColor="text1"/>
          <w:sz w:val="28"/>
        </w:rPr>
        <w:t>，</w:t>
      </w:r>
      <w:r w:rsidR="00712AFA">
        <w:rPr>
          <w:rFonts w:ascii="Times New Roman" w:eastAsia="標楷體" w:hAnsi="Times New Roman" w:cs="Times New Roman" w:hint="eastAsia"/>
          <w:color w:val="000000" w:themeColor="text1"/>
          <w:sz w:val="28"/>
        </w:rPr>
        <w:t>將會</w:t>
      </w:r>
      <w:r w:rsidR="00BC0A47" w:rsidRPr="00CF4F8B">
        <w:rPr>
          <w:rFonts w:ascii="Times New Roman" w:eastAsia="標楷體" w:hAnsi="Times New Roman" w:cs="Times New Roman"/>
          <w:color w:val="000000" w:themeColor="text1"/>
          <w:sz w:val="28"/>
        </w:rPr>
        <w:t>造成</w:t>
      </w:r>
      <w:r w:rsidR="003A52DC" w:rsidRPr="00CF4F8B">
        <w:rPr>
          <w:rFonts w:ascii="Times New Roman" w:eastAsia="標楷體" w:hAnsi="Times New Roman" w:cs="Times New Roman"/>
          <w:color w:val="000000" w:themeColor="text1"/>
          <w:sz w:val="28"/>
        </w:rPr>
        <w:t>損失率</w:t>
      </w:r>
      <w:r w:rsidR="00581C7E" w:rsidRPr="00CF4F8B">
        <w:rPr>
          <w:rFonts w:ascii="Times New Roman" w:eastAsia="標楷體" w:hAnsi="Times New Roman" w:cs="Times New Roman"/>
          <w:color w:val="000000" w:themeColor="text1"/>
          <w:sz w:val="28"/>
        </w:rPr>
        <w:t>嚴重低估</w:t>
      </w:r>
      <w:r>
        <w:rPr>
          <w:rFonts w:ascii="Times New Roman" w:eastAsia="標楷體" w:hAnsi="Times New Roman" w:cs="Times New Roman" w:hint="eastAsia"/>
          <w:color w:val="000000" w:themeColor="text1"/>
          <w:sz w:val="28"/>
        </w:rPr>
        <w:t>；</w:t>
      </w:r>
      <w:r w:rsidR="00E17F98" w:rsidRPr="00CF4F8B">
        <w:rPr>
          <w:rFonts w:ascii="Times New Roman" w:eastAsia="標楷體" w:hAnsi="Times New Roman" w:cs="Times New Roman"/>
          <w:color w:val="000000" w:themeColor="text1"/>
          <w:sz w:val="28"/>
        </w:rPr>
        <w:t>繳費期滿後因無保費收入</w:t>
      </w:r>
      <w:r w:rsidR="009F6F1D" w:rsidRPr="00CF4F8B">
        <w:rPr>
          <w:rFonts w:ascii="Times New Roman" w:eastAsia="標楷體" w:hAnsi="Times New Roman" w:cs="Times New Roman"/>
          <w:color w:val="000000" w:themeColor="text1"/>
          <w:sz w:val="28"/>
        </w:rPr>
        <w:t>，</w:t>
      </w:r>
      <w:r w:rsidR="00712AFA">
        <w:rPr>
          <w:rFonts w:ascii="Times New Roman" w:eastAsia="標楷體" w:hAnsi="Times New Roman" w:cs="Times New Roman" w:hint="eastAsia"/>
          <w:color w:val="000000" w:themeColor="text1"/>
          <w:sz w:val="28"/>
        </w:rPr>
        <w:t>將</w:t>
      </w:r>
      <w:r w:rsidR="004F74A0" w:rsidRPr="00CF4F8B">
        <w:rPr>
          <w:rFonts w:ascii="Times New Roman" w:eastAsia="標楷體" w:hAnsi="Times New Roman" w:cs="Times New Roman"/>
          <w:color w:val="000000" w:themeColor="text1"/>
          <w:sz w:val="28"/>
        </w:rPr>
        <w:t>導致損失率</w:t>
      </w:r>
      <w:r w:rsidR="00A84852" w:rsidRPr="00CF4F8B">
        <w:rPr>
          <w:rFonts w:ascii="Times New Roman" w:eastAsia="標楷體" w:hAnsi="Times New Roman" w:cs="Times New Roman"/>
          <w:color w:val="000000" w:themeColor="text1"/>
          <w:sz w:val="28"/>
        </w:rPr>
        <w:t>陷入</w:t>
      </w:r>
      <w:r w:rsidR="004F74A0" w:rsidRPr="00CF4F8B">
        <w:rPr>
          <w:rFonts w:ascii="Times New Roman" w:eastAsia="標楷體" w:hAnsi="Times New Roman" w:cs="Times New Roman"/>
          <w:color w:val="000000" w:themeColor="text1"/>
          <w:sz w:val="28"/>
        </w:rPr>
        <w:t>無法計算之窘境</w:t>
      </w:r>
      <w:r w:rsidR="00712AFA">
        <w:rPr>
          <w:rFonts w:ascii="Times New Roman" w:eastAsia="標楷體" w:hAnsi="Times New Roman" w:cs="Times New Roman" w:hint="eastAsia"/>
          <w:color w:val="000000" w:themeColor="text1"/>
          <w:sz w:val="28"/>
        </w:rPr>
        <w:t>，</w:t>
      </w:r>
      <w:r w:rsidR="007C6FFB" w:rsidRPr="0002022C">
        <w:rPr>
          <w:rFonts w:ascii="Times New Roman" w:eastAsia="標楷體" w:hAnsi="Times New Roman" w:cs="Times New Roman"/>
          <w:color w:val="000000" w:themeColor="text1"/>
          <w:sz w:val="28"/>
        </w:rPr>
        <w:t>故</w:t>
      </w:r>
      <w:r w:rsidR="00151BB0" w:rsidRPr="0002022C">
        <w:rPr>
          <w:rFonts w:ascii="Times New Roman" w:eastAsia="標楷體" w:hAnsi="Times New Roman" w:cs="Times New Roman"/>
          <w:color w:val="000000" w:themeColor="text1"/>
          <w:sz w:val="28"/>
        </w:rPr>
        <w:t>長年期健康保險損失率</w:t>
      </w:r>
      <w:r w:rsidRPr="0002022C">
        <w:rPr>
          <w:rFonts w:ascii="Times New Roman" w:eastAsia="標楷體" w:hAnsi="Times New Roman" w:cs="Times New Roman" w:hint="eastAsia"/>
          <w:color w:val="000000" w:themeColor="text1"/>
          <w:sz w:val="28"/>
        </w:rPr>
        <w:t>無法以</w:t>
      </w:r>
      <w:r w:rsidR="005C6F62" w:rsidRPr="0002022C">
        <w:rPr>
          <w:rFonts w:ascii="Times New Roman" w:eastAsia="標楷體" w:hAnsi="Times New Roman" w:cs="Times New Roman"/>
          <w:color w:val="000000" w:themeColor="text1"/>
          <w:sz w:val="28"/>
        </w:rPr>
        <w:t>平</w:t>
      </w:r>
      <w:proofErr w:type="gramStart"/>
      <w:r w:rsidR="005C6F62" w:rsidRPr="0002022C">
        <w:rPr>
          <w:rFonts w:ascii="Times New Roman" w:eastAsia="標楷體" w:hAnsi="Times New Roman" w:cs="Times New Roman"/>
          <w:color w:val="000000" w:themeColor="text1"/>
          <w:sz w:val="28"/>
        </w:rPr>
        <w:t>準</w:t>
      </w:r>
      <w:proofErr w:type="gramEnd"/>
      <w:r w:rsidR="00133427" w:rsidRPr="0002022C">
        <w:rPr>
          <w:rFonts w:ascii="Times New Roman" w:eastAsia="標楷體" w:hAnsi="Times New Roman" w:cs="Times New Roman"/>
          <w:color w:val="000000" w:themeColor="text1"/>
          <w:sz w:val="28"/>
        </w:rPr>
        <w:t>總保費</w:t>
      </w:r>
      <w:r w:rsidR="00712AFA">
        <w:rPr>
          <w:rFonts w:ascii="Times New Roman" w:eastAsia="標楷體" w:hAnsi="Times New Roman" w:cs="Times New Roman" w:hint="eastAsia"/>
          <w:color w:val="000000" w:themeColor="text1"/>
          <w:sz w:val="28"/>
        </w:rPr>
        <w:t>做</w:t>
      </w:r>
      <w:r w:rsidR="00B26B37" w:rsidRPr="0002022C">
        <w:rPr>
          <w:rFonts w:ascii="Times New Roman" w:eastAsia="標楷體" w:hAnsi="Times New Roman" w:cs="Times New Roman"/>
          <w:color w:val="000000" w:themeColor="text1"/>
          <w:sz w:val="28"/>
        </w:rPr>
        <w:t>為計算基礎</w:t>
      </w:r>
      <w:r w:rsidR="00133427" w:rsidRPr="0002022C">
        <w:rPr>
          <w:rFonts w:ascii="Times New Roman" w:eastAsia="標楷體" w:hAnsi="Times New Roman" w:cs="Times New Roman"/>
          <w:color w:val="000000" w:themeColor="text1"/>
          <w:sz w:val="28"/>
        </w:rPr>
        <w:t>。</w:t>
      </w:r>
    </w:p>
    <w:p w14:paraId="54FFC7B1" w14:textId="77777777" w:rsidR="00350CDB" w:rsidRPr="00CF4F8B" w:rsidRDefault="00350CDB">
      <w:pPr>
        <w:widowControl/>
        <w:rPr>
          <w:rFonts w:ascii="Times New Roman" w:eastAsia="標楷體" w:hAnsi="Times New Roman" w:cs="Times New Roman"/>
          <w:color w:val="000000" w:themeColor="text1"/>
          <w:sz w:val="28"/>
        </w:rPr>
      </w:pPr>
      <w:r w:rsidRPr="00CF4F8B">
        <w:rPr>
          <w:rFonts w:ascii="Times New Roman" w:eastAsia="標楷體" w:hAnsi="Times New Roman" w:cs="Times New Roman"/>
          <w:color w:val="000000" w:themeColor="text1"/>
          <w:sz w:val="28"/>
        </w:rPr>
        <w:br w:type="page"/>
      </w:r>
    </w:p>
    <w:p w14:paraId="739CC12A" w14:textId="4C573B59" w:rsidR="00590693" w:rsidRDefault="00590693" w:rsidP="006E62C7">
      <w:pPr>
        <w:overflowPunct w:val="0"/>
        <w:snapToGrid w:val="0"/>
        <w:spacing w:beforeLines="50" w:before="180" w:line="360" w:lineRule="auto"/>
        <w:rPr>
          <w:rFonts w:ascii="Times New Roman" w:eastAsia="標楷體" w:hAnsi="Times New Roman" w:cs="Times New Roman"/>
          <w:color w:val="000000" w:themeColor="text1"/>
          <w:sz w:val="28"/>
        </w:rPr>
      </w:pPr>
      <w:r w:rsidRPr="00CF4F8B">
        <w:rPr>
          <w:rFonts w:ascii="Times New Roman" w:eastAsia="標楷體" w:hAnsi="Times New Roman" w:cs="Times New Roman"/>
          <w:color w:val="000000" w:themeColor="text1"/>
          <w:sz w:val="28"/>
        </w:rPr>
        <w:lastRenderedPageBreak/>
        <w:t>【損失率趨勢說明】</w:t>
      </w:r>
    </w:p>
    <w:p w14:paraId="4C5B42E4" w14:textId="18F55C9F" w:rsidR="006E62C7" w:rsidRPr="009009A1" w:rsidRDefault="006E62C7" w:rsidP="006E62C7">
      <w:pPr>
        <w:snapToGrid w:val="0"/>
        <w:rPr>
          <w:rFonts w:ascii="Times New Roman" w:eastAsia="標楷體" w:hAnsi="Times New Roman" w:cs="Times New Roman"/>
          <w:bCs/>
          <w:color w:val="000000" w:themeColor="text1"/>
          <w:sz w:val="28"/>
          <w:szCs w:val="36"/>
        </w:rPr>
      </w:pPr>
      <w:r w:rsidRPr="009009A1">
        <w:rPr>
          <w:rFonts w:ascii="Times New Roman" w:eastAsia="標楷體" w:hAnsi="Times New Roman" w:cs="Times New Roman" w:hint="eastAsia"/>
          <w:bCs/>
          <w:color w:val="000000" w:themeColor="text1"/>
          <w:sz w:val="28"/>
          <w:szCs w:val="36"/>
        </w:rPr>
        <w:t>表</w:t>
      </w:r>
      <w:r w:rsidRPr="009009A1">
        <w:rPr>
          <w:rFonts w:ascii="Times New Roman" w:eastAsia="標楷體" w:hAnsi="Times New Roman" w:cs="Times New Roman"/>
          <w:bCs/>
          <w:color w:val="000000" w:themeColor="text1"/>
          <w:sz w:val="28"/>
          <w:szCs w:val="36"/>
        </w:rPr>
        <w:t>1</w:t>
      </w:r>
      <w:r w:rsidRPr="009009A1">
        <w:rPr>
          <w:rFonts w:ascii="Times New Roman" w:eastAsia="標楷體" w:hAnsi="Times New Roman" w:cs="Times New Roman"/>
          <w:bCs/>
          <w:color w:val="000000" w:themeColor="text1"/>
          <w:sz w:val="28"/>
          <w:szCs w:val="36"/>
        </w:rPr>
        <w:t>：</w:t>
      </w:r>
      <w:r w:rsidRPr="009009A1">
        <w:rPr>
          <w:rFonts w:ascii="Times New Roman" w:eastAsia="標楷體" w:hAnsi="Times New Roman" w:cs="Times New Roman" w:hint="eastAsia"/>
          <w:bCs/>
          <w:color w:val="000000" w:themeColor="text1"/>
          <w:sz w:val="28"/>
          <w:szCs w:val="36"/>
        </w:rPr>
        <w:t>壽險業最近</w:t>
      </w:r>
      <w:r w:rsidRPr="009009A1">
        <w:rPr>
          <w:rFonts w:ascii="Times New Roman" w:eastAsia="標楷體" w:hAnsi="Times New Roman" w:cs="Times New Roman" w:hint="eastAsia"/>
          <w:bCs/>
          <w:color w:val="000000" w:themeColor="text1"/>
          <w:sz w:val="28"/>
          <w:szCs w:val="36"/>
        </w:rPr>
        <w:t>3</w:t>
      </w:r>
      <w:r w:rsidRPr="009009A1">
        <w:rPr>
          <w:rFonts w:ascii="Times New Roman" w:eastAsia="標楷體" w:hAnsi="Times New Roman" w:cs="Times New Roman" w:hint="eastAsia"/>
          <w:bCs/>
          <w:color w:val="000000" w:themeColor="text1"/>
          <w:sz w:val="28"/>
          <w:szCs w:val="36"/>
        </w:rPr>
        <w:t>年之長年期健康保險之損失率；</w:t>
      </w:r>
      <w:r w:rsidRPr="009009A1">
        <w:rPr>
          <w:rFonts w:ascii="Times New Roman" w:eastAsia="標楷體" w:hAnsi="Times New Roman" w:cs="Times New Roman"/>
          <w:bCs/>
          <w:color w:val="000000" w:themeColor="text1"/>
          <w:sz w:val="28"/>
          <w:szCs w:val="36"/>
        </w:rPr>
        <w:t>單位：</w:t>
      </w:r>
      <w:r w:rsidRPr="009009A1">
        <w:rPr>
          <w:rFonts w:ascii="Times New Roman" w:eastAsia="標楷體" w:hAnsi="Times New Roman" w:cs="Times New Roman"/>
          <w:bCs/>
          <w:color w:val="000000" w:themeColor="text1"/>
          <w:sz w:val="28"/>
          <w:szCs w:val="36"/>
        </w:rPr>
        <w:t>%</w:t>
      </w:r>
    </w:p>
    <w:tbl>
      <w:tblPr>
        <w:tblW w:w="96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5"/>
        <w:gridCol w:w="652"/>
        <w:gridCol w:w="652"/>
        <w:gridCol w:w="652"/>
        <w:gridCol w:w="652"/>
        <w:gridCol w:w="652"/>
        <w:gridCol w:w="652"/>
        <w:gridCol w:w="652"/>
        <w:gridCol w:w="652"/>
        <w:gridCol w:w="652"/>
        <w:gridCol w:w="653"/>
        <w:gridCol w:w="780"/>
        <w:gridCol w:w="664"/>
      </w:tblGrid>
      <w:tr w:rsidR="000250CF" w:rsidRPr="00CF4F8B" w14:paraId="149E906A" w14:textId="77777777" w:rsidTr="00F11B6D">
        <w:trPr>
          <w:trHeight w:val="345"/>
        </w:trPr>
        <w:tc>
          <w:tcPr>
            <w:tcW w:w="1675" w:type="dxa"/>
            <w:tcBorders>
              <w:tl2br w:val="single" w:sz="4" w:space="0" w:color="auto"/>
            </w:tcBorders>
            <w:shd w:val="clear" w:color="auto" w:fill="auto"/>
            <w:noWrap/>
            <w:vAlign w:val="center"/>
            <w:hideMark/>
          </w:tcPr>
          <w:p w14:paraId="4D1C1D3F" w14:textId="5EA7C5DE" w:rsidR="000250CF" w:rsidRPr="00F11B6D" w:rsidRDefault="00F11B6D" w:rsidP="000250CF">
            <w:pPr>
              <w:widowControl/>
              <w:rPr>
                <w:rFonts w:ascii="標楷體" w:eastAsia="標楷體" w:hAnsi="標楷體"/>
                <w:color w:val="000000"/>
                <w:szCs w:val="24"/>
              </w:rPr>
            </w:pPr>
            <w:r>
              <w:rPr>
                <w:rFonts w:ascii="標楷體" w:eastAsia="標楷體" w:hAnsi="標楷體" w:hint="eastAsia"/>
                <w:color w:val="000000"/>
                <w:szCs w:val="24"/>
              </w:rPr>
              <w:t xml:space="preserve">     </w:t>
            </w:r>
            <w:r w:rsidR="000250CF" w:rsidRPr="00F11B6D">
              <w:rPr>
                <w:rFonts w:ascii="標楷體" w:eastAsia="標楷體" w:hAnsi="標楷體" w:hint="eastAsia"/>
                <w:color w:val="000000"/>
                <w:szCs w:val="24"/>
              </w:rPr>
              <w:t>保單年度</w:t>
            </w:r>
          </w:p>
          <w:p w14:paraId="4EEA1BFE" w14:textId="446E0027" w:rsidR="00F11B6D" w:rsidRDefault="00F11B6D" w:rsidP="00F11B6D">
            <w:pPr>
              <w:widowControl/>
              <w:rPr>
                <w:rFonts w:ascii="標楷體" w:eastAsia="標楷體" w:hAnsi="標楷體" w:hint="eastAsia"/>
                <w:color w:val="000000"/>
                <w:sz w:val="28"/>
                <w:szCs w:val="28"/>
              </w:rPr>
            </w:pPr>
            <w:r w:rsidRPr="00F11B6D">
              <w:rPr>
                <w:rFonts w:ascii="標楷體" w:eastAsia="標楷體" w:hAnsi="標楷體" w:hint="eastAsia"/>
                <w:color w:val="000000"/>
                <w:szCs w:val="24"/>
              </w:rPr>
              <w:t>填報年報</w:t>
            </w:r>
          </w:p>
        </w:tc>
        <w:tc>
          <w:tcPr>
            <w:tcW w:w="652" w:type="dxa"/>
            <w:shd w:val="clear" w:color="auto" w:fill="auto"/>
            <w:vAlign w:val="center"/>
            <w:hideMark/>
          </w:tcPr>
          <w:p w14:paraId="0640CEEC" w14:textId="77777777" w:rsidR="000250CF" w:rsidRDefault="000250CF" w:rsidP="000250CF">
            <w:pPr>
              <w:jc w:val="center"/>
              <w:rPr>
                <w:rFonts w:ascii="Times New Roman" w:eastAsia="新細明體" w:hAnsi="Times New Roman" w:cs="Times New Roman"/>
                <w:color w:val="000000"/>
                <w:sz w:val="28"/>
                <w:szCs w:val="28"/>
              </w:rPr>
            </w:pPr>
            <w:r>
              <w:rPr>
                <w:rFonts w:ascii="Times New Roman" w:hAnsi="Times New Roman" w:cs="Times New Roman"/>
                <w:color w:val="000000"/>
                <w:sz w:val="28"/>
                <w:szCs w:val="28"/>
              </w:rPr>
              <w:t>1</w:t>
            </w:r>
          </w:p>
        </w:tc>
        <w:tc>
          <w:tcPr>
            <w:tcW w:w="652" w:type="dxa"/>
            <w:shd w:val="clear" w:color="auto" w:fill="auto"/>
            <w:vAlign w:val="center"/>
            <w:hideMark/>
          </w:tcPr>
          <w:p w14:paraId="7F4ED992"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52" w:type="dxa"/>
            <w:shd w:val="clear" w:color="auto" w:fill="auto"/>
            <w:vAlign w:val="center"/>
            <w:hideMark/>
          </w:tcPr>
          <w:p w14:paraId="0EFDABD4"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52" w:type="dxa"/>
            <w:shd w:val="clear" w:color="auto" w:fill="auto"/>
            <w:vAlign w:val="center"/>
            <w:hideMark/>
          </w:tcPr>
          <w:p w14:paraId="34B5AC2C"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52" w:type="dxa"/>
            <w:shd w:val="clear" w:color="auto" w:fill="auto"/>
            <w:vAlign w:val="center"/>
            <w:hideMark/>
          </w:tcPr>
          <w:p w14:paraId="389AEAC1"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52" w:type="dxa"/>
            <w:shd w:val="clear" w:color="auto" w:fill="auto"/>
            <w:vAlign w:val="center"/>
            <w:hideMark/>
          </w:tcPr>
          <w:p w14:paraId="2A2CAEA1"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52" w:type="dxa"/>
            <w:shd w:val="clear" w:color="auto" w:fill="auto"/>
            <w:vAlign w:val="center"/>
            <w:hideMark/>
          </w:tcPr>
          <w:p w14:paraId="0F341907"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52" w:type="dxa"/>
            <w:shd w:val="clear" w:color="auto" w:fill="auto"/>
            <w:vAlign w:val="center"/>
            <w:hideMark/>
          </w:tcPr>
          <w:p w14:paraId="5CB0E068"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52" w:type="dxa"/>
            <w:shd w:val="clear" w:color="auto" w:fill="auto"/>
            <w:vAlign w:val="center"/>
            <w:hideMark/>
          </w:tcPr>
          <w:p w14:paraId="089DDED6"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653" w:type="dxa"/>
            <w:shd w:val="clear" w:color="auto" w:fill="auto"/>
            <w:vAlign w:val="center"/>
            <w:hideMark/>
          </w:tcPr>
          <w:p w14:paraId="2B7A5E2F"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80" w:type="dxa"/>
            <w:shd w:val="clear" w:color="auto" w:fill="auto"/>
            <w:vAlign w:val="center"/>
            <w:hideMark/>
          </w:tcPr>
          <w:p w14:paraId="107BEB86"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11~14</w:t>
            </w:r>
          </w:p>
        </w:tc>
        <w:tc>
          <w:tcPr>
            <w:tcW w:w="664" w:type="dxa"/>
            <w:shd w:val="clear" w:color="auto" w:fill="auto"/>
            <w:vAlign w:val="center"/>
            <w:hideMark/>
          </w:tcPr>
          <w:p w14:paraId="7D071ADD" w14:textId="77777777" w:rsidR="000250CF" w:rsidRDefault="000250CF" w:rsidP="000250CF">
            <w:pPr>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002E0" w:rsidRPr="00CF4F8B" w14:paraId="3B5F5E32" w14:textId="77777777" w:rsidTr="00F11B6D">
        <w:trPr>
          <w:trHeight w:val="345"/>
        </w:trPr>
        <w:tc>
          <w:tcPr>
            <w:tcW w:w="1675" w:type="dxa"/>
            <w:shd w:val="clear" w:color="auto" w:fill="auto"/>
            <w:vAlign w:val="center"/>
          </w:tcPr>
          <w:p w14:paraId="2216FD5D" w14:textId="3D102E15" w:rsidR="00F002E0" w:rsidRDefault="00F002E0" w:rsidP="00F002E0">
            <w:pPr>
              <w:widowControl/>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108</w:t>
            </w:r>
            <w:proofErr w:type="gramEnd"/>
            <w:r>
              <w:rPr>
                <w:rFonts w:ascii="標楷體" w:eastAsia="標楷體" w:hAnsi="標楷體" w:cs="Times New Roman" w:hint="eastAsia"/>
                <w:color w:val="000000"/>
                <w:sz w:val="28"/>
                <w:szCs w:val="28"/>
              </w:rPr>
              <w:t>年度</w:t>
            </w:r>
          </w:p>
        </w:tc>
        <w:tc>
          <w:tcPr>
            <w:tcW w:w="652" w:type="dxa"/>
            <w:shd w:val="clear" w:color="auto" w:fill="auto"/>
            <w:vAlign w:val="center"/>
          </w:tcPr>
          <w:p w14:paraId="67029DDE" w14:textId="064744B3"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39</w:t>
            </w:r>
          </w:p>
        </w:tc>
        <w:tc>
          <w:tcPr>
            <w:tcW w:w="652" w:type="dxa"/>
            <w:shd w:val="clear" w:color="auto" w:fill="auto"/>
            <w:vAlign w:val="center"/>
          </w:tcPr>
          <w:p w14:paraId="6A6F399E" w14:textId="1DC1B5F3"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52</w:t>
            </w:r>
          </w:p>
        </w:tc>
        <w:tc>
          <w:tcPr>
            <w:tcW w:w="652" w:type="dxa"/>
            <w:shd w:val="clear" w:color="auto" w:fill="auto"/>
            <w:vAlign w:val="center"/>
          </w:tcPr>
          <w:p w14:paraId="480258C9" w14:textId="35E12BEB"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652" w:type="dxa"/>
            <w:shd w:val="clear" w:color="auto" w:fill="auto"/>
            <w:vAlign w:val="center"/>
          </w:tcPr>
          <w:p w14:paraId="1D14F090" w14:textId="3B33B4F7"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652" w:type="dxa"/>
            <w:shd w:val="clear" w:color="auto" w:fill="auto"/>
            <w:vAlign w:val="center"/>
          </w:tcPr>
          <w:p w14:paraId="475D7A1C" w14:textId="5667D143"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652" w:type="dxa"/>
            <w:shd w:val="clear" w:color="auto" w:fill="auto"/>
            <w:vAlign w:val="center"/>
          </w:tcPr>
          <w:p w14:paraId="68226E0B" w14:textId="45A4D105"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652" w:type="dxa"/>
            <w:shd w:val="clear" w:color="auto" w:fill="auto"/>
            <w:vAlign w:val="center"/>
          </w:tcPr>
          <w:p w14:paraId="0BE48F17" w14:textId="3DFABE4B"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652" w:type="dxa"/>
            <w:shd w:val="clear" w:color="auto" w:fill="auto"/>
            <w:vAlign w:val="center"/>
          </w:tcPr>
          <w:p w14:paraId="5A5218D4" w14:textId="0E0F814F"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54</w:t>
            </w:r>
          </w:p>
        </w:tc>
        <w:tc>
          <w:tcPr>
            <w:tcW w:w="652" w:type="dxa"/>
            <w:shd w:val="clear" w:color="auto" w:fill="auto"/>
            <w:vAlign w:val="center"/>
          </w:tcPr>
          <w:p w14:paraId="1A8F750E" w14:textId="538F734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653" w:type="dxa"/>
            <w:shd w:val="clear" w:color="auto" w:fill="auto"/>
            <w:vAlign w:val="center"/>
          </w:tcPr>
          <w:p w14:paraId="0C8A4D1E" w14:textId="262433A6"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780" w:type="dxa"/>
            <w:shd w:val="clear" w:color="auto" w:fill="auto"/>
            <w:vAlign w:val="center"/>
          </w:tcPr>
          <w:p w14:paraId="30BD1FC3" w14:textId="456E340D"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664" w:type="dxa"/>
            <w:shd w:val="clear" w:color="auto" w:fill="auto"/>
            <w:vAlign w:val="center"/>
          </w:tcPr>
          <w:p w14:paraId="62784797" w14:textId="4E5C0E7C"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81</w:t>
            </w:r>
          </w:p>
        </w:tc>
      </w:tr>
      <w:tr w:rsidR="00F002E0" w:rsidRPr="00CF4F8B" w14:paraId="199C6A69" w14:textId="77777777" w:rsidTr="00F11B6D">
        <w:trPr>
          <w:trHeight w:val="345"/>
        </w:trPr>
        <w:tc>
          <w:tcPr>
            <w:tcW w:w="1675" w:type="dxa"/>
            <w:shd w:val="clear" w:color="auto" w:fill="auto"/>
            <w:vAlign w:val="center"/>
          </w:tcPr>
          <w:p w14:paraId="54AD850C" w14:textId="0D265A2D" w:rsidR="00F002E0" w:rsidRDefault="00F002E0" w:rsidP="00F002E0">
            <w:pPr>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109</w:t>
            </w:r>
            <w:proofErr w:type="gramEnd"/>
            <w:r>
              <w:rPr>
                <w:rFonts w:ascii="標楷體" w:eastAsia="標楷體" w:hAnsi="標楷體" w:cs="Times New Roman" w:hint="eastAsia"/>
                <w:color w:val="000000"/>
                <w:sz w:val="28"/>
                <w:szCs w:val="28"/>
              </w:rPr>
              <w:t>年度</w:t>
            </w:r>
          </w:p>
        </w:tc>
        <w:tc>
          <w:tcPr>
            <w:tcW w:w="652" w:type="dxa"/>
            <w:shd w:val="clear" w:color="auto" w:fill="auto"/>
            <w:vAlign w:val="center"/>
          </w:tcPr>
          <w:p w14:paraId="1FD5F1E1" w14:textId="1F5752E5"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38</w:t>
            </w:r>
          </w:p>
        </w:tc>
        <w:tc>
          <w:tcPr>
            <w:tcW w:w="652" w:type="dxa"/>
            <w:shd w:val="clear" w:color="auto" w:fill="auto"/>
            <w:vAlign w:val="center"/>
          </w:tcPr>
          <w:p w14:paraId="6DAD1A61" w14:textId="370346C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652" w:type="dxa"/>
            <w:shd w:val="clear" w:color="auto" w:fill="auto"/>
            <w:vAlign w:val="center"/>
          </w:tcPr>
          <w:p w14:paraId="24D9ECAF" w14:textId="095F1E4F"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57</w:t>
            </w:r>
          </w:p>
        </w:tc>
        <w:tc>
          <w:tcPr>
            <w:tcW w:w="652" w:type="dxa"/>
            <w:shd w:val="clear" w:color="auto" w:fill="auto"/>
            <w:vAlign w:val="center"/>
          </w:tcPr>
          <w:p w14:paraId="5759A959" w14:textId="0C7C94F9"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58</w:t>
            </w:r>
          </w:p>
        </w:tc>
        <w:tc>
          <w:tcPr>
            <w:tcW w:w="652" w:type="dxa"/>
            <w:shd w:val="clear" w:color="auto" w:fill="auto"/>
            <w:vAlign w:val="center"/>
          </w:tcPr>
          <w:p w14:paraId="25C2A8E1" w14:textId="1E20D3A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56</w:t>
            </w:r>
          </w:p>
        </w:tc>
        <w:tc>
          <w:tcPr>
            <w:tcW w:w="652" w:type="dxa"/>
            <w:shd w:val="clear" w:color="auto" w:fill="auto"/>
            <w:vAlign w:val="center"/>
          </w:tcPr>
          <w:p w14:paraId="37D588A5" w14:textId="481683D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55</w:t>
            </w:r>
          </w:p>
        </w:tc>
        <w:tc>
          <w:tcPr>
            <w:tcW w:w="652" w:type="dxa"/>
            <w:shd w:val="clear" w:color="auto" w:fill="auto"/>
            <w:vAlign w:val="center"/>
          </w:tcPr>
          <w:p w14:paraId="15E7F1AB" w14:textId="054DD68F"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652" w:type="dxa"/>
            <w:shd w:val="clear" w:color="auto" w:fill="auto"/>
            <w:vAlign w:val="center"/>
          </w:tcPr>
          <w:p w14:paraId="7E2EEAC9" w14:textId="52396DA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652" w:type="dxa"/>
            <w:shd w:val="clear" w:color="auto" w:fill="auto"/>
            <w:vAlign w:val="center"/>
          </w:tcPr>
          <w:p w14:paraId="68F20DAA" w14:textId="40B19B75"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653" w:type="dxa"/>
            <w:shd w:val="clear" w:color="auto" w:fill="auto"/>
            <w:vAlign w:val="center"/>
          </w:tcPr>
          <w:p w14:paraId="29031B49" w14:textId="07AE1BBD"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46</w:t>
            </w:r>
          </w:p>
        </w:tc>
        <w:tc>
          <w:tcPr>
            <w:tcW w:w="780" w:type="dxa"/>
            <w:shd w:val="clear" w:color="auto" w:fill="auto"/>
            <w:vAlign w:val="center"/>
          </w:tcPr>
          <w:p w14:paraId="773A81E7" w14:textId="4548FF5B"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54</w:t>
            </w:r>
          </w:p>
        </w:tc>
        <w:tc>
          <w:tcPr>
            <w:tcW w:w="664" w:type="dxa"/>
            <w:shd w:val="clear" w:color="auto" w:fill="auto"/>
            <w:vAlign w:val="center"/>
          </w:tcPr>
          <w:p w14:paraId="1A967893" w14:textId="6B6DE76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79</w:t>
            </w:r>
          </w:p>
        </w:tc>
      </w:tr>
      <w:tr w:rsidR="00F002E0" w:rsidRPr="00CF4F8B" w14:paraId="14B31E45" w14:textId="77777777" w:rsidTr="00F11B6D">
        <w:trPr>
          <w:trHeight w:val="345"/>
        </w:trPr>
        <w:tc>
          <w:tcPr>
            <w:tcW w:w="1675" w:type="dxa"/>
            <w:shd w:val="clear" w:color="auto" w:fill="auto"/>
            <w:vAlign w:val="center"/>
          </w:tcPr>
          <w:p w14:paraId="20AAEACE" w14:textId="636EC096" w:rsidR="00F002E0" w:rsidRDefault="00F002E0" w:rsidP="00F002E0">
            <w:pPr>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110</w:t>
            </w:r>
            <w:proofErr w:type="gramEnd"/>
            <w:r>
              <w:rPr>
                <w:rFonts w:ascii="標楷體" w:eastAsia="標楷體" w:hAnsi="標楷體" w:cs="Times New Roman" w:hint="eastAsia"/>
                <w:color w:val="000000"/>
                <w:sz w:val="28"/>
                <w:szCs w:val="28"/>
              </w:rPr>
              <w:t>年度</w:t>
            </w:r>
          </w:p>
        </w:tc>
        <w:tc>
          <w:tcPr>
            <w:tcW w:w="652" w:type="dxa"/>
            <w:shd w:val="clear" w:color="auto" w:fill="auto"/>
            <w:vAlign w:val="center"/>
          </w:tcPr>
          <w:p w14:paraId="57FE9E33" w14:textId="4BA5CC58"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p>
        </w:tc>
        <w:tc>
          <w:tcPr>
            <w:tcW w:w="652" w:type="dxa"/>
            <w:shd w:val="clear" w:color="auto" w:fill="auto"/>
            <w:vAlign w:val="center"/>
          </w:tcPr>
          <w:p w14:paraId="5E0801A9" w14:textId="50C912FE"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49</w:t>
            </w:r>
          </w:p>
        </w:tc>
        <w:tc>
          <w:tcPr>
            <w:tcW w:w="652" w:type="dxa"/>
            <w:shd w:val="clear" w:color="auto" w:fill="auto"/>
            <w:vAlign w:val="center"/>
          </w:tcPr>
          <w:p w14:paraId="7434A940" w14:textId="5AC2BF34"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55</w:t>
            </w:r>
          </w:p>
        </w:tc>
        <w:tc>
          <w:tcPr>
            <w:tcW w:w="652" w:type="dxa"/>
            <w:shd w:val="clear" w:color="auto" w:fill="auto"/>
            <w:vAlign w:val="center"/>
          </w:tcPr>
          <w:p w14:paraId="234DFBEE" w14:textId="0FF37FB1"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56</w:t>
            </w:r>
          </w:p>
        </w:tc>
        <w:tc>
          <w:tcPr>
            <w:tcW w:w="652" w:type="dxa"/>
            <w:shd w:val="clear" w:color="auto" w:fill="auto"/>
            <w:vAlign w:val="center"/>
          </w:tcPr>
          <w:p w14:paraId="01C6A0B9" w14:textId="56BB1100"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58</w:t>
            </w:r>
          </w:p>
        </w:tc>
        <w:tc>
          <w:tcPr>
            <w:tcW w:w="652" w:type="dxa"/>
            <w:shd w:val="clear" w:color="auto" w:fill="auto"/>
            <w:vAlign w:val="center"/>
          </w:tcPr>
          <w:p w14:paraId="3C1082B8" w14:textId="399B01DE"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56</w:t>
            </w:r>
          </w:p>
        </w:tc>
        <w:tc>
          <w:tcPr>
            <w:tcW w:w="652" w:type="dxa"/>
            <w:shd w:val="clear" w:color="auto" w:fill="auto"/>
            <w:vAlign w:val="center"/>
          </w:tcPr>
          <w:p w14:paraId="60739872" w14:textId="3921E5FC"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49</w:t>
            </w:r>
          </w:p>
        </w:tc>
        <w:tc>
          <w:tcPr>
            <w:tcW w:w="652" w:type="dxa"/>
            <w:shd w:val="clear" w:color="auto" w:fill="auto"/>
            <w:vAlign w:val="center"/>
          </w:tcPr>
          <w:p w14:paraId="4DAC48D2" w14:textId="3B49CB59"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652" w:type="dxa"/>
            <w:shd w:val="clear" w:color="auto" w:fill="auto"/>
            <w:vAlign w:val="center"/>
          </w:tcPr>
          <w:p w14:paraId="65728058" w14:textId="4FEE660A"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653" w:type="dxa"/>
            <w:shd w:val="clear" w:color="auto" w:fill="auto"/>
            <w:vAlign w:val="center"/>
          </w:tcPr>
          <w:p w14:paraId="74B2AAEC" w14:textId="701E0692"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47</w:t>
            </w:r>
          </w:p>
        </w:tc>
        <w:tc>
          <w:tcPr>
            <w:tcW w:w="780" w:type="dxa"/>
            <w:shd w:val="clear" w:color="auto" w:fill="auto"/>
            <w:vAlign w:val="center"/>
          </w:tcPr>
          <w:p w14:paraId="055422B7" w14:textId="50340EC1"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664" w:type="dxa"/>
            <w:shd w:val="clear" w:color="auto" w:fill="auto"/>
            <w:vAlign w:val="center"/>
          </w:tcPr>
          <w:p w14:paraId="07C46714" w14:textId="0452A284" w:rsidR="00F002E0" w:rsidRDefault="00F002E0" w:rsidP="00F002E0">
            <w:pPr>
              <w:jc w:val="center"/>
              <w:rPr>
                <w:rFonts w:ascii="Times New Roman" w:hAnsi="Times New Roman" w:cs="Times New Roman"/>
                <w:color w:val="000000"/>
                <w:sz w:val="28"/>
                <w:szCs w:val="28"/>
              </w:rPr>
            </w:pPr>
            <w:r>
              <w:rPr>
                <w:rFonts w:ascii="Times New Roman" w:hAnsi="Times New Roman" w:cs="Times New Roman"/>
                <w:color w:val="000000"/>
                <w:sz w:val="28"/>
                <w:szCs w:val="28"/>
              </w:rPr>
              <w:t>76</w:t>
            </w:r>
          </w:p>
        </w:tc>
      </w:tr>
    </w:tbl>
    <w:p w14:paraId="369CF2CA" w14:textId="77777777" w:rsidR="00C366DE" w:rsidRDefault="00787E02" w:rsidP="0049599E">
      <w:pPr>
        <w:overflowPunct w:val="0"/>
        <w:snapToGrid w:val="0"/>
        <w:spacing w:line="360" w:lineRule="auto"/>
        <w:jc w:val="both"/>
        <w:rPr>
          <w:rFonts w:ascii="Times New Roman" w:eastAsia="標楷體" w:hAnsi="Times New Roman" w:cs="Times New Roman"/>
          <w:color w:val="000000" w:themeColor="text1"/>
          <w:szCs w:val="24"/>
        </w:rPr>
      </w:pPr>
      <w:proofErr w:type="gramStart"/>
      <w:r w:rsidRPr="00CF4F8B">
        <w:rPr>
          <w:rFonts w:ascii="Times New Roman" w:eastAsia="標楷體" w:hAnsi="Times New Roman" w:cs="Times New Roman"/>
          <w:color w:val="000000" w:themeColor="text1"/>
          <w:szCs w:val="24"/>
        </w:rPr>
        <w:t>註</w:t>
      </w:r>
      <w:proofErr w:type="gramEnd"/>
      <w:r w:rsidRPr="00CF4F8B">
        <w:rPr>
          <w:rFonts w:ascii="Times New Roman" w:eastAsia="標楷體" w:hAnsi="Times New Roman" w:cs="Times New Roman"/>
          <w:color w:val="000000" w:themeColor="text1"/>
          <w:szCs w:val="24"/>
        </w:rPr>
        <w:t>：</w:t>
      </w:r>
      <w:r w:rsidR="0049599E" w:rsidRPr="00CF4F8B">
        <w:rPr>
          <w:rFonts w:ascii="Times New Roman" w:eastAsia="標楷體" w:hAnsi="Times New Roman" w:cs="Times New Roman"/>
          <w:color w:val="000000" w:themeColor="text1"/>
          <w:szCs w:val="24"/>
        </w:rPr>
        <w:t>長年期健康保險損失率</w:t>
      </w:r>
      <w:r w:rsidR="0049599E" w:rsidRPr="00CF4F8B">
        <w:rPr>
          <w:rFonts w:ascii="Times New Roman" w:eastAsia="標楷體" w:hAnsi="Times New Roman" w:cs="Times New Roman"/>
          <w:color w:val="000000" w:themeColor="text1"/>
          <w:szCs w:val="24"/>
        </w:rPr>
        <w:t>=</w:t>
      </w:r>
      <w:r w:rsidR="004156A9" w:rsidRPr="00CF4F8B">
        <w:rPr>
          <w:rFonts w:ascii="Times New Roman" w:eastAsia="標楷體" w:hAnsi="Times New Roman" w:cs="Times New Roman"/>
          <w:color w:val="000000" w:themeColor="text1"/>
          <w:szCs w:val="24"/>
        </w:rPr>
        <w:t>保險理賠給付</w:t>
      </w:r>
      <w:r w:rsidR="0049599E" w:rsidRPr="00CF4F8B">
        <w:rPr>
          <w:rFonts w:ascii="Times New Roman" w:eastAsia="標楷體" w:hAnsi="Times New Roman" w:cs="Times New Roman"/>
          <w:color w:val="000000" w:themeColor="text1"/>
          <w:szCs w:val="24"/>
        </w:rPr>
        <w:t>/</w:t>
      </w:r>
      <w:r w:rsidR="00957B38" w:rsidRPr="00CF4F8B">
        <w:rPr>
          <w:rFonts w:ascii="Times New Roman" w:eastAsia="標楷體" w:hAnsi="Times New Roman" w:cs="Times New Roman"/>
          <w:color w:val="000000" w:themeColor="text1"/>
          <w:szCs w:val="24"/>
        </w:rPr>
        <w:t>危險</w:t>
      </w:r>
      <w:r w:rsidR="004D1638" w:rsidRPr="00CF4F8B">
        <w:rPr>
          <w:rFonts w:ascii="Times New Roman" w:eastAsia="標楷體" w:hAnsi="Times New Roman" w:cs="Times New Roman"/>
          <w:color w:val="000000" w:themeColor="text1"/>
          <w:szCs w:val="24"/>
        </w:rPr>
        <w:t>純</w:t>
      </w:r>
      <w:r w:rsidR="00590693" w:rsidRPr="00CF4F8B">
        <w:rPr>
          <w:rFonts w:ascii="Times New Roman" w:eastAsia="標楷體" w:hAnsi="Times New Roman" w:cs="Times New Roman"/>
          <w:color w:val="000000" w:themeColor="text1"/>
          <w:szCs w:val="24"/>
        </w:rPr>
        <w:t>保費</w:t>
      </w:r>
    </w:p>
    <w:p w14:paraId="3E1B124A" w14:textId="52D63631" w:rsidR="00B27569" w:rsidRDefault="00F002E0" w:rsidP="0049599E">
      <w:pPr>
        <w:overflowPunct w:val="0"/>
        <w:snapToGrid w:val="0"/>
        <w:spacing w:line="360" w:lineRule="auto"/>
        <w:jc w:val="both"/>
        <w:rPr>
          <w:rFonts w:ascii="Times New Roman" w:eastAsia="標楷體" w:hAnsi="Times New Roman" w:cs="Times New Roman"/>
          <w:color w:val="000000" w:themeColor="text1"/>
          <w:szCs w:val="24"/>
        </w:rPr>
      </w:pPr>
      <w:r>
        <w:rPr>
          <w:noProof/>
        </w:rPr>
        <w:drawing>
          <wp:inline distT="0" distB="0" distL="0" distR="0" wp14:anchorId="64B49E43" wp14:editId="3D2892BB">
            <wp:extent cx="6120130" cy="2752725"/>
            <wp:effectExtent l="0" t="0" r="13970" b="9525"/>
            <wp:docPr id="2" name="圖表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8718E8" w14:textId="26C90EA2" w:rsidR="00513A40" w:rsidRPr="00CF4F8B" w:rsidRDefault="00513A40" w:rsidP="00513A40">
      <w:pPr>
        <w:overflowPunct w:val="0"/>
        <w:snapToGrid w:val="0"/>
        <w:spacing w:line="360" w:lineRule="auto"/>
        <w:ind w:leftChars="200" w:left="480"/>
        <w:jc w:val="center"/>
        <w:rPr>
          <w:rFonts w:ascii="Times New Roman" w:eastAsia="標楷體" w:hAnsi="Times New Roman" w:cs="Times New Roman"/>
          <w:color w:val="000000" w:themeColor="text1"/>
          <w:sz w:val="28"/>
          <w:szCs w:val="28"/>
        </w:rPr>
      </w:pPr>
      <w:r w:rsidRPr="00CF4F8B">
        <w:rPr>
          <w:rFonts w:ascii="Times New Roman" w:eastAsia="標楷體" w:hAnsi="Times New Roman" w:cs="Times New Roman"/>
          <w:color w:val="000000" w:themeColor="text1"/>
          <w:sz w:val="28"/>
          <w:szCs w:val="28"/>
        </w:rPr>
        <w:t>圖</w:t>
      </w:r>
      <w:r w:rsidRPr="00CF4F8B">
        <w:rPr>
          <w:rFonts w:ascii="Times New Roman" w:eastAsia="標楷體" w:hAnsi="Times New Roman" w:cs="Times New Roman"/>
          <w:color w:val="000000" w:themeColor="text1"/>
          <w:sz w:val="28"/>
          <w:szCs w:val="28"/>
        </w:rPr>
        <w:t>1</w:t>
      </w:r>
      <w:r w:rsidRPr="00CF4F8B">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壽險業最近</w:t>
      </w:r>
      <w:r w:rsidR="006E62C7">
        <w:rPr>
          <w:rFonts w:ascii="Times New Roman" w:eastAsia="標楷體" w:hAnsi="Times New Roman" w:cs="Times New Roman" w:hint="eastAsia"/>
          <w:color w:val="000000" w:themeColor="text1"/>
          <w:sz w:val="28"/>
          <w:szCs w:val="28"/>
        </w:rPr>
        <w:t>3</w:t>
      </w:r>
      <w:r>
        <w:rPr>
          <w:rFonts w:ascii="Times New Roman" w:eastAsia="標楷體" w:hAnsi="Times New Roman" w:cs="Times New Roman" w:hint="eastAsia"/>
          <w:color w:val="000000" w:themeColor="text1"/>
          <w:sz w:val="28"/>
          <w:szCs w:val="28"/>
        </w:rPr>
        <w:t>年之長年期健康保險之損失率</w:t>
      </w:r>
    </w:p>
    <w:p w14:paraId="7AE902C1" w14:textId="1D02BB0B" w:rsidR="009009A1" w:rsidRPr="00CF4F8B" w:rsidRDefault="008223AF" w:rsidP="009009A1">
      <w:pPr>
        <w:overflowPunct w:val="0"/>
        <w:snapToGrid w:val="0"/>
        <w:spacing w:beforeLines="50" w:before="180" w:line="500" w:lineRule="exact"/>
        <w:ind w:leftChars="200" w:left="480" w:firstLineChars="183" w:firstLine="512"/>
        <w:jc w:val="both"/>
        <w:rPr>
          <w:rFonts w:ascii="Times New Roman" w:eastAsia="標楷體" w:hAnsi="Times New Roman" w:cs="Times New Roman"/>
          <w:color w:val="000000" w:themeColor="text1"/>
          <w:sz w:val="28"/>
        </w:rPr>
      </w:pPr>
      <w:r w:rsidRPr="00CF4F8B">
        <w:rPr>
          <w:rFonts w:ascii="Times New Roman" w:eastAsia="標楷體" w:hAnsi="Times New Roman" w:cs="Times New Roman"/>
          <w:color w:val="000000" w:themeColor="text1"/>
          <w:sz w:val="28"/>
        </w:rPr>
        <w:t>觀察我國壽險業</w:t>
      </w:r>
      <w:r w:rsidRPr="00CF4F8B">
        <w:rPr>
          <w:rFonts w:ascii="Times New Roman" w:eastAsia="標楷體" w:hAnsi="Times New Roman" w:cs="Times New Roman"/>
          <w:color w:val="000000" w:themeColor="text1"/>
          <w:sz w:val="28"/>
        </w:rPr>
        <w:t>10</w:t>
      </w:r>
      <w:r w:rsidR="00F002E0">
        <w:rPr>
          <w:rFonts w:ascii="Times New Roman" w:eastAsia="標楷體" w:hAnsi="Times New Roman" w:cs="Times New Roman" w:hint="eastAsia"/>
          <w:color w:val="000000" w:themeColor="text1"/>
          <w:sz w:val="28"/>
        </w:rPr>
        <w:t>9</w:t>
      </w:r>
      <w:r w:rsidR="00386CA7" w:rsidRPr="00CF4F8B">
        <w:rPr>
          <w:rFonts w:ascii="Times New Roman" w:eastAsia="標楷體" w:hAnsi="Times New Roman" w:cs="Times New Roman"/>
          <w:color w:val="000000" w:themeColor="text1"/>
          <w:sz w:val="28"/>
        </w:rPr>
        <w:t>至</w:t>
      </w:r>
      <w:r w:rsidR="00CD16DC" w:rsidRPr="00CF4F8B">
        <w:rPr>
          <w:rFonts w:ascii="Times New Roman" w:eastAsia="標楷體" w:hAnsi="Times New Roman" w:cs="Times New Roman"/>
          <w:color w:val="000000" w:themeColor="text1"/>
          <w:sz w:val="28"/>
        </w:rPr>
        <w:t>1</w:t>
      </w:r>
      <w:r w:rsidR="00F002E0">
        <w:rPr>
          <w:rFonts w:ascii="Times New Roman" w:eastAsia="標楷體" w:hAnsi="Times New Roman" w:cs="Times New Roman" w:hint="eastAsia"/>
          <w:color w:val="000000" w:themeColor="text1"/>
          <w:sz w:val="28"/>
        </w:rPr>
        <w:t>10</w:t>
      </w:r>
      <w:r w:rsidRPr="00CF4F8B">
        <w:rPr>
          <w:rFonts w:ascii="Times New Roman" w:eastAsia="標楷體" w:hAnsi="Times New Roman" w:cs="Times New Roman"/>
          <w:color w:val="000000" w:themeColor="text1"/>
          <w:sz w:val="28"/>
        </w:rPr>
        <w:t>年長年期健康保險損失率</w:t>
      </w:r>
      <w:r w:rsidR="009009A1">
        <w:rPr>
          <w:rFonts w:ascii="Times New Roman" w:eastAsia="標楷體" w:hAnsi="Times New Roman" w:cs="Times New Roman" w:hint="eastAsia"/>
          <w:color w:val="000000" w:themeColor="text1"/>
          <w:sz w:val="28"/>
        </w:rPr>
        <w:t>(</w:t>
      </w:r>
      <w:r w:rsidR="009009A1">
        <w:rPr>
          <w:rFonts w:ascii="Times New Roman" w:eastAsia="標楷體" w:hAnsi="Times New Roman" w:cs="Times New Roman" w:hint="eastAsia"/>
          <w:color w:val="000000" w:themeColor="text1"/>
          <w:sz w:val="28"/>
        </w:rPr>
        <w:t>詳圖</w:t>
      </w:r>
      <w:r w:rsidR="009009A1">
        <w:rPr>
          <w:rFonts w:ascii="Times New Roman" w:eastAsia="標楷體" w:hAnsi="Times New Roman" w:cs="Times New Roman" w:hint="eastAsia"/>
          <w:color w:val="000000" w:themeColor="text1"/>
          <w:sz w:val="28"/>
        </w:rPr>
        <w:t>1</w:t>
      </w:r>
      <w:r w:rsidR="009009A1">
        <w:rPr>
          <w:rFonts w:ascii="Times New Roman" w:eastAsia="標楷體" w:hAnsi="Times New Roman" w:cs="Times New Roman"/>
          <w:color w:val="000000" w:themeColor="text1"/>
          <w:sz w:val="28"/>
        </w:rPr>
        <w:t>)</w:t>
      </w:r>
      <w:r w:rsidRPr="00CF4F8B">
        <w:rPr>
          <w:rFonts w:ascii="Times New Roman" w:eastAsia="標楷體" w:hAnsi="Times New Roman" w:cs="Times New Roman"/>
          <w:color w:val="000000" w:themeColor="text1"/>
          <w:sz w:val="28"/>
        </w:rPr>
        <w:t>，發現</w:t>
      </w:r>
      <w:r w:rsidR="004C1049">
        <w:rPr>
          <w:rFonts w:ascii="Times New Roman" w:eastAsia="標楷體" w:hAnsi="Times New Roman" w:cs="Times New Roman" w:hint="eastAsia"/>
          <w:color w:val="000000" w:themeColor="text1"/>
          <w:sz w:val="28"/>
        </w:rPr>
        <w:t>隨著保單年度經過，損失率</w:t>
      </w:r>
      <w:r w:rsidR="004C1049" w:rsidRPr="004C1049">
        <w:rPr>
          <w:rFonts w:ascii="Times New Roman" w:eastAsia="標楷體" w:hAnsi="Times New Roman" w:cs="Times New Roman" w:hint="eastAsia"/>
          <w:color w:val="000000" w:themeColor="text1"/>
          <w:sz w:val="28"/>
        </w:rPr>
        <w:t>呈現</w:t>
      </w:r>
      <w:r w:rsidR="004C1049">
        <w:rPr>
          <w:rFonts w:ascii="Times New Roman" w:eastAsia="標楷體" w:hAnsi="Times New Roman" w:cs="Times New Roman" w:hint="eastAsia"/>
          <w:color w:val="000000" w:themeColor="text1"/>
          <w:sz w:val="28"/>
        </w:rPr>
        <w:t>逐漸上升</w:t>
      </w:r>
      <w:r w:rsidR="00036B9D">
        <w:rPr>
          <w:rFonts w:ascii="Times New Roman" w:eastAsia="標楷體" w:hAnsi="Times New Roman" w:cs="Times New Roman" w:hint="eastAsia"/>
          <w:color w:val="000000" w:themeColor="text1"/>
          <w:sz w:val="28"/>
        </w:rPr>
        <w:t>的</w:t>
      </w:r>
      <w:r w:rsidR="004C1049">
        <w:rPr>
          <w:rFonts w:ascii="Times New Roman" w:eastAsia="標楷體" w:hAnsi="Times New Roman" w:cs="Times New Roman" w:hint="eastAsia"/>
          <w:color w:val="000000" w:themeColor="text1"/>
          <w:sz w:val="28"/>
        </w:rPr>
        <w:t>趨勢。</w:t>
      </w:r>
      <w:r w:rsidR="004C1049" w:rsidRPr="004C1049">
        <w:rPr>
          <w:rFonts w:ascii="Times New Roman" w:eastAsia="標楷體" w:hAnsi="Times New Roman" w:cs="Times New Roman" w:hint="eastAsia"/>
          <w:color w:val="000000" w:themeColor="text1"/>
          <w:sz w:val="28"/>
        </w:rPr>
        <w:t>以</w:t>
      </w:r>
      <w:proofErr w:type="gramStart"/>
      <w:r w:rsidR="009C2E0A">
        <w:rPr>
          <w:rFonts w:ascii="Times New Roman" w:eastAsia="標楷體" w:hAnsi="Times New Roman" w:cs="Times New Roman"/>
          <w:color w:val="000000" w:themeColor="text1"/>
          <w:sz w:val="28"/>
        </w:rPr>
        <w:t>1</w:t>
      </w:r>
      <w:r w:rsidR="00F002E0">
        <w:rPr>
          <w:rFonts w:ascii="Times New Roman" w:eastAsia="標楷體" w:hAnsi="Times New Roman" w:cs="Times New Roman" w:hint="eastAsia"/>
          <w:color w:val="000000" w:themeColor="text1"/>
          <w:sz w:val="28"/>
        </w:rPr>
        <w:t>10</w:t>
      </w:r>
      <w:proofErr w:type="gramEnd"/>
      <w:r w:rsidR="004C1049" w:rsidRPr="004C1049">
        <w:rPr>
          <w:rFonts w:ascii="Times New Roman" w:eastAsia="標楷體" w:hAnsi="Times New Roman" w:cs="Times New Roman" w:hint="eastAsia"/>
          <w:color w:val="000000" w:themeColor="text1"/>
          <w:sz w:val="28"/>
        </w:rPr>
        <w:t>年度而言，第</w:t>
      </w:r>
      <w:r w:rsidR="004C1049" w:rsidRPr="004C1049">
        <w:rPr>
          <w:rFonts w:ascii="Times New Roman" w:eastAsia="標楷體" w:hAnsi="Times New Roman" w:cs="Times New Roman"/>
          <w:color w:val="000000" w:themeColor="text1"/>
          <w:sz w:val="28"/>
        </w:rPr>
        <w:t>1</w:t>
      </w:r>
      <w:r w:rsidR="004C1049" w:rsidRPr="004C1049">
        <w:rPr>
          <w:rFonts w:ascii="Times New Roman" w:eastAsia="標楷體" w:hAnsi="Times New Roman" w:cs="Times New Roman" w:hint="eastAsia"/>
          <w:color w:val="000000" w:themeColor="text1"/>
          <w:sz w:val="28"/>
        </w:rPr>
        <w:t>保單年度損失率</w:t>
      </w:r>
      <w:r w:rsidR="003F213D">
        <w:rPr>
          <w:rFonts w:ascii="Times New Roman" w:eastAsia="標楷體" w:hAnsi="Times New Roman" w:cs="Times New Roman" w:hint="eastAsia"/>
          <w:color w:val="000000" w:themeColor="text1"/>
          <w:sz w:val="28"/>
        </w:rPr>
        <w:t>為</w:t>
      </w:r>
      <w:r w:rsidR="00F002E0">
        <w:rPr>
          <w:rFonts w:ascii="Times New Roman" w:eastAsia="標楷體" w:hAnsi="Times New Roman" w:cs="Times New Roman" w:hint="eastAsia"/>
          <w:color w:val="000000" w:themeColor="text1"/>
          <w:sz w:val="28"/>
        </w:rPr>
        <w:t>40</w:t>
      </w:r>
      <w:r w:rsidR="004C1049" w:rsidRPr="004C1049">
        <w:rPr>
          <w:rFonts w:ascii="Times New Roman" w:eastAsia="標楷體" w:hAnsi="Times New Roman" w:cs="Times New Roman"/>
          <w:color w:val="000000" w:themeColor="text1"/>
          <w:sz w:val="28"/>
        </w:rPr>
        <w:t>%</w:t>
      </w:r>
      <w:r w:rsidR="004C1049" w:rsidRPr="004C1049">
        <w:rPr>
          <w:rFonts w:ascii="Times New Roman" w:eastAsia="標楷體" w:hAnsi="Times New Roman" w:cs="Times New Roman" w:hint="eastAsia"/>
          <w:color w:val="000000" w:themeColor="text1"/>
          <w:sz w:val="28"/>
        </w:rPr>
        <w:t>，隨後第</w:t>
      </w:r>
      <w:r w:rsidR="00F002E0">
        <w:rPr>
          <w:rFonts w:ascii="Times New Roman" w:eastAsia="標楷體" w:hAnsi="Times New Roman" w:cs="Times New Roman" w:hint="eastAsia"/>
          <w:color w:val="000000" w:themeColor="text1"/>
          <w:sz w:val="28"/>
        </w:rPr>
        <w:t>5</w:t>
      </w:r>
      <w:r w:rsidR="004C1049" w:rsidRPr="004C1049">
        <w:rPr>
          <w:rFonts w:ascii="Times New Roman" w:eastAsia="標楷體" w:hAnsi="Times New Roman" w:cs="Times New Roman" w:hint="eastAsia"/>
          <w:color w:val="000000" w:themeColor="text1"/>
          <w:sz w:val="28"/>
        </w:rPr>
        <w:t>保單年度損失率</w:t>
      </w:r>
      <w:r w:rsidR="003F213D">
        <w:rPr>
          <w:rFonts w:ascii="Times New Roman" w:eastAsia="標楷體" w:hAnsi="Times New Roman" w:cs="Times New Roman" w:hint="eastAsia"/>
          <w:color w:val="000000" w:themeColor="text1"/>
          <w:sz w:val="28"/>
        </w:rPr>
        <w:t>升</w:t>
      </w:r>
      <w:r w:rsidR="004C1049" w:rsidRPr="004C1049">
        <w:rPr>
          <w:rFonts w:ascii="Times New Roman" w:eastAsia="標楷體" w:hAnsi="Times New Roman" w:cs="Times New Roman" w:hint="eastAsia"/>
          <w:color w:val="000000" w:themeColor="text1"/>
          <w:sz w:val="28"/>
        </w:rPr>
        <w:t>至</w:t>
      </w:r>
      <w:r w:rsidR="007678AF">
        <w:rPr>
          <w:rFonts w:ascii="Times New Roman" w:eastAsia="標楷體" w:hAnsi="Times New Roman" w:cs="Times New Roman" w:hint="eastAsia"/>
          <w:color w:val="000000" w:themeColor="text1"/>
          <w:sz w:val="28"/>
        </w:rPr>
        <w:t>58</w:t>
      </w:r>
      <w:r w:rsidR="004C1049" w:rsidRPr="004C1049">
        <w:rPr>
          <w:rFonts w:ascii="Times New Roman" w:eastAsia="標楷體" w:hAnsi="Times New Roman" w:cs="Times New Roman"/>
          <w:color w:val="000000" w:themeColor="text1"/>
          <w:sz w:val="28"/>
        </w:rPr>
        <w:t>%</w:t>
      </w:r>
      <w:r w:rsidR="003F213D">
        <w:rPr>
          <w:rFonts w:ascii="Times New Roman" w:eastAsia="標楷體" w:hAnsi="Times New Roman" w:cs="Times New Roman" w:hint="eastAsia"/>
          <w:color w:val="000000" w:themeColor="text1"/>
          <w:sz w:val="28"/>
        </w:rPr>
        <w:t>後再回穩至</w:t>
      </w:r>
      <w:r w:rsidR="007678AF">
        <w:rPr>
          <w:rFonts w:ascii="Times New Roman" w:eastAsia="標楷體" w:hAnsi="Times New Roman" w:cs="Times New Roman"/>
          <w:color w:val="000000" w:themeColor="text1"/>
          <w:sz w:val="28"/>
        </w:rPr>
        <w:t>5</w:t>
      </w:r>
      <w:r w:rsidR="00F002E0">
        <w:rPr>
          <w:rFonts w:ascii="Times New Roman" w:eastAsia="標楷體" w:hAnsi="Times New Roman" w:cs="Times New Roman" w:hint="eastAsia"/>
          <w:color w:val="000000" w:themeColor="text1"/>
          <w:sz w:val="28"/>
        </w:rPr>
        <w:t>0</w:t>
      </w:r>
      <w:r w:rsidR="004C1049" w:rsidRPr="004C1049">
        <w:rPr>
          <w:rFonts w:ascii="Times New Roman" w:eastAsia="標楷體" w:hAnsi="Times New Roman" w:cs="Times New Roman"/>
          <w:color w:val="000000" w:themeColor="text1"/>
          <w:sz w:val="28"/>
        </w:rPr>
        <w:t>%</w:t>
      </w:r>
      <w:r w:rsidR="00F002E0">
        <w:rPr>
          <w:rFonts w:ascii="Times New Roman" w:eastAsia="標楷體" w:hAnsi="Times New Roman" w:cs="Times New Roman" w:hint="eastAsia"/>
          <w:color w:val="000000" w:themeColor="text1"/>
          <w:sz w:val="28"/>
        </w:rPr>
        <w:t>上下</w:t>
      </w:r>
      <w:r w:rsidR="004C1049" w:rsidRPr="004C1049">
        <w:rPr>
          <w:rFonts w:ascii="Times New Roman" w:eastAsia="標楷體" w:hAnsi="Times New Roman" w:cs="Times New Roman" w:hint="eastAsia"/>
          <w:color w:val="000000" w:themeColor="text1"/>
          <w:sz w:val="28"/>
        </w:rPr>
        <w:t>，</w:t>
      </w:r>
      <w:r w:rsidR="003F213D">
        <w:rPr>
          <w:rFonts w:ascii="Times New Roman" w:eastAsia="標楷體" w:hAnsi="Times New Roman" w:cs="Times New Roman" w:hint="eastAsia"/>
          <w:color w:val="000000" w:themeColor="text1"/>
          <w:sz w:val="28"/>
        </w:rPr>
        <w:t>而</w:t>
      </w:r>
      <w:r w:rsidR="004C1049" w:rsidRPr="004C1049">
        <w:rPr>
          <w:rFonts w:ascii="Times New Roman" w:eastAsia="標楷體" w:hAnsi="Times New Roman" w:cs="Times New Roman" w:hint="eastAsia"/>
          <w:color w:val="000000" w:themeColor="text1"/>
          <w:sz w:val="28"/>
        </w:rPr>
        <w:t>第</w:t>
      </w:r>
      <w:r w:rsidR="004C1049" w:rsidRPr="004C1049">
        <w:rPr>
          <w:rFonts w:ascii="Times New Roman" w:eastAsia="標楷體" w:hAnsi="Times New Roman" w:cs="Times New Roman"/>
          <w:color w:val="000000" w:themeColor="text1"/>
          <w:sz w:val="28"/>
        </w:rPr>
        <w:t>11~14</w:t>
      </w:r>
      <w:r w:rsidR="004C1049" w:rsidRPr="004C1049">
        <w:rPr>
          <w:rFonts w:ascii="Times New Roman" w:eastAsia="標楷體" w:hAnsi="Times New Roman" w:cs="Times New Roman" w:hint="eastAsia"/>
          <w:color w:val="000000" w:themeColor="text1"/>
          <w:sz w:val="28"/>
        </w:rPr>
        <w:t>保單年度</w:t>
      </w:r>
      <w:r w:rsidR="00F002E0">
        <w:rPr>
          <w:rFonts w:ascii="Times New Roman" w:eastAsia="標楷體" w:hAnsi="Times New Roman" w:cs="Times New Roman" w:hint="eastAsia"/>
          <w:color w:val="000000" w:themeColor="text1"/>
          <w:sz w:val="28"/>
        </w:rPr>
        <w:t>持平為</w:t>
      </w:r>
      <w:r w:rsidR="007678AF">
        <w:rPr>
          <w:rFonts w:ascii="Times New Roman" w:eastAsia="標楷體" w:hAnsi="Times New Roman" w:cs="Times New Roman" w:hint="eastAsia"/>
          <w:color w:val="000000" w:themeColor="text1"/>
          <w:sz w:val="28"/>
        </w:rPr>
        <w:t>5</w:t>
      </w:r>
      <w:r w:rsidR="00F002E0">
        <w:rPr>
          <w:rFonts w:ascii="Times New Roman" w:eastAsia="標楷體" w:hAnsi="Times New Roman" w:cs="Times New Roman" w:hint="eastAsia"/>
          <w:color w:val="000000" w:themeColor="text1"/>
          <w:sz w:val="28"/>
        </w:rPr>
        <w:t>0</w:t>
      </w:r>
      <w:r w:rsidR="004C1049" w:rsidRPr="004C1049">
        <w:rPr>
          <w:rFonts w:ascii="Times New Roman" w:eastAsia="標楷體" w:hAnsi="Times New Roman" w:cs="Times New Roman"/>
          <w:color w:val="000000" w:themeColor="text1"/>
          <w:sz w:val="28"/>
        </w:rPr>
        <w:t>%</w:t>
      </w:r>
      <w:r w:rsidR="004C1049" w:rsidRPr="004C1049">
        <w:rPr>
          <w:rFonts w:ascii="Times New Roman" w:eastAsia="標楷體" w:hAnsi="Times New Roman" w:cs="Times New Roman" w:hint="eastAsia"/>
          <w:color w:val="000000" w:themeColor="text1"/>
          <w:sz w:val="28"/>
        </w:rPr>
        <w:t>，第</w:t>
      </w:r>
      <w:r w:rsidR="004C1049" w:rsidRPr="004C1049">
        <w:rPr>
          <w:rFonts w:ascii="Times New Roman" w:eastAsia="標楷體" w:hAnsi="Times New Roman" w:cs="Times New Roman"/>
          <w:color w:val="000000" w:themeColor="text1"/>
          <w:sz w:val="28"/>
        </w:rPr>
        <w:t>15</w:t>
      </w:r>
      <w:r w:rsidR="004C1049" w:rsidRPr="004C1049">
        <w:rPr>
          <w:rFonts w:ascii="Times New Roman" w:eastAsia="標楷體" w:hAnsi="Times New Roman" w:cs="Times New Roman" w:hint="eastAsia"/>
          <w:color w:val="000000" w:themeColor="text1"/>
          <w:sz w:val="28"/>
        </w:rPr>
        <w:t>保單年度</w:t>
      </w:r>
      <w:r w:rsidR="00916C28">
        <w:rPr>
          <w:rFonts w:ascii="Times New Roman" w:eastAsia="標楷體" w:hAnsi="Times New Roman" w:cs="Times New Roman" w:hint="eastAsia"/>
          <w:color w:val="000000" w:themeColor="text1"/>
          <w:sz w:val="28"/>
        </w:rPr>
        <w:t>後則攀爬至</w:t>
      </w:r>
      <w:r w:rsidR="00916C28">
        <w:rPr>
          <w:rFonts w:ascii="Times New Roman" w:eastAsia="標楷體" w:hAnsi="Times New Roman" w:cs="Times New Roman" w:hint="eastAsia"/>
          <w:color w:val="000000" w:themeColor="text1"/>
          <w:sz w:val="28"/>
        </w:rPr>
        <w:t>76</w:t>
      </w:r>
      <w:r w:rsidR="004C1049" w:rsidRPr="004C1049">
        <w:rPr>
          <w:rFonts w:ascii="Times New Roman" w:eastAsia="標楷體" w:hAnsi="Times New Roman" w:cs="Times New Roman"/>
          <w:color w:val="000000" w:themeColor="text1"/>
          <w:sz w:val="28"/>
        </w:rPr>
        <w:t>%</w:t>
      </w:r>
      <w:r w:rsidR="004C1049" w:rsidRPr="004C1049">
        <w:rPr>
          <w:rFonts w:ascii="Times New Roman" w:eastAsia="標楷體" w:hAnsi="Times New Roman" w:cs="Times New Roman" w:hint="eastAsia"/>
          <w:color w:val="000000" w:themeColor="text1"/>
          <w:sz w:val="28"/>
        </w:rPr>
        <w:t>。整體經驗顯示壽險業長年期健康保險</w:t>
      </w:r>
      <w:r w:rsidR="004C1049">
        <w:rPr>
          <w:rFonts w:ascii="Times New Roman" w:eastAsia="標楷體" w:hAnsi="Times New Roman" w:cs="Times New Roman" w:hint="eastAsia"/>
          <w:color w:val="000000" w:themeColor="text1"/>
          <w:sz w:val="28"/>
        </w:rPr>
        <w:t>之</w:t>
      </w:r>
      <w:r w:rsidR="004C1049" w:rsidRPr="004C1049">
        <w:rPr>
          <w:rFonts w:ascii="Times New Roman" w:eastAsia="標楷體" w:hAnsi="Times New Roman" w:cs="Times New Roman" w:hint="eastAsia"/>
          <w:color w:val="000000" w:themeColor="text1"/>
          <w:sz w:val="28"/>
        </w:rPr>
        <w:t>理賠支出亦</w:t>
      </w:r>
      <w:r w:rsidR="00036B9D">
        <w:rPr>
          <w:rFonts w:ascii="Times New Roman" w:eastAsia="標楷體" w:hAnsi="Times New Roman" w:cs="Times New Roman" w:hint="eastAsia"/>
          <w:color w:val="000000" w:themeColor="text1"/>
          <w:sz w:val="28"/>
        </w:rPr>
        <w:t>隨著保單年度而</w:t>
      </w:r>
      <w:r w:rsidR="004C1049" w:rsidRPr="004C1049">
        <w:rPr>
          <w:rFonts w:ascii="Times New Roman" w:eastAsia="標楷體" w:hAnsi="Times New Roman" w:cs="Times New Roman" w:hint="eastAsia"/>
          <w:color w:val="000000" w:themeColor="text1"/>
          <w:sz w:val="28"/>
        </w:rPr>
        <w:t>增加，究其原因說明如次：</w:t>
      </w:r>
    </w:p>
    <w:p w14:paraId="2CACEC66" w14:textId="77777777" w:rsidR="00B442EC" w:rsidRPr="00CF4F8B" w:rsidRDefault="00A964DB" w:rsidP="00B27569">
      <w:pPr>
        <w:pStyle w:val="a3"/>
        <w:numPr>
          <w:ilvl w:val="0"/>
          <w:numId w:val="1"/>
        </w:numPr>
        <w:overflowPunct w:val="0"/>
        <w:spacing w:beforeLines="50" w:before="180" w:line="500" w:lineRule="exact"/>
        <w:ind w:leftChars="0" w:left="709" w:hanging="709"/>
        <w:jc w:val="both"/>
        <w:rPr>
          <w:rFonts w:ascii="Times New Roman" w:eastAsia="標楷體" w:hAnsi="Times New Roman" w:cs="Times New Roman"/>
          <w:color w:val="000000" w:themeColor="text1"/>
          <w:sz w:val="28"/>
          <w:szCs w:val="28"/>
        </w:rPr>
      </w:pPr>
      <w:r w:rsidRPr="00CF4F8B">
        <w:rPr>
          <w:rFonts w:ascii="Times New Roman" w:eastAsia="標楷體" w:hAnsi="Times New Roman" w:cs="Times New Roman"/>
          <w:color w:val="000000" w:themeColor="text1"/>
          <w:sz w:val="28"/>
          <w:szCs w:val="28"/>
        </w:rPr>
        <w:t>高齡化</w:t>
      </w:r>
      <w:r w:rsidR="00D65C2E" w:rsidRPr="00CF4F8B">
        <w:rPr>
          <w:rFonts w:ascii="Times New Roman" w:eastAsia="標楷體" w:hAnsi="Times New Roman" w:cs="Times New Roman"/>
          <w:color w:val="000000" w:themeColor="text1"/>
          <w:sz w:val="28"/>
          <w:szCs w:val="28"/>
        </w:rPr>
        <w:t>日</w:t>
      </w:r>
      <w:r w:rsidR="00717392" w:rsidRPr="00CF4F8B">
        <w:rPr>
          <w:rFonts w:ascii="Times New Roman" w:eastAsia="標楷體" w:hAnsi="Times New Roman" w:cs="Times New Roman"/>
          <w:color w:val="000000" w:themeColor="text1"/>
          <w:sz w:val="28"/>
          <w:szCs w:val="28"/>
        </w:rPr>
        <w:t>益</w:t>
      </w:r>
      <w:r w:rsidR="00D65C2E" w:rsidRPr="00CF4F8B">
        <w:rPr>
          <w:rFonts w:ascii="Times New Roman" w:eastAsia="標楷體" w:hAnsi="Times New Roman" w:cs="Times New Roman"/>
          <w:color w:val="000000" w:themeColor="text1"/>
          <w:sz w:val="28"/>
          <w:szCs w:val="28"/>
        </w:rPr>
        <w:t>嚴重</w:t>
      </w:r>
    </w:p>
    <w:p w14:paraId="00F5DA41" w14:textId="752AE2B8" w:rsidR="00D95B94" w:rsidRDefault="003D5DC7" w:rsidP="006740CA">
      <w:pPr>
        <w:overflowPunct w:val="0"/>
        <w:snapToGrid w:val="0"/>
        <w:spacing w:beforeLines="50" w:before="180" w:line="500" w:lineRule="exact"/>
        <w:ind w:leftChars="295" w:left="708"/>
        <w:jc w:val="both"/>
        <w:rPr>
          <w:rFonts w:ascii="Times New Roman" w:eastAsia="標楷體" w:hAnsi="Times New Roman" w:cs="Times New Roman"/>
          <w:color w:val="000000" w:themeColor="text1"/>
          <w:sz w:val="28"/>
          <w:szCs w:val="28"/>
        </w:rPr>
      </w:pPr>
      <w:r w:rsidRPr="00CF4F8B">
        <w:rPr>
          <w:rFonts w:ascii="Times New Roman" w:eastAsia="標楷體" w:hAnsi="Times New Roman" w:cs="Times New Roman"/>
          <w:color w:val="000000" w:themeColor="text1"/>
          <w:sz w:val="28"/>
          <w:szCs w:val="28"/>
        </w:rPr>
        <w:t>依據國家發展</w:t>
      </w:r>
      <w:r w:rsidRPr="00CF4F8B">
        <w:rPr>
          <w:rFonts w:ascii="Times New Roman" w:eastAsia="標楷體" w:hAnsi="Times New Roman" w:cs="Times New Roman"/>
          <w:bCs/>
          <w:color w:val="000000" w:themeColor="text1"/>
          <w:sz w:val="28"/>
          <w:szCs w:val="28"/>
        </w:rPr>
        <w:t>委員會</w:t>
      </w:r>
      <w:r w:rsidRPr="00CF4F8B">
        <w:rPr>
          <w:rFonts w:ascii="Times New Roman" w:eastAsia="標楷體" w:hAnsi="Times New Roman" w:cs="Times New Roman"/>
          <w:color w:val="000000" w:themeColor="text1"/>
          <w:sz w:val="28"/>
          <w:szCs w:val="28"/>
        </w:rPr>
        <w:t>於</w:t>
      </w:r>
      <w:r w:rsidR="006740CA">
        <w:rPr>
          <w:rFonts w:ascii="Times New Roman" w:eastAsia="標楷體" w:hAnsi="Times New Roman" w:cs="Times New Roman" w:hint="eastAsia"/>
          <w:color w:val="000000" w:themeColor="text1"/>
          <w:sz w:val="28"/>
          <w:szCs w:val="28"/>
        </w:rPr>
        <w:t>2020</w:t>
      </w:r>
      <w:r w:rsidRPr="00CF4F8B">
        <w:rPr>
          <w:rFonts w:ascii="Times New Roman" w:eastAsia="標楷體" w:hAnsi="Times New Roman" w:cs="Times New Roman"/>
          <w:color w:val="000000" w:themeColor="text1"/>
          <w:sz w:val="28"/>
          <w:szCs w:val="28"/>
        </w:rPr>
        <w:t>年公布之「中華民國</w:t>
      </w:r>
      <w:proofErr w:type="gramStart"/>
      <w:r w:rsidRPr="00CF4F8B">
        <w:rPr>
          <w:rFonts w:ascii="Times New Roman" w:eastAsia="標楷體" w:hAnsi="Times New Roman" w:cs="Times New Roman"/>
          <w:color w:val="000000" w:themeColor="text1"/>
          <w:sz w:val="28"/>
          <w:szCs w:val="28"/>
        </w:rPr>
        <w:t>人口推計</w:t>
      </w:r>
      <w:proofErr w:type="gramEnd"/>
      <w:r w:rsidR="006D7A5E">
        <w:rPr>
          <w:rFonts w:ascii="Times New Roman" w:eastAsia="標楷體" w:hAnsi="Times New Roman" w:cs="Times New Roman"/>
          <w:color w:val="000000" w:themeColor="text1"/>
          <w:sz w:val="28"/>
          <w:szCs w:val="28"/>
        </w:rPr>
        <w:t>(</w:t>
      </w:r>
      <w:r w:rsidR="006740CA">
        <w:rPr>
          <w:rFonts w:ascii="Times New Roman" w:eastAsia="標楷體" w:hAnsi="Times New Roman" w:cs="Times New Roman" w:hint="eastAsia"/>
          <w:color w:val="000000" w:themeColor="text1"/>
          <w:sz w:val="28"/>
          <w:szCs w:val="28"/>
        </w:rPr>
        <w:t>2020</w:t>
      </w:r>
      <w:r w:rsidRPr="00CF4F8B">
        <w:rPr>
          <w:rFonts w:ascii="Times New Roman" w:eastAsia="標楷體" w:hAnsi="Times New Roman" w:cs="Times New Roman"/>
          <w:color w:val="000000" w:themeColor="text1"/>
          <w:sz w:val="28"/>
          <w:szCs w:val="28"/>
        </w:rPr>
        <w:t>至</w:t>
      </w:r>
      <w:r w:rsidR="006740CA">
        <w:rPr>
          <w:rFonts w:ascii="Times New Roman" w:eastAsia="標楷體" w:hAnsi="Times New Roman" w:cs="Times New Roman" w:hint="eastAsia"/>
          <w:color w:val="000000" w:themeColor="text1"/>
          <w:sz w:val="28"/>
          <w:szCs w:val="28"/>
        </w:rPr>
        <w:t>2050</w:t>
      </w:r>
      <w:r w:rsidRPr="00CF4F8B">
        <w:rPr>
          <w:rFonts w:ascii="Times New Roman" w:eastAsia="標楷體" w:hAnsi="Times New Roman" w:cs="Times New Roman"/>
          <w:color w:val="000000" w:themeColor="text1"/>
          <w:sz w:val="28"/>
          <w:szCs w:val="28"/>
        </w:rPr>
        <w:lastRenderedPageBreak/>
        <w:t>年</w:t>
      </w:r>
      <w:r w:rsidRPr="00CF4F8B">
        <w:rPr>
          <w:rFonts w:ascii="Times New Roman" w:eastAsia="標楷體" w:hAnsi="Times New Roman" w:cs="Times New Roman"/>
          <w:color w:val="000000" w:themeColor="text1"/>
          <w:sz w:val="28"/>
          <w:szCs w:val="28"/>
        </w:rPr>
        <w:t>)</w:t>
      </w:r>
      <w:r w:rsidRPr="00CF4F8B">
        <w:rPr>
          <w:rFonts w:ascii="Times New Roman" w:eastAsia="標楷體" w:hAnsi="Times New Roman" w:cs="Times New Roman"/>
          <w:color w:val="000000" w:themeColor="text1"/>
          <w:sz w:val="28"/>
          <w:szCs w:val="28"/>
        </w:rPr>
        <w:t>」報告，臺灣已於</w:t>
      </w:r>
      <w:r w:rsidR="006740CA">
        <w:rPr>
          <w:rFonts w:ascii="Times New Roman" w:eastAsia="標楷體" w:hAnsi="Times New Roman" w:cs="Times New Roman" w:hint="eastAsia"/>
          <w:color w:val="000000" w:themeColor="text1"/>
          <w:sz w:val="28"/>
          <w:szCs w:val="28"/>
        </w:rPr>
        <w:t>1993</w:t>
      </w:r>
      <w:r w:rsidRPr="00CF4F8B">
        <w:rPr>
          <w:rFonts w:ascii="Times New Roman" w:eastAsia="標楷體" w:hAnsi="Times New Roman" w:cs="Times New Roman"/>
          <w:color w:val="000000" w:themeColor="text1"/>
          <w:sz w:val="28"/>
          <w:szCs w:val="28"/>
        </w:rPr>
        <w:t>年進入高齡化社會</w:t>
      </w:r>
      <w:r w:rsidRPr="00CF4F8B">
        <w:rPr>
          <w:rFonts w:ascii="Times New Roman" w:hAnsi="Times New Roman" w:cs="Times New Roman"/>
          <w:color w:val="000000" w:themeColor="text1"/>
          <w:sz w:val="28"/>
          <w:szCs w:val="28"/>
          <w:vertAlign w:val="superscript"/>
        </w:rPr>
        <w:footnoteReference w:id="1"/>
      </w:r>
      <w:r w:rsidR="006D7A5E">
        <w:rPr>
          <w:rFonts w:ascii="Times New Roman" w:eastAsia="標楷體" w:hAnsi="Times New Roman" w:cs="Times New Roman"/>
          <w:color w:val="000000" w:themeColor="text1"/>
          <w:sz w:val="28"/>
          <w:szCs w:val="28"/>
        </w:rPr>
        <w:t>，</w:t>
      </w:r>
      <w:r w:rsidR="006D7A5E">
        <w:rPr>
          <w:rFonts w:ascii="Times New Roman" w:eastAsia="標楷體" w:hAnsi="Times New Roman" w:cs="Times New Roman" w:hint="eastAsia"/>
          <w:color w:val="000000" w:themeColor="text1"/>
          <w:sz w:val="28"/>
          <w:szCs w:val="28"/>
        </w:rPr>
        <w:t>業</w:t>
      </w:r>
      <w:r w:rsidRPr="00CF4F8B">
        <w:rPr>
          <w:rFonts w:ascii="Times New Roman" w:eastAsia="標楷體" w:hAnsi="Times New Roman" w:cs="Times New Roman"/>
          <w:color w:val="000000" w:themeColor="text1"/>
          <w:sz w:val="28"/>
          <w:szCs w:val="28"/>
        </w:rPr>
        <w:t>於</w:t>
      </w:r>
      <w:r w:rsidR="006740CA">
        <w:rPr>
          <w:rFonts w:ascii="Times New Roman" w:eastAsia="標楷體" w:hAnsi="Times New Roman" w:cs="Times New Roman" w:hint="eastAsia"/>
          <w:color w:val="000000" w:themeColor="text1"/>
          <w:sz w:val="28"/>
          <w:szCs w:val="28"/>
        </w:rPr>
        <w:t>2018</w:t>
      </w:r>
      <w:r w:rsidRPr="00CF4F8B">
        <w:rPr>
          <w:rFonts w:ascii="Times New Roman" w:eastAsia="標楷體" w:hAnsi="Times New Roman" w:cs="Times New Roman"/>
          <w:color w:val="000000" w:themeColor="text1"/>
          <w:sz w:val="28"/>
          <w:szCs w:val="28"/>
        </w:rPr>
        <w:t>年</w:t>
      </w:r>
      <w:r w:rsidR="006D7A5E">
        <w:rPr>
          <w:rFonts w:ascii="Times New Roman" w:eastAsia="標楷體" w:hAnsi="Times New Roman" w:cs="Times New Roman" w:hint="eastAsia"/>
          <w:color w:val="000000" w:themeColor="text1"/>
          <w:sz w:val="28"/>
          <w:szCs w:val="28"/>
        </w:rPr>
        <w:t>3</w:t>
      </w:r>
      <w:r w:rsidR="006D7A5E">
        <w:rPr>
          <w:rFonts w:ascii="Times New Roman" w:eastAsia="標楷體" w:hAnsi="Times New Roman" w:cs="Times New Roman" w:hint="eastAsia"/>
          <w:color w:val="000000" w:themeColor="text1"/>
          <w:sz w:val="28"/>
          <w:szCs w:val="28"/>
        </w:rPr>
        <w:t>月正式</w:t>
      </w:r>
      <w:r w:rsidRPr="00CF4F8B">
        <w:rPr>
          <w:rFonts w:ascii="Times New Roman" w:eastAsia="標楷體" w:hAnsi="Times New Roman" w:cs="Times New Roman"/>
          <w:color w:val="000000" w:themeColor="text1"/>
          <w:sz w:val="28"/>
          <w:szCs w:val="28"/>
        </w:rPr>
        <w:t>邁入高齡社會</w:t>
      </w:r>
      <w:r w:rsidRPr="00CF4F8B">
        <w:rPr>
          <w:rFonts w:ascii="Times New Roman" w:hAnsi="Times New Roman" w:cs="Times New Roman"/>
          <w:color w:val="000000" w:themeColor="text1"/>
          <w:sz w:val="28"/>
          <w:szCs w:val="28"/>
          <w:vertAlign w:val="superscript"/>
        </w:rPr>
        <w:footnoteReference w:id="2"/>
      </w:r>
      <w:r w:rsidR="006D7A5E">
        <w:rPr>
          <w:rFonts w:ascii="Times New Roman" w:eastAsia="標楷體" w:hAnsi="Times New Roman" w:cs="Times New Roman"/>
          <w:color w:val="000000" w:themeColor="text1"/>
          <w:sz w:val="28"/>
          <w:szCs w:val="28"/>
        </w:rPr>
        <w:t>，</w:t>
      </w:r>
      <w:r w:rsidR="006D7A5E">
        <w:rPr>
          <w:rFonts w:ascii="Times New Roman" w:eastAsia="標楷體" w:hAnsi="Times New Roman" w:cs="Times New Roman" w:hint="eastAsia"/>
          <w:color w:val="000000" w:themeColor="text1"/>
          <w:sz w:val="28"/>
          <w:szCs w:val="28"/>
        </w:rPr>
        <w:t>預估於</w:t>
      </w:r>
      <w:r w:rsidR="006740CA">
        <w:rPr>
          <w:rFonts w:ascii="Times New Roman" w:eastAsia="標楷體" w:hAnsi="Times New Roman" w:cs="Times New Roman" w:hint="eastAsia"/>
          <w:color w:val="000000" w:themeColor="text1"/>
          <w:sz w:val="28"/>
          <w:szCs w:val="28"/>
        </w:rPr>
        <w:t>2025</w:t>
      </w:r>
      <w:r w:rsidRPr="00CF4F8B">
        <w:rPr>
          <w:rFonts w:ascii="Times New Roman" w:eastAsia="標楷體" w:hAnsi="Times New Roman" w:cs="Times New Roman"/>
          <w:color w:val="000000" w:themeColor="text1"/>
          <w:sz w:val="28"/>
          <w:szCs w:val="28"/>
        </w:rPr>
        <w:t>年進入超高齡社會</w:t>
      </w:r>
      <w:r w:rsidRPr="00CF4F8B">
        <w:rPr>
          <w:rFonts w:ascii="Times New Roman" w:hAnsi="Times New Roman" w:cs="Times New Roman"/>
          <w:color w:val="000000" w:themeColor="text1"/>
          <w:sz w:val="28"/>
          <w:szCs w:val="28"/>
          <w:vertAlign w:val="superscript"/>
        </w:rPr>
        <w:footnoteReference w:id="3"/>
      </w:r>
      <w:r w:rsidRPr="00CF4F8B">
        <w:rPr>
          <w:rFonts w:ascii="Times New Roman" w:eastAsia="標楷體" w:hAnsi="Times New Roman" w:cs="Times New Roman"/>
          <w:color w:val="000000" w:themeColor="text1"/>
          <w:sz w:val="28"/>
          <w:szCs w:val="28"/>
        </w:rPr>
        <w:t>（詳圖</w:t>
      </w:r>
      <w:r w:rsidR="009009A1">
        <w:rPr>
          <w:rFonts w:ascii="Times New Roman" w:eastAsia="標楷體" w:hAnsi="Times New Roman" w:cs="Times New Roman"/>
          <w:color w:val="000000" w:themeColor="text1"/>
          <w:sz w:val="28"/>
          <w:szCs w:val="28"/>
        </w:rPr>
        <w:t>2</w:t>
      </w:r>
      <w:r w:rsidRPr="00CF4F8B">
        <w:rPr>
          <w:rFonts w:ascii="Times New Roman" w:eastAsia="標楷體" w:hAnsi="Times New Roman" w:cs="Times New Roman"/>
          <w:color w:val="000000" w:themeColor="text1"/>
          <w:sz w:val="28"/>
          <w:szCs w:val="28"/>
        </w:rPr>
        <w:t>），亦即未來臺灣每</w:t>
      </w:r>
      <w:r w:rsidRPr="00CF4F8B">
        <w:rPr>
          <w:rFonts w:ascii="Times New Roman" w:eastAsia="標楷體" w:hAnsi="Times New Roman" w:cs="Times New Roman"/>
          <w:color w:val="000000" w:themeColor="text1"/>
          <w:sz w:val="28"/>
          <w:szCs w:val="28"/>
        </w:rPr>
        <w:t>5</w:t>
      </w:r>
      <w:r w:rsidRPr="00CF4F8B">
        <w:rPr>
          <w:rFonts w:ascii="Times New Roman" w:eastAsia="標楷體" w:hAnsi="Times New Roman" w:cs="Times New Roman"/>
          <w:color w:val="000000" w:themeColor="text1"/>
          <w:sz w:val="28"/>
          <w:szCs w:val="28"/>
        </w:rPr>
        <w:t>個人中就有</w:t>
      </w:r>
      <w:r w:rsidRPr="00CF4F8B">
        <w:rPr>
          <w:rFonts w:ascii="Times New Roman" w:eastAsia="標楷體" w:hAnsi="Times New Roman" w:cs="Times New Roman"/>
          <w:color w:val="000000" w:themeColor="text1"/>
          <w:sz w:val="28"/>
          <w:szCs w:val="28"/>
        </w:rPr>
        <w:t>1</w:t>
      </w:r>
      <w:r w:rsidRPr="00CF4F8B">
        <w:rPr>
          <w:rFonts w:ascii="Times New Roman" w:eastAsia="標楷體" w:hAnsi="Times New Roman" w:cs="Times New Roman"/>
          <w:color w:val="000000" w:themeColor="text1"/>
          <w:sz w:val="28"/>
          <w:szCs w:val="28"/>
        </w:rPr>
        <w:t>位老人。</w:t>
      </w:r>
    </w:p>
    <w:p w14:paraId="72C290E1" w14:textId="77777777" w:rsidR="00851C88" w:rsidRDefault="00851C88" w:rsidP="00561795">
      <w:pPr>
        <w:overflowPunct w:val="0"/>
        <w:snapToGrid w:val="0"/>
        <w:spacing w:beforeLines="50" w:before="180" w:line="360" w:lineRule="auto"/>
        <w:ind w:leftChars="200" w:left="480"/>
        <w:jc w:val="center"/>
        <w:rPr>
          <w:rFonts w:ascii="Times New Roman" w:eastAsia="標楷體" w:hAnsi="Times New Roman" w:cs="Times New Roman"/>
          <w:color w:val="000000" w:themeColor="text1"/>
          <w:sz w:val="28"/>
          <w:szCs w:val="28"/>
        </w:rPr>
      </w:pPr>
      <w:r>
        <w:rPr>
          <w:b/>
          <w:noProof/>
          <w:color w:val="FF66FF"/>
        </w:rPr>
        <w:drawing>
          <wp:inline distT="0" distB="0" distL="0" distR="0" wp14:anchorId="7CF527CD" wp14:editId="6404DCA1">
            <wp:extent cx="4798060" cy="1943100"/>
            <wp:effectExtent l="19050" t="19050" r="21590" b="19050"/>
            <wp:docPr id="15" name="圖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9467" cy="1943670"/>
                    </a:xfrm>
                    <a:prstGeom prst="rect">
                      <a:avLst/>
                    </a:prstGeom>
                    <a:noFill/>
                    <a:ln>
                      <a:solidFill>
                        <a:schemeClr val="tx1"/>
                      </a:solidFill>
                    </a:ln>
                  </pic:spPr>
                </pic:pic>
              </a:graphicData>
            </a:graphic>
          </wp:inline>
        </w:drawing>
      </w:r>
    </w:p>
    <w:p w14:paraId="2D3CFA75" w14:textId="77777777" w:rsidR="00851C88" w:rsidRPr="0042385D" w:rsidRDefault="00851C88" w:rsidP="00851C88">
      <w:pPr>
        <w:pStyle w:val="a3"/>
        <w:overflowPunct w:val="0"/>
        <w:ind w:leftChars="700" w:left="1680"/>
        <w:jc w:val="both"/>
        <w:rPr>
          <w:rFonts w:ascii="Book Antiqua" w:eastAsia="標楷體" w:hAnsi="Book Antiqua"/>
        </w:rPr>
      </w:pPr>
      <w:r w:rsidRPr="00D2064E">
        <w:rPr>
          <w:rFonts w:eastAsia="標楷體"/>
          <w:bCs/>
          <w:sz w:val="20"/>
        </w:rPr>
        <w:t>資料來源：</w:t>
      </w:r>
      <w:r w:rsidRPr="00D2064E">
        <w:rPr>
          <w:rFonts w:eastAsia="標楷體"/>
          <w:bCs/>
          <w:sz w:val="20"/>
        </w:rPr>
        <w:t>1.</w:t>
      </w:r>
      <w:r w:rsidRPr="00D2064E">
        <w:rPr>
          <w:rFonts w:eastAsia="標楷體" w:hint="eastAsia"/>
          <w:bCs/>
          <w:sz w:val="20"/>
        </w:rPr>
        <w:t xml:space="preserve"> 19</w:t>
      </w:r>
      <w:r>
        <w:rPr>
          <w:rFonts w:eastAsia="標楷體" w:hint="eastAsia"/>
          <w:bCs/>
          <w:sz w:val="20"/>
        </w:rPr>
        <w:t>80</w:t>
      </w:r>
      <w:r w:rsidRPr="00D2064E">
        <w:rPr>
          <w:rFonts w:eastAsia="標楷體"/>
          <w:bCs/>
          <w:sz w:val="20"/>
        </w:rPr>
        <w:t>年至</w:t>
      </w:r>
      <w:r>
        <w:rPr>
          <w:rFonts w:eastAsia="標楷體" w:hint="eastAsia"/>
          <w:bCs/>
          <w:sz w:val="20"/>
        </w:rPr>
        <w:t>2019</w:t>
      </w:r>
      <w:r w:rsidRPr="00D2064E">
        <w:rPr>
          <w:rFonts w:eastAsia="標楷體"/>
          <w:bCs/>
          <w:sz w:val="20"/>
        </w:rPr>
        <w:t>年為內政部「中華民國人口統計年刊」。</w:t>
      </w:r>
    </w:p>
    <w:p w14:paraId="17611D1E" w14:textId="77777777" w:rsidR="00851C88" w:rsidRDefault="00851C88" w:rsidP="00851C88">
      <w:pPr>
        <w:overflowPunct w:val="0"/>
        <w:snapToGrid w:val="0"/>
        <w:spacing w:line="360" w:lineRule="auto"/>
        <w:ind w:leftChars="1100" w:left="2640"/>
        <w:jc w:val="center"/>
        <w:rPr>
          <w:rFonts w:ascii="Times New Roman" w:eastAsia="標楷體" w:hAnsi="Times New Roman" w:cs="Times New Roman"/>
          <w:color w:val="000000" w:themeColor="text1"/>
          <w:sz w:val="28"/>
          <w:szCs w:val="28"/>
        </w:rPr>
      </w:pPr>
      <w:r w:rsidRPr="00D2064E">
        <w:rPr>
          <w:rFonts w:eastAsia="標楷體"/>
          <w:bCs/>
          <w:sz w:val="20"/>
        </w:rPr>
        <w:t xml:space="preserve">2. </w:t>
      </w:r>
      <w:r>
        <w:rPr>
          <w:rFonts w:eastAsia="標楷體" w:hint="eastAsia"/>
          <w:bCs/>
          <w:sz w:val="20"/>
        </w:rPr>
        <w:t>2020</w:t>
      </w:r>
      <w:r w:rsidRPr="00D2064E">
        <w:rPr>
          <w:rFonts w:eastAsia="標楷體"/>
          <w:bCs/>
          <w:sz w:val="20"/>
        </w:rPr>
        <w:t>年至</w:t>
      </w:r>
      <w:r>
        <w:rPr>
          <w:rFonts w:eastAsia="標楷體" w:hint="eastAsia"/>
          <w:bCs/>
          <w:sz w:val="20"/>
        </w:rPr>
        <w:t>2070</w:t>
      </w:r>
      <w:r w:rsidRPr="00D2064E">
        <w:rPr>
          <w:rFonts w:eastAsia="標楷體"/>
          <w:bCs/>
          <w:sz w:val="20"/>
        </w:rPr>
        <w:t>年為</w:t>
      </w:r>
      <w:r>
        <w:rPr>
          <w:rFonts w:eastAsia="標楷體" w:hint="eastAsia"/>
          <w:bCs/>
          <w:sz w:val="20"/>
        </w:rPr>
        <w:t>國家發展委員會</w:t>
      </w:r>
      <w:r w:rsidRPr="00D2064E">
        <w:rPr>
          <w:rFonts w:eastAsia="標楷體"/>
          <w:bCs/>
          <w:sz w:val="20"/>
        </w:rPr>
        <w:t>「中華民國人口</w:t>
      </w:r>
      <w:r>
        <w:rPr>
          <w:rFonts w:eastAsia="標楷體" w:hint="eastAsia"/>
          <w:bCs/>
          <w:sz w:val="20"/>
        </w:rPr>
        <w:t>推估</w:t>
      </w:r>
      <w:r>
        <w:rPr>
          <w:rFonts w:eastAsia="標楷體" w:hint="eastAsia"/>
          <w:bCs/>
          <w:sz w:val="20"/>
        </w:rPr>
        <w:t>(2020</w:t>
      </w:r>
      <w:r>
        <w:rPr>
          <w:rFonts w:eastAsia="標楷體" w:hint="eastAsia"/>
          <w:bCs/>
          <w:sz w:val="20"/>
        </w:rPr>
        <w:t>至</w:t>
      </w:r>
      <w:r>
        <w:rPr>
          <w:rFonts w:eastAsia="標楷體" w:hint="eastAsia"/>
          <w:bCs/>
          <w:sz w:val="20"/>
        </w:rPr>
        <w:t>2070</w:t>
      </w:r>
      <w:r>
        <w:rPr>
          <w:rFonts w:eastAsia="標楷體" w:hint="eastAsia"/>
          <w:bCs/>
          <w:sz w:val="20"/>
        </w:rPr>
        <w:t>年</w:t>
      </w:r>
      <w:r>
        <w:rPr>
          <w:rFonts w:eastAsia="標楷體" w:hint="eastAsia"/>
          <w:bCs/>
          <w:sz w:val="20"/>
        </w:rPr>
        <w:t>)</w:t>
      </w:r>
      <w:r w:rsidRPr="00D2064E">
        <w:rPr>
          <w:rFonts w:eastAsia="標楷體"/>
          <w:bCs/>
          <w:sz w:val="20"/>
        </w:rPr>
        <w:t>」。</w:t>
      </w:r>
    </w:p>
    <w:p w14:paraId="03A6CDBC" w14:textId="35194202" w:rsidR="00C12FE0" w:rsidRPr="00CF4F8B" w:rsidRDefault="00C12FE0" w:rsidP="00295010">
      <w:pPr>
        <w:overflowPunct w:val="0"/>
        <w:snapToGrid w:val="0"/>
        <w:spacing w:line="360" w:lineRule="auto"/>
        <w:ind w:leftChars="200" w:left="480"/>
        <w:jc w:val="center"/>
        <w:rPr>
          <w:rFonts w:ascii="Times New Roman" w:eastAsia="標楷體" w:hAnsi="Times New Roman" w:cs="Times New Roman"/>
          <w:color w:val="000000" w:themeColor="text1"/>
          <w:sz w:val="28"/>
          <w:szCs w:val="28"/>
        </w:rPr>
      </w:pPr>
      <w:r w:rsidRPr="00CF4F8B">
        <w:rPr>
          <w:rFonts w:ascii="Times New Roman" w:eastAsia="標楷體" w:hAnsi="Times New Roman" w:cs="Times New Roman"/>
          <w:color w:val="000000" w:themeColor="text1"/>
          <w:sz w:val="28"/>
          <w:szCs w:val="28"/>
        </w:rPr>
        <w:t>圖</w:t>
      </w:r>
      <w:r w:rsidR="009009A1">
        <w:rPr>
          <w:rFonts w:ascii="Times New Roman" w:eastAsia="標楷體" w:hAnsi="Times New Roman" w:cs="Times New Roman"/>
          <w:color w:val="000000" w:themeColor="text1"/>
          <w:sz w:val="28"/>
          <w:szCs w:val="28"/>
        </w:rPr>
        <w:t>2</w:t>
      </w:r>
      <w:r w:rsidRPr="00CF4F8B">
        <w:rPr>
          <w:rFonts w:ascii="Times New Roman" w:eastAsia="標楷體" w:hAnsi="Times New Roman" w:cs="Times New Roman"/>
          <w:color w:val="000000" w:themeColor="text1"/>
          <w:sz w:val="28"/>
          <w:szCs w:val="28"/>
        </w:rPr>
        <w:t>：臺灣</w:t>
      </w:r>
      <w:r w:rsidRPr="00CF4F8B">
        <w:rPr>
          <w:rFonts w:ascii="Times New Roman" w:eastAsia="標楷體" w:hAnsi="Times New Roman" w:cs="Times New Roman"/>
          <w:color w:val="000000" w:themeColor="text1"/>
          <w:sz w:val="28"/>
          <w:szCs w:val="28"/>
        </w:rPr>
        <w:t>65</w:t>
      </w:r>
      <w:r w:rsidRPr="00CF4F8B">
        <w:rPr>
          <w:rFonts w:ascii="Times New Roman" w:eastAsia="標楷體" w:hAnsi="Times New Roman" w:cs="Times New Roman"/>
          <w:color w:val="000000" w:themeColor="text1"/>
          <w:sz w:val="28"/>
          <w:szCs w:val="28"/>
        </w:rPr>
        <w:t>歲以上人口占總人口比率</w:t>
      </w:r>
    </w:p>
    <w:p w14:paraId="312F63DD" w14:textId="77777777" w:rsidR="00F32767" w:rsidRDefault="00833CA5" w:rsidP="00073DE8">
      <w:pPr>
        <w:pStyle w:val="a3"/>
        <w:numPr>
          <w:ilvl w:val="0"/>
          <w:numId w:val="1"/>
        </w:numPr>
        <w:overflowPunct w:val="0"/>
        <w:spacing w:line="500" w:lineRule="exact"/>
        <w:ind w:leftChars="0" w:left="709" w:hanging="709"/>
        <w:jc w:val="both"/>
        <w:rPr>
          <w:rFonts w:ascii="Times New Roman" w:eastAsia="標楷體" w:hAnsi="Times New Roman" w:cs="Times New Roman"/>
          <w:bCs/>
          <w:color w:val="000000" w:themeColor="text1"/>
          <w:sz w:val="28"/>
          <w:szCs w:val="28"/>
        </w:rPr>
      </w:pPr>
      <w:proofErr w:type="gramStart"/>
      <w:r w:rsidRPr="00F32767">
        <w:rPr>
          <w:rFonts w:ascii="Times New Roman" w:eastAsia="標楷體" w:hAnsi="Times New Roman" w:cs="Times New Roman"/>
          <w:bCs/>
          <w:color w:val="000000" w:themeColor="text1"/>
          <w:sz w:val="28"/>
          <w:szCs w:val="28"/>
        </w:rPr>
        <w:t>平均餘命</w:t>
      </w:r>
      <w:r w:rsidR="000B1F87" w:rsidRPr="00F32767">
        <w:rPr>
          <w:rFonts w:ascii="Times New Roman" w:eastAsia="標楷體" w:hAnsi="Times New Roman" w:cs="Times New Roman"/>
          <w:bCs/>
          <w:color w:val="000000" w:themeColor="text1"/>
          <w:sz w:val="28"/>
          <w:szCs w:val="28"/>
        </w:rPr>
        <w:t>不斷</w:t>
      </w:r>
      <w:proofErr w:type="gramEnd"/>
      <w:r w:rsidRPr="00F32767">
        <w:rPr>
          <w:rFonts w:ascii="Times New Roman" w:eastAsia="標楷體" w:hAnsi="Times New Roman" w:cs="Times New Roman"/>
          <w:bCs/>
          <w:color w:val="000000" w:themeColor="text1"/>
          <w:sz w:val="28"/>
          <w:szCs w:val="28"/>
        </w:rPr>
        <w:t>延長</w:t>
      </w:r>
    </w:p>
    <w:p w14:paraId="0216E277" w14:textId="3AAD1662" w:rsidR="00AE0A84" w:rsidRDefault="00326DFE" w:rsidP="00032A00">
      <w:pPr>
        <w:overflowPunct w:val="0"/>
        <w:snapToGrid w:val="0"/>
        <w:spacing w:beforeLines="50" w:before="180" w:line="500" w:lineRule="exact"/>
        <w:ind w:leftChars="200" w:left="480" w:firstLineChars="183" w:firstLine="512"/>
        <w:jc w:val="both"/>
        <w:rPr>
          <w:rFonts w:ascii="Times New Roman" w:eastAsia="標楷體" w:hAnsi="Times New Roman" w:cs="Times New Roman"/>
          <w:bCs/>
          <w:color w:val="000000" w:themeColor="text1"/>
          <w:sz w:val="28"/>
          <w:szCs w:val="28"/>
        </w:rPr>
      </w:pPr>
      <w:r w:rsidRPr="00073DE8">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299101C1" wp14:editId="77B433CA">
                <wp:simplePos x="0" y="0"/>
                <wp:positionH relativeFrom="column">
                  <wp:posOffset>5298659</wp:posOffset>
                </wp:positionH>
                <wp:positionV relativeFrom="paragraph">
                  <wp:posOffset>1908404</wp:posOffset>
                </wp:positionV>
                <wp:extent cx="0" cy="381000"/>
                <wp:effectExtent l="95250" t="38100" r="171450" b="171450"/>
                <wp:wrapNone/>
                <wp:docPr id="9" name="直線單箭頭接點 9"/>
                <wp:cNvGraphicFramePr/>
                <a:graphic xmlns:a="http://schemas.openxmlformats.org/drawingml/2006/main">
                  <a:graphicData uri="http://schemas.microsoft.com/office/word/2010/wordprocessingShape">
                    <wps:wsp>
                      <wps:cNvCnPr/>
                      <wps:spPr>
                        <a:xfrm>
                          <a:off x="0" y="0"/>
                          <a:ext cx="0" cy="381000"/>
                        </a:xfrm>
                        <a:prstGeom prst="straightConnector1">
                          <a:avLst/>
                        </a:prstGeom>
                        <a:ln w="28575">
                          <a:solidFill>
                            <a:schemeClr val="accent6">
                              <a:lumMod val="60000"/>
                              <a:lumOff val="40000"/>
                            </a:schemeClr>
                          </a:solidFill>
                          <a:headEnd type="triangle"/>
                          <a:tailEnd type="triangle"/>
                        </a:ln>
                        <a:effectLst>
                          <a:outerShdw blurRad="76200" dir="18900000" sy="23000" kx="-1200000" algn="bl" rotWithShape="0">
                            <a:prstClr val="black">
                              <a:alpha val="2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type w14:anchorId="35BB4757" id="_x0000_t32" coordsize="21600,21600" o:spt="32" o:oned="t" path="m,l21600,21600e" filled="f">
                <v:path arrowok="t" fillok="f" o:connecttype="none"/>
                <o:lock v:ext="edit" shapetype="t"/>
              </v:shapetype>
              <v:shape id="直線單箭頭接點 9" o:spid="_x0000_s1026" type="#_x0000_t32" style="position:absolute;margin-left:417.2pt;margin-top:150.25pt;width:0;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GIVQIAACQFAAAOAAAAZHJzL2Uyb0RvYy54bWysVE1v2zAMvQ/YfxB0b2wna5oFcXpI1132&#10;UbQbdlYk2RYqS4KkxMm/H0U7TroVGzDsIksUH/n4SHl1e2g12UsflDUlLSY5JdJwK5SpS/r92/3V&#10;gpIQmRFMWyNLepSB3q7fvll1bimntrFaSE8giAnLzpW0idEtsyzwRrYsTKyTBi4r61sW4ejrTHjW&#10;QfRWZ9M8n2ed9cJ5y2UIYL3rL+ka41eV5PFrVQUZiS4pcIu4ely3ac3WK7asPXON4gMN9g8sWqYM&#10;JB1D3bHIyM6r30K1insbbBUn3LaZrSrFJdYA1RT5L9U8NcxJrAXECW6UKfy/sPzLfmMePMjQubAM&#10;7sGnKg6Vb9MX+JEDinUcxZKHSHhv5GCdLYo8Rx2zM875ED9K25K0KWmInqm6iRtrDHTE+gK1YvtP&#10;IUJmAJ4AKak2pCvpdHF9c41uwWol7pXW6RIHQ260J3sGLWWcSxPn6Kd37WcrevscOA3NBTOMQG9+&#10;dzJDyjESEniRpJFMfDCCxKODkY1eMVNr2c9KZEq/fgcxtUkcJc4d1IYS7qL0T43oyFbv/CMTJb2Z&#10;w+RSIhTMYbF4nzjBMYCY0xlun0HeqwKc8MR0DU9rqynxNv5QscGxSP1I8ZNyoxxbzfhzr612DeuL&#10;xjiJ/KAzeOPenpjh6YJ0dh4F3MWjlimVNo+yIkoAuxkmGSV82Yw+FXonWAWtG4E96T8CB/8E7UmN&#10;4Onfs44IzGxNHMGtMta/FiAeikGdqvcHPS7qTtutFUd8JHgBTxElG34b6a1fnhF+/rmtfwIAAP//&#10;AwBQSwMEFAAGAAgAAAAhAGVomDnaAAAACwEAAA8AAABkcnMvZG93bnJldi54bWxMj0FPwzAMhe9I&#10;/IfISNxYwjbGVJpOCGlnYIN72pi2rHGiJGvLv8eIAxz9/Pz8vXI3u0GMGFPvScPtQoFAarztqdXw&#10;dtzfbEGkbMiawRNq+MIEu+ryojSF9RO94njIreAQSoXR0OUcCilT06EzaeEDEu8+fHQm8xhbaaOZ&#10;ONwNcqnURjrTE3/oTMCnDpvT4ewYYwoy3H/ic6zbl/17WJ7G0Citr6/mxwcQGef8Z4YffL6Biplq&#10;fyabxKBhu1qv2aphpdQdCHb8KjUrG1ZkVcr/HapvAAAA//8DAFBLAQItABQABgAIAAAAIQC2gziS&#10;/gAAAOEBAAATAAAAAAAAAAAAAAAAAAAAAABbQ29udGVudF9UeXBlc10ueG1sUEsBAi0AFAAGAAgA&#10;AAAhADj9If/WAAAAlAEAAAsAAAAAAAAAAAAAAAAALwEAAF9yZWxzLy5yZWxzUEsBAi0AFAAGAAgA&#10;AAAhAJutQYhVAgAAJAUAAA4AAAAAAAAAAAAAAAAALgIAAGRycy9lMm9Eb2MueG1sUEsBAi0AFAAG&#10;AAgAAAAhAGVomDnaAAAACwEAAA8AAAAAAAAAAAAAAAAArwQAAGRycy9kb3ducmV2LnhtbFBLBQYA&#10;AAAABAAEAPMAAAC2BQAAAAA=&#10;" strokecolor="#fabf8f [1945]" strokeweight="2.25pt">
                <v:stroke startarrow="block" endarrow="block"/>
                <v:shadow on="t" type="perspective" color="black" opacity="13107f" origin="-.5,.5" offset="0,0" matrix=",-23853f,,15073f"/>
              </v:shape>
            </w:pict>
          </mc:Fallback>
        </mc:AlternateContent>
      </w:r>
      <w:r w:rsidRPr="00073DE8">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17FCCCD0" wp14:editId="4C53DC3E">
                <wp:simplePos x="0" y="0"/>
                <wp:positionH relativeFrom="column">
                  <wp:posOffset>5249970</wp:posOffset>
                </wp:positionH>
                <wp:positionV relativeFrom="paragraph">
                  <wp:posOffset>1761817</wp:posOffset>
                </wp:positionV>
                <wp:extent cx="1457325" cy="5715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457325" cy="571500"/>
                        </a:xfrm>
                        <a:prstGeom prst="rect">
                          <a:avLst/>
                        </a:prstGeom>
                        <a:noFill/>
                        <a:ln w="6350">
                          <a:noFill/>
                        </a:ln>
                      </wps:spPr>
                      <wps:txbx>
                        <w:txbxContent>
                          <w:p w14:paraId="0D0F2AF7" w14:textId="77777777" w:rsidR="00073DE8" w:rsidRPr="00C4212E" w:rsidRDefault="00073DE8" w:rsidP="00073DE8">
                            <w:pPr>
                              <w:rPr>
                                <w:rFonts w:ascii="華康歐陽詢體W5" w:eastAsia="華康歐陽詢體W5"/>
                                <w:color w:val="F79646" w:themeColor="accent6"/>
                                <w:sz w:val="36"/>
                              </w:rPr>
                            </w:pPr>
                            <w:r w:rsidRPr="00C4212E">
                              <w:rPr>
                                <w:rFonts w:ascii="華康歐陽詢體W5" w:eastAsia="華康歐陽詢體W5" w:hint="eastAsia"/>
                                <w:color w:val="F79646" w:themeColor="accent6"/>
                                <w:sz w:val="36"/>
                              </w:rPr>
                              <w:t>不</w:t>
                            </w:r>
                            <w:proofErr w:type="gramStart"/>
                            <w:r w:rsidRPr="00C4212E">
                              <w:rPr>
                                <w:rFonts w:ascii="華康歐陽詢體W5" w:eastAsia="華康歐陽詢體W5" w:hint="eastAsia"/>
                                <w:color w:val="F79646" w:themeColor="accent6"/>
                                <w:sz w:val="36"/>
                              </w:rPr>
                              <w:t>健康餘命</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CCCD0" id="_x0000_t202" coordsize="21600,21600" o:spt="202" path="m,l,21600r21600,l21600,xe">
                <v:stroke joinstyle="miter"/>
                <v:path gradientshapeok="t" o:connecttype="rect"/>
              </v:shapetype>
              <v:shape id="文字方塊 3" o:spid="_x0000_s1026" type="#_x0000_t202" style="position:absolute;left:0;text-align:left;margin-left:413.4pt;margin-top:138.75pt;width:114.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DmFQIAACwEAAAOAAAAZHJzL2Uyb0RvYy54bWysU11v2yAUfZ+0/4B4X+ykSbtZcaqsVaZJ&#10;UVspnfpMMMSWgMuAxM5+/S7Y+VC3p2kv+OL7fc5hft9pRQ7C+QZMScejnBJhOFSN2ZX0x+vq02dK&#10;fGCmYgqMKOlReHq/+Phh3tpCTKAGVQlHsIjxRWtLWodgiyzzvBaa+RFYYdApwWkW8Op2WeVYi9W1&#10;yiZ5fpu14CrrgAvv8e9j76SLVF9KwcOzlF4EokqKs4V0unRu45kt5qzYOWbrhg9jsH+YQrPGYNNz&#10;qUcWGNm75o9SuuEOPMgw4qAzkLLhIu2A24zzd9tsamZF2gXB8fYMk/9/ZfnTYWNfHAndV+iQwAhI&#10;a33h8Wfcp5NOxy9OStCPEB7PsIkuEB6TprO7m8mMEo6+2d14lidcs0u2dT58E6BJNErqkJaEFjus&#10;fcCOGHoKic0MrBqlEjXKkLaktzezPCWcPZihDCZeZo1W6LbdsMAWqiPu5aCn3Fu+arD5mvnwwhxy&#10;jKugbsMzHlIBNoHBoqQG9+tv/2M8Qo9eSlrUTEn9zz1zghL13SApX8bTaRRZuiAoE7y4a8/22mP2&#10;+gFQlmN8IZYnM8YHdTKlA/2G8l7GruhihmPvkoaT+RB6JePz4GK5TEEoK8vC2mwsj6UjnBHa1+6N&#10;OTvgH5C5JzipixXvaOhjeyKW+wCySRxFgHtUB9xRkom64flEzV/fU9TlkS9+AwAA//8DAFBLAwQU&#10;AAYACAAAACEAW0PUTuIAAAAMAQAADwAAAGRycy9kb3ducmV2LnhtbEyPQU+DQBCF7yb+h82YeLOL&#10;NFCCLE1D0pgYPbT24m1gp0BkZ5Hdtuivd3vS47x5ee97xXo2gzjT5HrLCh4XEQjixuqeWwWH9+1D&#10;BsJ5ZI2DZVLwTQ7W5e1Ngbm2F97Ree9bEULY5aig837MpXRNRwbdwo7E4Xe0k0EfzqmVesJLCDeD&#10;jKMolQZ7Dg0djlR11HzuT0bBS7V9w10dm+xnqJ5fj5vx6/CRKHV/N2+eQHia/Z8ZrvgBHcrAVNsT&#10;aycGBVmcBnSvIF6tEhBXR5SkSxC1gmUaJFkW8v+I8hcAAP//AwBQSwECLQAUAAYACAAAACEAtoM4&#10;kv4AAADhAQAAEwAAAAAAAAAAAAAAAAAAAAAAW0NvbnRlbnRfVHlwZXNdLnhtbFBLAQItABQABgAI&#10;AAAAIQA4/SH/1gAAAJQBAAALAAAAAAAAAAAAAAAAAC8BAABfcmVscy8ucmVsc1BLAQItABQABgAI&#10;AAAAIQBFTRDmFQIAACwEAAAOAAAAAAAAAAAAAAAAAC4CAABkcnMvZTJvRG9jLnhtbFBLAQItABQA&#10;BgAIAAAAIQBbQ9RO4gAAAAwBAAAPAAAAAAAAAAAAAAAAAG8EAABkcnMvZG93bnJldi54bWxQSwUG&#10;AAAAAAQABADzAAAAfgUAAAAA&#10;" filled="f" stroked="f" strokeweight=".5pt">
                <v:textbox>
                  <w:txbxContent>
                    <w:p w14:paraId="0D0F2AF7" w14:textId="77777777" w:rsidR="00073DE8" w:rsidRPr="00C4212E" w:rsidRDefault="00073DE8" w:rsidP="00073DE8">
                      <w:pPr>
                        <w:rPr>
                          <w:rFonts w:ascii="華康歐陽詢體W5" w:eastAsia="華康歐陽詢體W5"/>
                          <w:color w:val="F79646" w:themeColor="accent6"/>
                          <w:sz w:val="36"/>
                        </w:rPr>
                      </w:pPr>
                      <w:r w:rsidRPr="00C4212E">
                        <w:rPr>
                          <w:rFonts w:ascii="華康歐陽詢體W5" w:eastAsia="華康歐陽詢體W5" w:hint="eastAsia"/>
                          <w:color w:val="F79646" w:themeColor="accent6"/>
                          <w:sz w:val="36"/>
                        </w:rPr>
                        <w:t>不</w:t>
                      </w:r>
                      <w:proofErr w:type="gramStart"/>
                      <w:r w:rsidRPr="00C4212E">
                        <w:rPr>
                          <w:rFonts w:ascii="華康歐陽詢體W5" w:eastAsia="華康歐陽詢體W5" w:hint="eastAsia"/>
                          <w:color w:val="F79646" w:themeColor="accent6"/>
                          <w:sz w:val="36"/>
                        </w:rPr>
                        <w:t>健康餘命</w:t>
                      </w:r>
                      <w:proofErr w:type="gramEnd"/>
                    </w:p>
                  </w:txbxContent>
                </v:textbox>
              </v:shape>
            </w:pict>
          </mc:Fallback>
        </mc:AlternateContent>
      </w:r>
      <w:r w:rsidR="00295010">
        <w:rPr>
          <w:rFonts w:ascii="標楷體" w:eastAsia="標楷體" w:hAnsi="標楷體"/>
          <w:noProof/>
        </w:rPr>
        <w:drawing>
          <wp:anchor distT="0" distB="0" distL="114300" distR="114300" simplePos="0" relativeHeight="251661312" behindDoc="0" locked="0" layoutInCell="1" allowOverlap="1" wp14:anchorId="2AC00E54" wp14:editId="44B24944">
            <wp:simplePos x="0" y="0"/>
            <wp:positionH relativeFrom="column">
              <wp:posOffset>260985</wp:posOffset>
            </wp:positionH>
            <wp:positionV relativeFrom="paragraph">
              <wp:posOffset>1122680</wp:posOffset>
            </wp:positionV>
            <wp:extent cx="6115050" cy="2600325"/>
            <wp:effectExtent l="0" t="0" r="0" b="9525"/>
            <wp:wrapTopAndBottom/>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E0A84" w:rsidRPr="00CF4F8B">
        <w:rPr>
          <w:rFonts w:ascii="Times New Roman" w:eastAsia="標楷體" w:hAnsi="Times New Roman" w:cs="Times New Roman"/>
          <w:bCs/>
          <w:color w:val="000000" w:themeColor="text1"/>
          <w:sz w:val="28"/>
          <w:szCs w:val="28"/>
        </w:rPr>
        <w:t>隨著醫藥技術進步及生活水準提高，</w:t>
      </w:r>
      <w:r w:rsidR="00F32767">
        <w:rPr>
          <w:rFonts w:ascii="Times New Roman" w:eastAsia="標楷體" w:hAnsi="Times New Roman" w:cs="Times New Roman" w:hint="eastAsia"/>
          <w:bCs/>
          <w:color w:val="000000" w:themeColor="text1"/>
          <w:sz w:val="28"/>
          <w:szCs w:val="28"/>
        </w:rPr>
        <w:t>國人</w:t>
      </w:r>
      <w:r w:rsidR="00AE0A84" w:rsidRPr="00CF4F8B">
        <w:rPr>
          <w:rFonts w:ascii="Times New Roman" w:eastAsia="標楷體" w:hAnsi="Times New Roman" w:cs="Times New Roman"/>
          <w:bCs/>
          <w:color w:val="000000" w:themeColor="text1"/>
          <w:sz w:val="28"/>
          <w:szCs w:val="28"/>
        </w:rPr>
        <w:t>平均壽命逐漸延長（詳圖</w:t>
      </w:r>
      <w:r w:rsidR="009009A1">
        <w:rPr>
          <w:rFonts w:ascii="Times New Roman" w:eastAsia="標楷體" w:hAnsi="Times New Roman" w:cs="Times New Roman" w:hint="eastAsia"/>
          <w:bCs/>
          <w:color w:val="000000" w:themeColor="text1"/>
          <w:sz w:val="28"/>
          <w:szCs w:val="28"/>
        </w:rPr>
        <w:t>3</w:t>
      </w:r>
      <w:r w:rsidR="00073DE8">
        <w:rPr>
          <w:rFonts w:ascii="Times New Roman" w:eastAsia="標楷體" w:hAnsi="Times New Roman" w:cs="Times New Roman"/>
          <w:bCs/>
          <w:color w:val="000000" w:themeColor="text1"/>
          <w:sz w:val="28"/>
          <w:szCs w:val="28"/>
        </w:rPr>
        <w:t>），根據</w:t>
      </w:r>
      <w:r w:rsidR="00073DE8">
        <w:rPr>
          <w:rFonts w:ascii="Times New Roman" w:eastAsia="標楷體" w:hAnsi="Times New Roman" w:cs="Times New Roman" w:hint="eastAsia"/>
          <w:bCs/>
          <w:color w:val="000000" w:themeColor="text1"/>
          <w:sz w:val="28"/>
          <w:szCs w:val="28"/>
        </w:rPr>
        <w:t>統計</w:t>
      </w:r>
      <w:r w:rsidR="00073DE8">
        <w:rPr>
          <w:rFonts w:ascii="Times New Roman" w:eastAsia="標楷體" w:hAnsi="Times New Roman" w:cs="Times New Roman" w:hint="eastAsia"/>
          <w:bCs/>
          <w:color w:val="000000" w:themeColor="text1"/>
          <w:sz w:val="28"/>
          <w:szCs w:val="28"/>
        </w:rPr>
        <w:t>201</w:t>
      </w:r>
      <w:r w:rsidR="00BE21A6">
        <w:rPr>
          <w:rFonts w:ascii="Times New Roman" w:eastAsia="標楷體" w:hAnsi="Times New Roman" w:cs="Times New Roman" w:hint="eastAsia"/>
          <w:bCs/>
          <w:color w:val="000000" w:themeColor="text1"/>
          <w:sz w:val="28"/>
          <w:szCs w:val="28"/>
        </w:rPr>
        <w:t>9</w:t>
      </w:r>
      <w:r w:rsidR="00073DE8">
        <w:rPr>
          <w:rFonts w:ascii="Times New Roman" w:eastAsia="標楷體" w:hAnsi="Times New Roman" w:cs="Times New Roman" w:hint="eastAsia"/>
          <w:bCs/>
          <w:color w:val="000000" w:themeColor="text1"/>
          <w:sz w:val="28"/>
          <w:szCs w:val="28"/>
        </w:rPr>
        <w:t>年國人</w:t>
      </w:r>
      <w:proofErr w:type="gramStart"/>
      <w:r w:rsidR="00073DE8">
        <w:rPr>
          <w:rFonts w:ascii="Times New Roman" w:eastAsia="標楷體" w:hAnsi="Times New Roman" w:cs="Times New Roman" w:hint="eastAsia"/>
          <w:bCs/>
          <w:color w:val="000000" w:themeColor="text1"/>
          <w:sz w:val="28"/>
          <w:szCs w:val="28"/>
        </w:rPr>
        <w:t>平均餘命與</w:t>
      </w:r>
      <w:proofErr w:type="gramEnd"/>
      <w:r w:rsidR="00073DE8">
        <w:rPr>
          <w:rFonts w:ascii="Times New Roman" w:eastAsia="標楷體" w:hAnsi="Times New Roman" w:cs="Times New Roman" w:hint="eastAsia"/>
          <w:bCs/>
          <w:color w:val="000000" w:themeColor="text1"/>
          <w:sz w:val="28"/>
          <w:szCs w:val="28"/>
        </w:rPr>
        <w:t>平均</w:t>
      </w:r>
      <w:proofErr w:type="gramStart"/>
      <w:r w:rsidR="00073DE8">
        <w:rPr>
          <w:rFonts w:ascii="Times New Roman" w:eastAsia="標楷體" w:hAnsi="Times New Roman" w:cs="Times New Roman" w:hint="eastAsia"/>
          <w:bCs/>
          <w:color w:val="000000" w:themeColor="text1"/>
          <w:sz w:val="28"/>
          <w:szCs w:val="28"/>
        </w:rPr>
        <w:t>健康餘命</w:t>
      </w:r>
      <w:proofErr w:type="gramEnd"/>
      <w:r w:rsidR="00073DE8">
        <w:rPr>
          <w:rFonts w:ascii="Times New Roman" w:eastAsia="標楷體" w:hAnsi="Times New Roman" w:cs="Times New Roman" w:hint="eastAsia"/>
          <w:bCs/>
          <w:color w:val="000000" w:themeColor="text1"/>
          <w:sz w:val="28"/>
          <w:szCs w:val="28"/>
        </w:rPr>
        <w:t>的差距達</w:t>
      </w:r>
      <w:r w:rsidR="00073DE8">
        <w:rPr>
          <w:rFonts w:ascii="Times New Roman" w:eastAsia="標楷體" w:hAnsi="Times New Roman" w:cs="Times New Roman" w:hint="eastAsia"/>
          <w:bCs/>
          <w:color w:val="000000" w:themeColor="text1"/>
          <w:sz w:val="28"/>
          <w:szCs w:val="28"/>
        </w:rPr>
        <w:t>8.</w:t>
      </w:r>
      <w:r w:rsidR="00BE21A6">
        <w:rPr>
          <w:rFonts w:ascii="Times New Roman" w:eastAsia="標楷體" w:hAnsi="Times New Roman" w:cs="Times New Roman" w:hint="eastAsia"/>
          <w:bCs/>
          <w:color w:val="000000" w:themeColor="text1"/>
          <w:sz w:val="28"/>
          <w:szCs w:val="28"/>
        </w:rPr>
        <w:t>5</w:t>
      </w:r>
      <w:r w:rsidR="00073DE8">
        <w:rPr>
          <w:rFonts w:ascii="Times New Roman" w:eastAsia="標楷體" w:hAnsi="Times New Roman" w:cs="Times New Roman" w:hint="eastAsia"/>
          <w:bCs/>
          <w:color w:val="000000" w:themeColor="text1"/>
          <w:sz w:val="28"/>
          <w:szCs w:val="28"/>
        </w:rPr>
        <w:t>年，</w:t>
      </w:r>
      <w:proofErr w:type="gramStart"/>
      <w:r w:rsidR="00073DE8">
        <w:rPr>
          <w:rFonts w:ascii="Times New Roman" w:eastAsia="標楷體" w:hAnsi="Times New Roman" w:cs="Times New Roman" w:hint="eastAsia"/>
          <w:bCs/>
          <w:color w:val="000000" w:themeColor="text1"/>
          <w:sz w:val="28"/>
          <w:szCs w:val="28"/>
        </w:rPr>
        <w:t>凸</w:t>
      </w:r>
      <w:proofErr w:type="gramEnd"/>
      <w:r w:rsidR="00073DE8">
        <w:rPr>
          <w:rFonts w:ascii="Times New Roman" w:eastAsia="標楷體" w:hAnsi="Times New Roman" w:cs="Times New Roman" w:hint="eastAsia"/>
          <w:bCs/>
          <w:color w:val="000000" w:themeColor="text1"/>
          <w:sz w:val="28"/>
          <w:szCs w:val="28"/>
        </w:rPr>
        <w:t>顯</w:t>
      </w:r>
      <w:r w:rsidR="00073DE8" w:rsidRPr="00073DE8">
        <w:rPr>
          <w:rFonts w:ascii="Times New Roman" w:eastAsia="標楷體" w:hAnsi="Times New Roman" w:cs="Times New Roman" w:hint="eastAsia"/>
          <w:bCs/>
          <w:color w:val="000000" w:themeColor="text1"/>
          <w:sz w:val="28"/>
          <w:szCs w:val="28"/>
        </w:rPr>
        <w:t>醫療、長期照顧的需求和重要性</w:t>
      </w:r>
      <w:r w:rsidR="00AE0A84" w:rsidRPr="00CF4F8B">
        <w:rPr>
          <w:rFonts w:ascii="Times New Roman" w:eastAsia="標楷體" w:hAnsi="Times New Roman" w:cs="Times New Roman"/>
          <w:bCs/>
          <w:color w:val="000000" w:themeColor="text1"/>
          <w:sz w:val="28"/>
          <w:szCs w:val="28"/>
        </w:rPr>
        <w:t>。</w:t>
      </w:r>
    </w:p>
    <w:p w14:paraId="42FAA627" w14:textId="77777777" w:rsidR="00073DE8" w:rsidRPr="00CF4F8B" w:rsidRDefault="00073DE8" w:rsidP="00073DE8">
      <w:pPr>
        <w:overflowPunct w:val="0"/>
        <w:snapToGrid w:val="0"/>
        <w:spacing w:beforeLines="50" w:before="180" w:line="360" w:lineRule="auto"/>
        <w:ind w:leftChars="200" w:left="480"/>
        <w:jc w:val="center"/>
        <w:rPr>
          <w:rFonts w:ascii="Times New Roman" w:eastAsia="標楷體" w:hAnsi="Times New Roman" w:cs="Times New Roman"/>
          <w:color w:val="000000" w:themeColor="text1"/>
          <w:sz w:val="28"/>
          <w:szCs w:val="28"/>
        </w:rPr>
      </w:pPr>
      <w:r w:rsidRPr="00D2064E">
        <w:rPr>
          <w:rFonts w:eastAsia="標楷體"/>
          <w:bCs/>
          <w:sz w:val="20"/>
        </w:rPr>
        <w:t>資料來源：</w:t>
      </w:r>
      <w:r w:rsidRPr="00D2064E">
        <w:rPr>
          <w:rFonts w:eastAsia="標楷體"/>
          <w:bCs/>
          <w:sz w:val="20"/>
        </w:rPr>
        <w:t>1.</w:t>
      </w:r>
      <w:r w:rsidRPr="00D2064E">
        <w:rPr>
          <w:rFonts w:eastAsia="標楷體" w:hint="eastAsia"/>
          <w:bCs/>
          <w:sz w:val="20"/>
        </w:rPr>
        <w:t xml:space="preserve"> </w:t>
      </w:r>
      <w:proofErr w:type="gramStart"/>
      <w:r>
        <w:rPr>
          <w:rFonts w:eastAsia="標楷體" w:hint="eastAsia"/>
          <w:bCs/>
          <w:sz w:val="20"/>
        </w:rPr>
        <w:t>平均餘命</w:t>
      </w:r>
      <w:proofErr w:type="gramEnd"/>
      <w:r>
        <w:rPr>
          <w:rFonts w:eastAsia="標楷體" w:hint="eastAsia"/>
          <w:bCs/>
          <w:sz w:val="20"/>
        </w:rPr>
        <w:t>：內政部。</w:t>
      </w:r>
      <w:r w:rsidRPr="00B578D0">
        <w:rPr>
          <w:rFonts w:eastAsia="標楷體"/>
          <w:bCs/>
          <w:sz w:val="20"/>
        </w:rPr>
        <w:t>2.</w:t>
      </w:r>
      <w:r>
        <w:rPr>
          <w:rFonts w:eastAsia="標楷體" w:hint="eastAsia"/>
          <w:bCs/>
          <w:sz w:val="20"/>
        </w:rPr>
        <w:t>平均</w:t>
      </w:r>
      <w:proofErr w:type="gramStart"/>
      <w:r>
        <w:rPr>
          <w:rFonts w:eastAsia="標楷體" w:hint="eastAsia"/>
          <w:bCs/>
          <w:sz w:val="20"/>
        </w:rPr>
        <w:t>健康餘命</w:t>
      </w:r>
      <w:proofErr w:type="gramEnd"/>
      <w:r>
        <w:rPr>
          <w:rFonts w:eastAsia="標楷體" w:hint="eastAsia"/>
          <w:bCs/>
          <w:sz w:val="20"/>
        </w:rPr>
        <w:t>：</w:t>
      </w:r>
      <w:proofErr w:type="gramStart"/>
      <w:r>
        <w:rPr>
          <w:rFonts w:eastAsia="標楷體" w:hint="eastAsia"/>
          <w:bCs/>
          <w:sz w:val="20"/>
        </w:rPr>
        <w:t>衛福部</w:t>
      </w:r>
      <w:proofErr w:type="gramEnd"/>
      <w:r w:rsidRPr="00B578D0">
        <w:rPr>
          <w:rFonts w:eastAsia="標楷體"/>
          <w:bCs/>
          <w:sz w:val="20"/>
        </w:rPr>
        <w:t>。</w:t>
      </w:r>
    </w:p>
    <w:p w14:paraId="24C5057B" w14:textId="4ED55FFB" w:rsidR="00306737" w:rsidRDefault="00306737" w:rsidP="009776F4">
      <w:pPr>
        <w:overflowPunct w:val="0"/>
        <w:snapToGrid w:val="0"/>
        <w:spacing w:line="360" w:lineRule="auto"/>
        <w:ind w:leftChars="200" w:left="480"/>
        <w:jc w:val="center"/>
        <w:rPr>
          <w:rFonts w:ascii="Times New Roman" w:eastAsia="標楷體" w:hAnsi="Times New Roman" w:cs="Times New Roman"/>
          <w:color w:val="000000" w:themeColor="text1"/>
          <w:sz w:val="28"/>
          <w:szCs w:val="28"/>
        </w:rPr>
      </w:pPr>
      <w:r w:rsidRPr="00CF4F8B">
        <w:rPr>
          <w:rFonts w:ascii="Times New Roman" w:eastAsia="標楷體" w:hAnsi="Times New Roman" w:cs="Times New Roman"/>
          <w:color w:val="000000" w:themeColor="text1"/>
          <w:sz w:val="28"/>
          <w:szCs w:val="28"/>
        </w:rPr>
        <w:t>圖</w:t>
      </w:r>
      <w:r w:rsidR="009009A1">
        <w:rPr>
          <w:rFonts w:ascii="Times New Roman" w:eastAsia="標楷體" w:hAnsi="Times New Roman" w:cs="Times New Roman" w:hint="eastAsia"/>
          <w:color w:val="000000" w:themeColor="text1"/>
          <w:sz w:val="28"/>
          <w:szCs w:val="28"/>
        </w:rPr>
        <w:t>3</w:t>
      </w:r>
      <w:r w:rsidRPr="00CF4F8B">
        <w:rPr>
          <w:rFonts w:ascii="Times New Roman" w:eastAsia="標楷體" w:hAnsi="Times New Roman" w:cs="Times New Roman"/>
          <w:color w:val="000000" w:themeColor="text1"/>
          <w:sz w:val="28"/>
          <w:szCs w:val="28"/>
        </w:rPr>
        <w:t>：</w:t>
      </w:r>
      <w:r w:rsidR="0017522C" w:rsidRPr="00CF4F8B">
        <w:rPr>
          <w:rFonts w:ascii="Times New Roman" w:eastAsia="標楷體" w:hAnsi="Times New Roman" w:cs="Times New Roman"/>
          <w:color w:val="000000" w:themeColor="text1"/>
          <w:sz w:val="28"/>
          <w:szCs w:val="28"/>
        </w:rPr>
        <w:t>歷年</w:t>
      </w:r>
      <w:r w:rsidR="00073DE8">
        <w:rPr>
          <w:rFonts w:ascii="Times New Roman" w:eastAsia="標楷體" w:hAnsi="Times New Roman" w:cs="Times New Roman" w:hint="eastAsia"/>
          <w:color w:val="000000" w:themeColor="text1"/>
          <w:sz w:val="28"/>
          <w:szCs w:val="28"/>
        </w:rPr>
        <w:t>國人</w:t>
      </w:r>
      <w:proofErr w:type="gramStart"/>
      <w:r w:rsidRPr="00CF4F8B">
        <w:rPr>
          <w:rFonts w:ascii="Times New Roman" w:eastAsia="標楷體" w:hAnsi="Times New Roman" w:cs="Times New Roman"/>
          <w:color w:val="000000" w:themeColor="text1"/>
          <w:sz w:val="28"/>
          <w:szCs w:val="28"/>
        </w:rPr>
        <w:t>平均餘命</w:t>
      </w:r>
      <w:r w:rsidR="00073DE8">
        <w:rPr>
          <w:rFonts w:ascii="Times New Roman" w:eastAsia="標楷體" w:hAnsi="Times New Roman" w:cs="Times New Roman" w:hint="eastAsia"/>
          <w:color w:val="000000" w:themeColor="text1"/>
          <w:sz w:val="28"/>
          <w:szCs w:val="28"/>
        </w:rPr>
        <w:t>與</w:t>
      </w:r>
      <w:proofErr w:type="gramEnd"/>
      <w:r w:rsidR="00073DE8">
        <w:rPr>
          <w:rFonts w:ascii="Times New Roman" w:eastAsia="標楷體" w:hAnsi="Times New Roman" w:cs="Times New Roman" w:hint="eastAsia"/>
          <w:color w:val="000000" w:themeColor="text1"/>
          <w:sz w:val="28"/>
          <w:szCs w:val="28"/>
        </w:rPr>
        <w:t>平均</w:t>
      </w:r>
      <w:proofErr w:type="gramStart"/>
      <w:r w:rsidR="00073DE8">
        <w:rPr>
          <w:rFonts w:ascii="Times New Roman" w:eastAsia="標楷體" w:hAnsi="Times New Roman" w:cs="Times New Roman" w:hint="eastAsia"/>
          <w:color w:val="000000" w:themeColor="text1"/>
          <w:sz w:val="28"/>
          <w:szCs w:val="28"/>
        </w:rPr>
        <w:t>健康餘命</w:t>
      </w:r>
      <w:proofErr w:type="gramEnd"/>
    </w:p>
    <w:p w14:paraId="35700BF6" w14:textId="77777777" w:rsidR="005D7908" w:rsidRPr="00CF4F8B" w:rsidRDefault="005D7908" w:rsidP="00D86181">
      <w:pPr>
        <w:pStyle w:val="a3"/>
        <w:numPr>
          <w:ilvl w:val="0"/>
          <w:numId w:val="1"/>
        </w:numPr>
        <w:overflowPunct w:val="0"/>
        <w:spacing w:beforeLines="50" w:before="180" w:line="360" w:lineRule="auto"/>
        <w:ind w:leftChars="0" w:left="709" w:hanging="709"/>
        <w:jc w:val="both"/>
        <w:rPr>
          <w:rFonts w:ascii="Times New Roman" w:eastAsia="標楷體" w:hAnsi="Times New Roman" w:cs="Times New Roman"/>
          <w:sz w:val="28"/>
          <w:szCs w:val="28"/>
        </w:rPr>
      </w:pPr>
      <w:r w:rsidRPr="00CF4F8B">
        <w:rPr>
          <w:rFonts w:ascii="Times New Roman" w:eastAsia="標楷體" w:hAnsi="Times New Roman" w:cs="Times New Roman"/>
          <w:sz w:val="28"/>
          <w:szCs w:val="28"/>
        </w:rPr>
        <w:t>醫療支出逐年成長</w:t>
      </w:r>
    </w:p>
    <w:p w14:paraId="2687B2C3" w14:textId="335E9DB4" w:rsidR="00B66D36" w:rsidRPr="00291C78" w:rsidRDefault="00EC27EC" w:rsidP="00291C78">
      <w:pPr>
        <w:overflowPunct w:val="0"/>
        <w:snapToGrid w:val="0"/>
        <w:spacing w:beforeLines="50" w:before="180" w:line="360" w:lineRule="auto"/>
        <w:ind w:leftChars="200" w:left="480" w:firstLineChars="183" w:firstLine="512"/>
        <w:jc w:val="both"/>
        <w:rPr>
          <w:rFonts w:ascii="Times New Roman" w:eastAsia="標楷體" w:hAnsi="Times New Roman" w:cs="Times New Roman"/>
          <w:sz w:val="28"/>
          <w:szCs w:val="28"/>
        </w:rPr>
      </w:pPr>
      <w:r w:rsidRPr="00CF4F8B">
        <w:rPr>
          <w:rFonts w:ascii="Times New Roman" w:eastAsia="標楷體" w:hAnsi="Times New Roman" w:cs="Times New Roman"/>
          <w:bCs/>
          <w:sz w:val="28"/>
          <w:szCs w:val="28"/>
        </w:rPr>
        <w:t>由於人口結構快速老化加上醫療科技發展，以及對於重疾患者照護的加強，民眾對醫療需求不斷提升，</w:t>
      </w:r>
      <w:r w:rsidRPr="00CF4F8B">
        <w:rPr>
          <w:rFonts w:ascii="Times New Roman" w:eastAsia="標楷體" w:hAnsi="Times New Roman" w:cs="Times New Roman"/>
          <w:sz w:val="28"/>
          <w:szCs w:val="28"/>
        </w:rPr>
        <w:t>依據行政院衛生福利部統計，國人平均每人每年</w:t>
      </w:r>
      <w:r w:rsidRPr="00326DFE">
        <w:rPr>
          <w:rFonts w:ascii="Times New Roman" w:eastAsia="標楷體" w:hAnsi="Times New Roman" w:cs="Times New Roman"/>
          <w:sz w:val="28"/>
          <w:szCs w:val="28"/>
        </w:rPr>
        <w:t>健保</w:t>
      </w:r>
      <w:r w:rsidR="00A10F73" w:rsidRPr="00326DFE">
        <w:rPr>
          <w:rFonts w:ascii="Times New Roman" w:eastAsia="標楷體" w:hAnsi="Times New Roman" w:cs="Times New Roman" w:hint="eastAsia"/>
          <w:sz w:val="28"/>
          <w:szCs w:val="28"/>
        </w:rPr>
        <w:t>住院醫療費用</w:t>
      </w:r>
      <w:r w:rsidR="00AE5CCC" w:rsidRPr="00326DFE">
        <w:rPr>
          <w:rFonts w:ascii="Times New Roman" w:eastAsia="標楷體" w:hAnsi="Times New Roman" w:cs="Times New Roman" w:hint="eastAsia"/>
          <w:sz w:val="28"/>
          <w:szCs w:val="28"/>
        </w:rPr>
        <w:t>_</w:t>
      </w:r>
      <w:r w:rsidR="00A10F73" w:rsidRPr="00326DFE">
        <w:rPr>
          <w:rFonts w:ascii="Times New Roman" w:eastAsia="標楷體" w:hAnsi="Times New Roman" w:cs="Times New Roman" w:hint="eastAsia"/>
          <w:sz w:val="28"/>
          <w:szCs w:val="28"/>
        </w:rPr>
        <w:t>醫院總額支出</w:t>
      </w:r>
      <w:r w:rsidRPr="00326DFE">
        <w:rPr>
          <w:rFonts w:ascii="Times New Roman" w:eastAsia="標楷體" w:hAnsi="Times New Roman" w:cs="Times New Roman"/>
          <w:sz w:val="28"/>
          <w:szCs w:val="28"/>
        </w:rPr>
        <w:t>呈遞增趨勢（詳圖</w:t>
      </w:r>
      <w:r w:rsidR="00E93E56">
        <w:rPr>
          <w:rFonts w:ascii="Times New Roman" w:eastAsia="標楷體" w:hAnsi="Times New Roman" w:cs="Times New Roman" w:hint="eastAsia"/>
          <w:sz w:val="28"/>
          <w:szCs w:val="28"/>
        </w:rPr>
        <w:t>4</w:t>
      </w:r>
      <w:r w:rsidRPr="00326DFE">
        <w:rPr>
          <w:rFonts w:ascii="Times New Roman" w:eastAsia="標楷體" w:hAnsi="Times New Roman" w:cs="Times New Roman"/>
          <w:sz w:val="28"/>
          <w:szCs w:val="28"/>
        </w:rPr>
        <w:t>）。以年齡層區分</w:t>
      </w:r>
      <w:r w:rsidR="00DB2499" w:rsidRPr="00326DFE">
        <w:rPr>
          <w:rFonts w:ascii="Times New Roman" w:eastAsia="標楷體" w:hAnsi="Times New Roman" w:cs="Times New Roman"/>
          <w:sz w:val="28"/>
          <w:szCs w:val="28"/>
        </w:rPr>
        <w:t>，</w:t>
      </w:r>
      <w:r w:rsidR="00DB2499" w:rsidRPr="00326DFE">
        <w:rPr>
          <w:rFonts w:ascii="Times New Roman" w:eastAsia="標楷體" w:hAnsi="Times New Roman" w:cs="Times New Roman"/>
          <w:sz w:val="28"/>
          <w:szCs w:val="28"/>
        </w:rPr>
        <w:t>6</w:t>
      </w:r>
      <w:r w:rsidR="00AE5CCC" w:rsidRPr="00326DFE">
        <w:rPr>
          <w:rFonts w:ascii="Times New Roman" w:eastAsia="標楷體" w:hAnsi="Times New Roman" w:cs="Times New Roman" w:hint="eastAsia"/>
          <w:sz w:val="28"/>
          <w:szCs w:val="28"/>
        </w:rPr>
        <w:t>0</w:t>
      </w:r>
      <w:r w:rsidR="00CC3F26" w:rsidRPr="00326DFE">
        <w:rPr>
          <w:rFonts w:ascii="Times New Roman" w:eastAsia="標楷體" w:hAnsi="Times New Roman" w:cs="Times New Roman"/>
          <w:sz w:val="28"/>
          <w:szCs w:val="28"/>
        </w:rPr>
        <w:t>歲以上老年</w:t>
      </w:r>
      <w:r w:rsidR="00CC3F26" w:rsidRPr="00326DFE">
        <w:rPr>
          <w:rFonts w:ascii="Times New Roman" w:eastAsia="標楷體" w:hAnsi="Times New Roman" w:cs="Times New Roman" w:hint="eastAsia"/>
          <w:sz w:val="28"/>
          <w:szCs w:val="28"/>
        </w:rPr>
        <w:t>人</w:t>
      </w:r>
      <w:r w:rsidR="00CC3F26" w:rsidRPr="00326DFE">
        <w:rPr>
          <w:rFonts w:ascii="Times New Roman" w:eastAsia="標楷體" w:hAnsi="Times New Roman" w:cs="Times New Roman" w:hint="eastAsia"/>
          <w:sz w:val="28"/>
          <w:szCs w:val="28"/>
        </w:rPr>
        <w:t>20</w:t>
      </w:r>
      <w:r w:rsidR="00E64757" w:rsidRPr="00326DFE">
        <w:rPr>
          <w:rFonts w:ascii="Times New Roman" w:eastAsia="標楷體" w:hAnsi="Times New Roman" w:cs="Times New Roman"/>
          <w:sz w:val="28"/>
          <w:szCs w:val="28"/>
        </w:rPr>
        <w:t>20</w:t>
      </w:r>
      <w:r w:rsidR="00DB2499" w:rsidRPr="00326DFE">
        <w:rPr>
          <w:rFonts w:ascii="Times New Roman" w:eastAsia="標楷體" w:hAnsi="Times New Roman" w:cs="Times New Roman"/>
          <w:sz w:val="28"/>
          <w:szCs w:val="28"/>
        </w:rPr>
        <w:t>年平均每人每年</w:t>
      </w:r>
      <w:r w:rsidR="00E64757" w:rsidRPr="00326DFE">
        <w:rPr>
          <w:rFonts w:ascii="Times New Roman" w:eastAsia="標楷體" w:hAnsi="Times New Roman" w:cs="Times New Roman"/>
          <w:sz w:val="28"/>
          <w:szCs w:val="28"/>
        </w:rPr>
        <w:t>健保</w:t>
      </w:r>
      <w:r w:rsidR="00E64757" w:rsidRPr="00326DFE">
        <w:rPr>
          <w:rFonts w:ascii="Times New Roman" w:eastAsia="標楷體" w:hAnsi="Times New Roman" w:cs="Times New Roman" w:hint="eastAsia"/>
          <w:sz w:val="28"/>
          <w:szCs w:val="28"/>
        </w:rPr>
        <w:t>住院醫療費用</w:t>
      </w:r>
      <w:r w:rsidR="00C5545A" w:rsidRPr="00326DFE">
        <w:rPr>
          <w:rFonts w:ascii="Times New Roman" w:eastAsia="標楷體" w:hAnsi="Times New Roman" w:cs="Times New Roman" w:hint="eastAsia"/>
          <w:sz w:val="28"/>
          <w:szCs w:val="28"/>
        </w:rPr>
        <w:t>_</w:t>
      </w:r>
      <w:r w:rsidR="00E64757" w:rsidRPr="00326DFE">
        <w:rPr>
          <w:rFonts w:ascii="Times New Roman" w:eastAsia="標楷體" w:hAnsi="Times New Roman" w:cs="Times New Roman" w:hint="eastAsia"/>
          <w:sz w:val="28"/>
          <w:szCs w:val="28"/>
        </w:rPr>
        <w:t>醫院總額支出</w:t>
      </w:r>
      <w:r w:rsidR="00DB2499" w:rsidRPr="00326DFE">
        <w:rPr>
          <w:rFonts w:ascii="Times New Roman" w:eastAsia="標楷體" w:hAnsi="Times New Roman" w:cs="Times New Roman"/>
          <w:sz w:val="28"/>
          <w:szCs w:val="28"/>
        </w:rPr>
        <w:t>為</w:t>
      </w:r>
      <w:r w:rsidR="00AE5CCC" w:rsidRPr="00326DFE">
        <w:rPr>
          <w:rFonts w:ascii="Times New Roman" w:eastAsia="標楷體" w:hAnsi="Times New Roman" w:cs="Times New Roman" w:hint="eastAsia"/>
          <w:sz w:val="28"/>
          <w:szCs w:val="28"/>
        </w:rPr>
        <w:t>15</w:t>
      </w:r>
      <w:r w:rsidR="00461FCE" w:rsidRPr="00326DFE">
        <w:rPr>
          <w:rFonts w:ascii="Times New Roman" w:eastAsia="標楷體" w:hAnsi="Times New Roman" w:cs="Times New Roman"/>
          <w:sz w:val="28"/>
          <w:szCs w:val="28"/>
        </w:rPr>
        <w:t>.</w:t>
      </w:r>
      <w:r w:rsidR="00AE5CCC" w:rsidRPr="00326DFE">
        <w:rPr>
          <w:rFonts w:ascii="Times New Roman" w:eastAsia="標楷體" w:hAnsi="Times New Roman" w:cs="Times New Roman" w:hint="eastAsia"/>
          <w:sz w:val="28"/>
          <w:szCs w:val="28"/>
        </w:rPr>
        <w:t>41</w:t>
      </w:r>
      <w:r w:rsidR="00DB2499" w:rsidRPr="00326DFE">
        <w:rPr>
          <w:rFonts w:ascii="Times New Roman" w:eastAsia="標楷體" w:hAnsi="Times New Roman" w:cs="Times New Roman"/>
          <w:sz w:val="28"/>
          <w:szCs w:val="28"/>
        </w:rPr>
        <w:t>萬，較</w:t>
      </w:r>
      <w:r w:rsidR="00CC3F26" w:rsidRPr="00326DFE">
        <w:rPr>
          <w:rFonts w:ascii="Times New Roman" w:eastAsia="標楷體" w:hAnsi="Times New Roman" w:cs="Times New Roman" w:hint="eastAsia"/>
          <w:sz w:val="28"/>
          <w:szCs w:val="28"/>
        </w:rPr>
        <w:t>201</w:t>
      </w:r>
      <w:r w:rsidR="00AE5CCC" w:rsidRPr="00326DFE">
        <w:rPr>
          <w:rFonts w:ascii="Times New Roman" w:eastAsia="標楷體" w:hAnsi="Times New Roman" w:cs="Times New Roman" w:hint="eastAsia"/>
          <w:sz w:val="28"/>
          <w:szCs w:val="28"/>
        </w:rPr>
        <w:t>6</w:t>
      </w:r>
      <w:r w:rsidR="00DB2499" w:rsidRPr="00326DFE">
        <w:rPr>
          <w:rFonts w:ascii="Times New Roman" w:eastAsia="標楷體" w:hAnsi="Times New Roman" w:cs="Times New Roman"/>
          <w:sz w:val="28"/>
          <w:szCs w:val="28"/>
        </w:rPr>
        <w:t>年</w:t>
      </w:r>
      <w:r w:rsidR="00AE5CCC" w:rsidRPr="00326DFE">
        <w:rPr>
          <w:rFonts w:ascii="Times New Roman" w:eastAsia="標楷體" w:hAnsi="Times New Roman" w:cs="Times New Roman" w:hint="eastAsia"/>
          <w:sz w:val="28"/>
          <w:szCs w:val="28"/>
        </w:rPr>
        <w:t>13</w:t>
      </w:r>
      <w:r w:rsidR="00842660" w:rsidRPr="00326DFE">
        <w:rPr>
          <w:rFonts w:ascii="Times New Roman" w:eastAsia="標楷體" w:hAnsi="Times New Roman" w:cs="Times New Roman" w:hint="eastAsia"/>
          <w:sz w:val="28"/>
          <w:szCs w:val="28"/>
        </w:rPr>
        <w:t>.</w:t>
      </w:r>
      <w:r w:rsidR="00AE5CCC" w:rsidRPr="00326DFE">
        <w:rPr>
          <w:rFonts w:ascii="Times New Roman" w:eastAsia="標楷體" w:hAnsi="Times New Roman" w:cs="Times New Roman" w:hint="eastAsia"/>
          <w:sz w:val="28"/>
          <w:szCs w:val="28"/>
        </w:rPr>
        <w:t>71</w:t>
      </w:r>
      <w:r w:rsidR="00DB2499" w:rsidRPr="00326DFE">
        <w:rPr>
          <w:rFonts w:ascii="Times New Roman" w:eastAsia="標楷體" w:hAnsi="Times New Roman" w:cs="Times New Roman"/>
          <w:sz w:val="28"/>
          <w:szCs w:val="28"/>
        </w:rPr>
        <w:t>萬高出</w:t>
      </w:r>
      <w:r w:rsidR="00AE5CCC" w:rsidRPr="00326DFE">
        <w:rPr>
          <w:rFonts w:ascii="Times New Roman" w:eastAsia="標楷體" w:hAnsi="Times New Roman" w:cs="Times New Roman" w:hint="eastAsia"/>
          <w:sz w:val="28"/>
          <w:szCs w:val="28"/>
        </w:rPr>
        <w:t>1</w:t>
      </w:r>
      <w:r w:rsidR="00461FCE" w:rsidRPr="00326DFE">
        <w:rPr>
          <w:rFonts w:ascii="Times New Roman" w:eastAsia="標楷體" w:hAnsi="Times New Roman" w:cs="Times New Roman"/>
          <w:sz w:val="28"/>
          <w:szCs w:val="28"/>
        </w:rPr>
        <w:t>.</w:t>
      </w:r>
      <w:r w:rsidR="00AE5CCC" w:rsidRPr="00326DFE">
        <w:rPr>
          <w:rFonts w:ascii="Times New Roman" w:eastAsia="標楷體" w:hAnsi="Times New Roman" w:cs="Times New Roman" w:hint="eastAsia"/>
          <w:sz w:val="28"/>
          <w:szCs w:val="28"/>
        </w:rPr>
        <w:t>70</w:t>
      </w:r>
      <w:r w:rsidR="00DB2499" w:rsidRPr="00326DFE">
        <w:rPr>
          <w:rFonts w:ascii="Times New Roman" w:eastAsia="標楷體" w:hAnsi="Times New Roman" w:cs="Times New Roman"/>
          <w:sz w:val="28"/>
          <w:szCs w:val="28"/>
        </w:rPr>
        <w:t>萬；</w:t>
      </w:r>
      <w:proofErr w:type="gramStart"/>
      <w:r w:rsidR="00DB2499" w:rsidRPr="00326DFE">
        <w:rPr>
          <w:rFonts w:ascii="Times New Roman" w:eastAsia="標楷體" w:hAnsi="Times New Roman" w:cs="Times New Roman"/>
          <w:sz w:val="28"/>
          <w:szCs w:val="28"/>
        </w:rPr>
        <w:t>再者，</w:t>
      </w:r>
      <w:proofErr w:type="gramEnd"/>
      <w:r w:rsidR="00DB2499" w:rsidRPr="00326DFE">
        <w:rPr>
          <w:rFonts w:ascii="Times New Roman" w:eastAsia="標楷體" w:hAnsi="Times New Roman" w:cs="Times New Roman"/>
          <w:sz w:val="28"/>
          <w:szCs w:val="28"/>
        </w:rPr>
        <w:t>60</w:t>
      </w:r>
      <w:r w:rsidR="00DB2499" w:rsidRPr="00326DFE">
        <w:rPr>
          <w:rFonts w:ascii="Times New Roman" w:eastAsia="標楷體" w:hAnsi="Times New Roman" w:cs="Times New Roman"/>
          <w:sz w:val="28"/>
          <w:szCs w:val="28"/>
        </w:rPr>
        <w:t>歲以上老年人之</w:t>
      </w:r>
      <w:r w:rsidR="00C5545A" w:rsidRPr="00326DFE">
        <w:rPr>
          <w:rFonts w:ascii="Times New Roman" w:eastAsia="標楷體" w:hAnsi="Times New Roman" w:cs="Times New Roman"/>
          <w:sz w:val="28"/>
          <w:szCs w:val="28"/>
        </w:rPr>
        <w:t>健保</w:t>
      </w:r>
      <w:r w:rsidR="00C5545A" w:rsidRPr="00326DFE">
        <w:rPr>
          <w:rFonts w:ascii="Times New Roman" w:eastAsia="標楷體" w:hAnsi="Times New Roman" w:cs="Times New Roman" w:hint="eastAsia"/>
          <w:sz w:val="28"/>
          <w:szCs w:val="28"/>
        </w:rPr>
        <w:t>住院醫療費用</w:t>
      </w:r>
      <w:r w:rsidR="00C5545A" w:rsidRPr="00326DFE">
        <w:rPr>
          <w:rFonts w:ascii="Times New Roman" w:eastAsia="標楷體" w:hAnsi="Times New Roman" w:cs="Times New Roman" w:hint="eastAsia"/>
          <w:sz w:val="28"/>
          <w:szCs w:val="28"/>
        </w:rPr>
        <w:t>_</w:t>
      </w:r>
      <w:r w:rsidR="00C5545A" w:rsidRPr="00326DFE">
        <w:rPr>
          <w:rFonts w:ascii="Times New Roman" w:eastAsia="標楷體" w:hAnsi="Times New Roman" w:cs="Times New Roman" w:hint="eastAsia"/>
          <w:sz w:val="28"/>
          <w:szCs w:val="28"/>
        </w:rPr>
        <w:t>醫院總額支出</w:t>
      </w:r>
      <w:r w:rsidR="00DB2499" w:rsidRPr="00326DFE">
        <w:rPr>
          <w:rFonts w:ascii="Times New Roman" w:eastAsia="標楷體" w:hAnsi="Times New Roman" w:cs="Times New Roman"/>
          <w:sz w:val="28"/>
          <w:szCs w:val="28"/>
        </w:rPr>
        <w:t>高於</w:t>
      </w:r>
      <w:r w:rsidR="00DB2499" w:rsidRPr="00326DFE">
        <w:rPr>
          <w:rFonts w:ascii="Times New Roman" w:eastAsia="標楷體" w:hAnsi="Times New Roman" w:cs="Times New Roman"/>
          <w:sz w:val="28"/>
          <w:szCs w:val="28"/>
        </w:rPr>
        <w:t>0~59</w:t>
      </w:r>
      <w:r w:rsidR="00DB2499" w:rsidRPr="00326DFE">
        <w:rPr>
          <w:rFonts w:ascii="Times New Roman" w:eastAsia="標楷體" w:hAnsi="Times New Roman" w:cs="Times New Roman"/>
          <w:sz w:val="28"/>
          <w:szCs w:val="28"/>
        </w:rPr>
        <w:t>歲近</w:t>
      </w:r>
      <w:r w:rsidR="00C5545A" w:rsidRPr="00326DFE">
        <w:rPr>
          <w:rFonts w:ascii="Times New Roman" w:eastAsia="標楷體" w:hAnsi="Times New Roman" w:cs="Times New Roman" w:hint="eastAsia"/>
          <w:sz w:val="28"/>
          <w:szCs w:val="28"/>
        </w:rPr>
        <w:t>1</w:t>
      </w:r>
      <w:r w:rsidR="00842660" w:rsidRPr="00326DFE">
        <w:rPr>
          <w:rFonts w:ascii="Times New Roman" w:eastAsia="標楷體" w:hAnsi="Times New Roman" w:cs="Times New Roman"/>
          <w:sz w:val="28"/>
          <w:szCs w:val="28"/>
        </w:rPr>
        <w:t>.</w:t>
      </w:r>
      <w:r w:rsidR="00C5545A" w:rsidRPr="00326DFE">
        <w:rPr>
          <w:rFonts w:ascii="Times New Roman" w:eastAsia="標楷體" w:hAnsi="Times New Roman" w:cs="Times New Roman" w:hint="eastAsia"/>
          <w:sz w:val="28"/>
          <w:szCs w:val="28"/>
        </w:rPr>
        <w:t>6</w:t>
      </w:r>
      <w:r w:rsidR="00DB2499" w:rsidRPr="00326DFE">
        <w:rPr>
          <w:rFonts w:ascii="Times New Roman" w:eastAsia="標楷體" w:hAnsi="Times New Roman" w:cs="Times New Roman"/>
          <w:sz w:val="28"/>
          <w:szCs w:val="28"/>
        </w:rPr>
        <w:t>倍。</w:t>
      </w:r>
    </w:p>
    <w:p w14:paraId="3EE1A6E0" w14:textId="170243BA" w:rsidR="00D50450" w:rsidRPr="006740CA" w:rsidRDefault="00AE5CCC" w:rsidP="002B61F9">
      <w:pPr>
        <w:overflowPunct w:val="0"/>
        <w:snapToGrid w:val="0"/>
        <w:spacing w:line="360" w:lineRule="auto"/>
        <w:ind w:leftChars="-59" w:left="-142"/>
        <w:jc w:val="center"/>
        <w:rPr>
          <w:rFonts w:ascii="Times New Roman" w:eastAsia="標楷體" w:hAnsi="Times New Roman" w:cs="Times New Roman"/>
          <w:sz w:val="28"/>
          <w:szCs w:val="28"/>
        </w:rPr>
      </w:pPr>
      <w:r>
        <w:rPr>
          <w:noProof/>
        </w:rPr>
        <w:drawing>
          <wp:inline distT="0" distB="0" distL="0" distR="0" wp14:anchorId="0DCE76DA" wp14:editId="6C3C67CD">
            <wp:extent cx="4572000" cy="2743200"/>
            <wp:effectExtent l="0" t="0" r="0" b="0"/>
            <wp:docPr id="4" name="圖表 4">
              <a:extLst xmlns:a="http://schemas.openxmlformats.org/drawingml/2006/main">
                <a:ext uri="{FF2B5EF4-FFF2-40B4-BE49-F238E27FC236}">
                  <a16:creationId xmlns:a16="http://schemas.microsoft.com/office/drawing/2014/main" id="{21E0BA69-157A-E403-68C9-7734D18CA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CBB684" w14:textId="6006948E" w:rsidR="003E25A3" w:rsidRPr="00326DFE" w:rsidRDefault="003E25A3" w:rsidP="00326DFE">
      <w:pPr>
        <w:overflowPunct w:val="0"/>
        <w:snapToGrid w:val="0"/>
        <w:spacing w:line="360" w:lineRule="auto"/>
        <w:ind w:leftChars="200" w:left="480"/>
        <w:jc w:val="center"/>
        <w:rPr>
          <w:rFonts w:ascii="Times New Roman" w:eastAsia="標楷體" w:hAnsi="Times New Roman" w:cs="Times New Roman"/>
          <w:sz w:val="22"/>
        </w:rPr>
      </w:pPr>
      <w:r w:rsidRPr="00CF4F8B">
        <w:rPr>
          <w:rFonts w:ascii="Times New Roman" w:eastAsia="標楷體" w:hAnsi="Times New Roman" w:cs="Times New Roman"/>
          <w:color w:val="000000" w:themeColor="text1"/>
          <w:sz w:val="28"/>
          <w:szCs w:val="28"/>
        </w:rPr>
        <w:t>圖</w:t>
      </w:r>
      <w:r w:rsidR="00E93E56">
        <w:rPr>
          <w:rFonts w:ascii="Times New Roman" w:eastAsia="標楷體" w:hAnsi="Times New Roman" w:cs="Times New Roman" w:hint="eastAsia"/>
          <w:color w:val="000000" w:themeColor="text1"/>
          <w:sz w:val="28"/>
          <w:szCs w:val="28"/>
        </w:rPr>
        <w:t>4</w:t>
      </w:r>
      <w:r w:rsidRPr="00CF4F8B">
        <w:rPr>
          <w:rFonts w:ascii="Times New Roman" w:eastAsia="標楷體" w:hAnsi="Times New Roman" w:cs="Times New Roman"/>
          <w:color w:val="000000" w:themeColor="text1"/>
          <w:sz w:val="28"/>
          <w:szCs w:val="28"/>
        </w:rPr>
        <w:t>：臺灣地區平均每人每</w:t>
      </w:r>
      <w:r w:rsidRPr="00326DFE">
        <w:rPr>
          <w:rFonts w:ascii="Times New Roman" w:eastAsia="標楷體" w:hAnsi="Times New Roman" w:cs="Times New Roman"/>
          <w:sz w:val="28"/>
          <w:szCs w:val="28"/>
        </w:rPr>
        <w:t>年</w:t>
      </w:r>
      <w:r w:rsidR="00A10F73" w:rsidRPr="00326DFE">
        <w:rPr>
          <w:rFonts w:ascii="Times New Roman" w:eastAsia="標楷體" w:hAnsi="Times New Roman" w:cs="Times New Roman"/>
          <w:sz w:val="28"/>
          <w:szCs w:val="28"/>
        </w:rPr>
        <w:t>健保</w:t>
      </w:r>
      <w:r w:rsidR="00A10F73" w:rsidRPr="00326DFE">
        <w:rPr>
          <w:rFonts w:ascii="Times New Roman" w:eastAsia="標楷體" w:hAnsi="Times New Roman" w:cs="Times New Roman" w:hint="eastAsia"/>
          <w:sz w:val="28"/>
          <w:szCs w:val="28"/>
        </w:rPr>
        <w:t>住院醫療費用</w:t>
      </w:r>
      <w:r w:rsidR="00C5545A" w:rsidRPr="00326DFE">
        <w:rPr>
          <w:rFonts w:ascii="Times New Roman" w:eastAsia="標楷體" w:hAnsi="Times New Roman" w:cs="Times New Roman" w:hint="eastAsia"/>
          <w:sz w:val="28"/>
          <w:szCs w:val="28"/>
        </w:rPr>
        <w:t>_</w:t>
      </w:r>
      <w:r w:rsidR="00A10F73" w:rsidRPr="00326DFE">
        <w:rPr>
          <w:rFonts w:ascii="Times New Roman" w:eastAsia="標楷體" w:hAnsi="Times New Roman" w:cs="Times New Roman" w:hint="eastAsia"/>
          <w:sz w:val="28"/>
          <w:szCs w:val="28"/>
        </w:rPr>
        <w:t>醫院總額支出</w:t>
      </w:r>
      <w:r w:rsidR="000D3650">
        <w:rPr>
          <w:rStyle w:val="ac"/>
          <w:rFonts w:ascii="Times New Roman" w:eastAsia="標楷體" w:hAnsi="Times New Roman" w:cs="Times New Roman"/>
          <w:sz w:val="28"/>
          <w:szCs w:val="28"/>
        </w:rPr>
        <w:footnoteReference w:id="4"/>
      </w:r>
    </w:p>
    <w:p w14:paraId="2F25C94F" w14:textId="77777777" w:rsidR="00D87A6A" w:rsidRPr="00CF4F8B" w:rsidRDefault="00D87A6A" w:rsidP="00D86181">
      <w:pPr>
        <w:overflowPunct w:val="0"/>
        <w:snapToGrid w:val="0"/>
        <w:spacing w:beforeLines="50" w:before="180" w:line="360" w:lineRule="auto"/>
        <w:jc w:val="both"/>
        <w:rPr>
          <w:rFonts w:ascii="Times New Roman" w:eastAsia="標楷體" w:hAnsi="Times New Roman" w:cs="Times New Roman"/>
          <w:color w:val="000000" w:themeColor="text1"/>
          <w:sz w:val="28"/>
        </w:rPr>
      </w:pPr>
      <w:r w:rsidRPr="00CF4F8B">
        <w:rPr>
          <w:rFonts w:ascii="Times New Roman" w:eastAsia="標楷體" w:hAnsi="Times New Roman" w:cs="Times New Roman"/>
          <w:color w:val="000000" w:themeColor="text1"/>
          <w:sz w:val="28"/>
        </w:rPr>
        <w:t>【</w:t>
      </w:r>
      <w:r w:rsidR="00326100" w:rsidRPr="00CF4F8B">
        <w:rPr>
          <w:rFonts w:ascii="Times New Roman" w:eastAsia="標楷體" w:hAnsi="Times New Roman" w:cs="Times New Roman"/>
          <w:color w:val="000000" w:themeColor="text1"/>
          <w:sz w:val="28"/>
        </w:rPr>
        <w:t>結論</w:t>
      </w:r>
      <w:r w:rsidRPr="00CF4F8B">
        <w:rPr>
          <w:rFonts w:ascii="Times New Roman" w:eastAsia="標楷體" w:hAnsi="Times New Roman" w:cs="Times New Roman"/>
          <w:color w:val="000000" w:themeColor="text1"/>
          <w:sz w:val="28"/>
        </w:rPr>
        <w:t>】</w:t>
      </w:r>
    </w:p>
    <w:p w14:paraId="57A8B024" w14:textId="1A42D589" w:rsidR="00B442EC" w:rsidRPr="00CF4F8B" w:rsidRDefault="00490290" w:rsidP="00513A40">
      <w:pPr>
        <w:overflowPunct w:val="0"/>
        <w:snapToGrid w:val="0"/>
        <w:spacing w:beforeLines="50" w:before="180" w:line="360" w:lineRule="auto"/>
        <w:ind w:firstLineChars="183" w:firstLine="512"/>
        <w:jc w:val="both"/>
        <w:rPr>
          <w:rFonts w:ascii="Times New Roman" w:eastAsia="標楷體" w:hAnsi="Times New Roman" w:cs="Times New Roman"/>
          <w:color w:val="000000" w:themeColor="text1"/>
          <w:sz w:val="28"/>
          <w:szCs w:val="28"/>
        </w:rPr>
      </w:pPr>
      <w:r w:rsidRPr="00CF4F8B">
        <w:rPr>
          <w:rFonts w:ascii="Times New Roman" w:eastAsia="標楷體" w:hAnsi="Times New Roman" w:cs="Times New Roman"/>
          <w:color w:val="000000" w:themeColor="text1"/>
          <w:sz w:val="28"/>
          <w:szCs w:val="28"/>
        </w:rPr>
        <w:t>雖然損失率係觀察長年期健康保險經營良</w:t>
      </w:r>
      <w:proofErr w:type="gramStart"/>
      <w:r w:rsidRPr="00CF4F8B">
        <w:rPr>
          <w:rFonts w:ascii="Times New Roman" w:eastAsia="標楷體" w:hAnsi="Times New Roman" w:cs="Times New Roman"/>
          <w:color w:val="000000" w:themeColor="text1"/>
          <w:sz w:val="28"/>
          <w:szCs w:val="28"/>
        </w:rPr>
        <w:t>窳</w:t>
      </w:r>
      <w:proofErr w:type="gramEnd"/>
      <w:r w:rsidRPr="00CF4F8B">
        <w:rPr>
          <w:rFonts w:ascii="Times New Roman" w:eastAsia="標楷體" w:hAnsi="Times New Roman" w:cs="Times New Roman"/>
          <w:color w:val="000000" w:themeColor="text1"/>
          <w:sz w:val="28"/>
          <w:szCs w:val="28"/>
        </w:rPr>
        <w:t>之直接指標，然而此非唯一指標。</w:t>
      </w:r>
      <w:r w:rsidR="00326100" w:rsidRPr="00374BED">
        <w:rPr>
          <w:rFonts w:ascii="Times New Roman" w:eastAsia="標楷體" w:hAnsi="Times New Roman" w:cs="Times New Roman"/>
          <w:color w:val="000000" w:themeColor="text1"/>
          <w:sz w:val="28"/>
          <w:szCs w:val="28"/>
        </w:rPr>
        <w:t>考量</w:t>
      </w:r>
      <w:r w:rsidR="00374BED">
        <w:rPr>
          <w:rFonts w:ascii="Times New Roman" w:eastAsia="標楷體" w:hAnsi="Times New Roman" w:cs="Times New Roman" w:hint="eastAsia"/>
          <w:color w:val="000000" w:themeColor="text1"/>
          <w:sz w:val="28"/>
          <w:szCs w:val="28"/>
        </w:rPr>
        <w:t>我國</w:t>
      </w:r>
      <w:r w:rsidR="00DE0B14" w:rsidRPr="00CF4F8B">
        <w:rPr>
          <w:rFonts w:ascii="Times New Roman" w:eastAsia="標楷體" w:hAnsi="Times New Roman" w:cs="Times New Roman"/>
          <w:color w:val="000000" w:themeColor="text1"/>
          <w:sz w:val="28"/>
          <w:szCs w:val="28"/>
        </w:rPr>
        <w:t>高齡化</w:t>
      </w:r>
      <w:r w:rsidR="00374BED">
        <w:rPr>
          <w:rFonts w:ascii="Times New Roman" w:eastAsia="標楷體" w:hAnsi="Times New Roman" w:cs="Times New Roman" w:hint="eastAsia"/>
          <w:color w:val="000000" w:themeColor="text1"/>
          <w:sz w:val="28"/>
          <w:szCs w:val="28"/>
        </w:rPr>
        <w:t>日益嚴重</w:t>
      </w:r>
      <w:r w:rsidR="00DE0B14" w:rsidRPr="00CF4F8B">
        <w:rPr>
          <w:rFonts w:ascii="Times New Roman" w:eastAsia="標楷體" w:hAnsi="Times New Roman" w:cs="Times New Roman"/>
          <w:color w:val="000000" w:themeColor="text1"/>
          <w:sz w:val="28"/>
          <w:szCs w:val="28"/>
        </w:rPr>
        <w:t>與</w:t>
      </w:r>
      <w:proofErr w:type="gramStart"/>
      <w:r w:rsidR="001939D7" w:rsidRPr="00CF4F8B">
        <w:rPr>
          <w:rFonts w:ascii="Times New Roman" w:eastAsia="標楷體" w:hAnsi="Times New Roman" w:cs="Times New Roman"/>
          <w:color w:val="000000" w:themeColor="text1"/>
          <w:sz w:val="28"/>
          <w:szCs w:val="28"/>
        </w:rPr>
        <w:t>平均餘命不斷</w:t>
      </w:r>
      <w:proofErr w:type="gramEnd"/>
      <w:r w:rsidR="001939D7" w:rsidRPr="00CF4F8B">
        <w:rPr>
          <w:rFonts w:ascii="Times New Roman" w:eastAsia="標楷體" w:hAnsi="Times New Roman" w:cs="Times New Roman"/>
          <w:color w:val="000000" w:themeColor="text1"/>
          <w:sz w:val="28"/>
          <w:szCs w:val="28"/>
        </w:rPr>
        <w:t>延長</w:t>
      </w:r>
      <w:r w:rsidR="006B39AC" w:rsidRPr="00CF4F8B">
        <w:rPr>
          <w:rFonts w:ascii="Times New Roman" w:eastAsia="標楷體" w:hAnsi="Times New Roman" w:cs="Times New Roman"/>
          <w:color w:val="000000" w:themeColor="text1"/>
          <w:sz w:val="28"/>
          <w:szCs w:val="28"/>
        </w:rPr>
        <w:t>，</w:t>
      </w:r>
      <w:r w:rsidR="00DE0B14" w:rsidRPr="00CF4F8B">
        <w:rPr>
          <w:rFonts w:ascii="Times New Roman" w:eastAsia="標楷體" w:hAnsi="Times New Roman" w:cs="Times New Roman"/>
          <w:color w:val="000000" w:themeColor="text1"/>
          <w:sz w:val="28"/>
          <w:szCs w:val="28"/>
        </w:rPr>
        <w:t>人口結構</w:t>
      </w:r>
      <w:r w:rsidR="00374BED">
        <w:rPr>
          <w:rFonts w:ascii="Times New Roman" w:eastAsia="標楷體" w:hAnsi="Times New Roman" w:cs="Times New Roman" w:hint="eastAsia"/>
          <w:color w:val="000000" w:themeColor="text1"/>
          <w:sz w:val="28"/>
          <w:szCs w:val="28"/>
        </w:rPr>
        <w:t>的</w:t>
      </w:r>
      <w:r w:rsidR="001939D7" w:rsidRPr="00CF4F8B">
        <w:rPr>
          <w:rFonts w:ascii="Times New Roman" w:eastAsia="標楷體" w:hAnsi="Times New Roman" w:cs="Times New Roman"/>
          <w:color w:val="000000" w:themeColor="text1"/>
          <w:sz w:val="28"/>
          <w:szCs w:val="28"/>
        </w:rPr>
        <w:t>改</w:t>
      </w:r>
      <w:r w:rsidR="00076318" w:rsidRPr="00CF4F8B">
        <w:rPr>
          <w:rFonts w:ascii="Times New Roman" w:eastAsia="標楷體" w:hAnsi="Times New Roman" w:cs="Times New Roman"/>
          <w:color w:val="000000" w:themeColor="text1"/>
          <w:sz w:val="28"/>
          <w:szCs w:val="28"/>
        </w:rPr>
        <w:t>變</w:t>
      </w:r>
      <w:r w:rsidR="002F1E48" w:rsidRPr="00CF4F8B">
        <w:rPr>
          <w:rFonts w:ascii="Times New Roman" w:eastAsia="標楷體" w:hAnsi="Times New Roman" w:cs="Times New Roman"/>
          <w:color w:val="000000" w:themeColor="text1"/>
          <w:sz w:val="28"/>
          <w:szCs w:val="28"/>
        </w:rPr>
        <w:t>使得</w:t>
      </w:r>
      <w:r w:rsidR="00E363DA" w:rsidRPr="00CF4F8B">
        <w:rPr>
          <w:rFonts w:ascii="Times New Roman" w:eastAsia="標楷體" w:hAnsi="Times New Roman" w:cs="Times New Roman"/>
          <w:color w:val="000000" w:themeColor="text1"/>
          <w:sz w:val="28"/>
          <w:szCs w:val="28"/>
        </w:rPr>
        <w:t>高齡人口</w:t>
      </w:r>
      <w:r w:rsidR="00513A40">
        <w:rPr>
          <w:rFonts w:ascii="Times New Roman" w:eastAsia="標楷體" w:hAnsi="Times New Roman" w:cs="Times New Roman" w:hint="eastAsia"/>
          <w:color w:val="000000" w:themeColor="text1"/>
          <w:sz w:val="28"/>
          <w:szCs w:val="28"/>
        </w:rPr>
        <w:t>數增加，國人面臨所</w:t>
      </w:r>
      <w:r w:rsidR="000F0F99" w:rsidRPr="00CF4F8B">
        <w:rPr>
          <w:rFonts w:ascii="Times New Roman" w:eastAsia="標楷體" w:hAnsi="Times New Roman" w:cs="Times New Roman"/>
          <w:color w:val="000000" w:themeColor="text1"/>
          <w:sz w:val="28"/>
          <w:szCs w:val="28"/>
        </w:rPr>
        <w:t>需醫療照護</w:t>
      </w:r>
      <w:r w:rsidR="005F2E5B" w:rsidRPr="00CF4F8B">
        <w:rPr>
          <w:rFonts w:ascii="Times New Roman" w:eastAsia="標楷體" w:hAnsi="Times New Roman" w:cs="Times New Roman"/>
          <w:color w:val="000000" w:themeColor="text1"/>
          <w:sz w:val="28"/>
          <w:szCs w:val="28"/>
        </w:rPr>
        <w:t>費用</w:t>
      </w:r>
      <w:r w:rsidR="00513A40">
        <w:rPr>
          <w:rFonts w:ascii="Times New Roman" w:eastAsia="標楷體" w:hAnsi="Times New Roman" w:cs="Times New Roman" w:hint="eastAsia"/>
          <w:color w:val="000000" w:themeColor="text1"/>
          <w:sz w:val="28"/>
          <w:szCs w:val="28"/>
        </w:rPr>
        <w:t>亦</w:t>
      </w:r>
      <w:r w:rsidR="000F0F99" w:rsidRPr="00CF4F8B">
        <w:rPr>
          <w:rFonts w:ascii="Times New Roman" w:eastAsia="標楷體" w:hAnsi="Times New Roman" w:cs="Times New Roman"/>
          <w:color w:val="000000" w:themeColor="text1"/>
          <w:sz w:val="28"/>
          <w:szCs w:val="28"/>
        </w:rPr>
        <w:t>增加</w:t>
      </w:r>
      <w:r w:rsidR="00FF001B" w:rsidRPr="00CF4F8B">
        <w:rPr>
          <w:rFonts w:ascii="Times New Roman" w:eastAsia="標楷體" w:hAnsi="Times New Roman" w:cs="Times New Roman"/>
          <w:color w:val="000000" w:themeColor="text1"/>
          <w:sz w:val="28"/>
          <w:szCs w:val="28"/>
        </w:rPr>
        <w:t>，而提供</w:t>
      </w:r>
      <w:r w:rsidR="00513A40">
        <w:rPr>
          <w:rFonts w:ascii="Times New Roman" w:eastAsia="標楷體" w:hAnsi="Times New Roman" w:cs="Times New Roman" w:hint="eastAsia"/>
          <w:color w:val="000000" w:themeColor="text1"/>
          <w:sz w:val="28"/>
          <w:szCs w:val="28"/>
        </w:rPr>
        <w:t>長期</w:t>
      </w:r>
      <w:r w:rsidR="00FF001B" w:rsidRPr="00CF4F8B">
        <w:rPr>
          <w:rFonts w:ascii="Times New Roman" w:eastAsia="標楷體" w:hAnsi="Times New Roman" w:cs="Times New Roman"/>
          <w:color w:val="000000" w:themeColor="text1"/>
          <w:sz w:val="28"/>
          <w:szCs w:val="28"/>
        </w:rPr>
        <w:t>醫療保障之商業</w:t>
      </w:r>
      <w:r w:rsidR="00513A40">
        <w:rPr>
          <w:rFonts w:ascii="Times New Roman" w:eastAsia="標楷體" w:hAnsi="Times New Roman" w:cs="Times New Roman" w:hint="eastAsia"/>
          <w:color w:val="000000" w:themeColor="text1"/>
          <w:sz w:val="28"/>
          <w:szCs w:val="28"/>
        </w:rPr>
        <w:t>長年期</w:t>
      </w:r>
      <w:r w:rsidR="00FF001B" w:rsidRPr="00CF4F8B">
        <w:rPr>
          <w:rFonts w:ascii="Times New Roman" w:eastAsia="標楷體" w:hAnsi="Times New Roman" w:cs="Times New Roman"/>
          <w:color w:val="000000" w:themeColor="text1"/>
          <w:sz w:val="28"/>
          <w:szCs w:val="28"/>
        </w:rPr>
        <w:t>健康</w:t>
      </w:r>
      <w:r w:rsidR="005F2E5B" w:rsidRPr="00CF4F8B">
        <w:rPr>
          <w:rFonts w:ascii="Times New Roman" w:eastAsia="標楷體" w:hAnsi="Times New Roman" w:cs="Times New Roman"/>
          <w:color w:val="000000" w:themeColor="text1"/>
          <w:sz w:val="28"/>
          <w:szCs w:val="28"/>
        </w:rPr>
        <w:t>保險</w:t>
      </w:r>
      <w:r w:rsidR="00A74515" w:rsidRPr="00CF4F8B">
        <w:rPr>
          <w:rFonts w:ascii="Times New Roman" w:eastAsia="標楷體" w:hAnsi="Times New Roman" w:cs="Times New Roman"/>
          <w:color w:val="000000" w:themeColor="text1"/>
          <w:sz w:val="28"/>
          <w:szCs w:val="28"/>
        </w:rPr>
        <w:t>首當其衝</w:t>
      </w:r>
      <w:r w:rsidR="00A657CC" w:rsidRPr="00CF4F8B">
        <w:rPr>
          <w:rFonts w:ascii="Times New Roman" w:eastAsia="標楷體" w:hAnsi="Times New Roman" w:cs="Times New Roman"/>
          <w:color w:val="000000" w:themeColor="text1"/>
          <w:sz w:val="28"/>
          <w:szCs w:val="28"/>
        </w:rPr>
        <w:t>，在面臨</w:t>
      </w:r>
      <w:r w:rsidR="00611599" w:rsidRPr="00CF4F8B">
        <w:rPr>
          <w:rFonts w:ascii="Times New Roman" w:eastAsia="標楷體" w:hAnsi="Times New Roman" w:cs="Times New Roman"/>
          <w:color w:val="000000" w:themeColor="text1"/>
          <w:sz w:val="28"/>
          <w:szCs w:val="28"/>
        </w:rPr>
        <w:t>保戶</w:t>
      </w:r>
      <w:r w:rsidR="0046225D" w:rsidRPr="00CF4F8B">
        <w:rPr>
          <w:rFonts w:ascii="Times New Roman" w:eastAsia="標楷體" w:hAnsi="Times New Roman" w:cs="Times New Roman"/>
          <w:color w:val="000000" w:themeColor="text1"/>
          <w:sz w:val="28"/>
          <w:szCs w:val="28"/>
        </w:rPr>
        <w:t>實際</w:t>
      </w:r>
      <w:r w:rsidR="005335B5" w:rsidRPr="00CF4F8B">
        <w:rPr>
          <w:rFonts w:ascii="Times New Roman" w:eastAsia="標楷體" w:hAnsi="Times New Roman" w:cs="Times New Roman"/>
          <w:color w:val="000000" w:themeColor="text1"/>
          <w:sz w:val="28"/>
          <w:szCs w:val="28"/>
        </w:rPr>
        <w:t>存活年數</w:t>
      </w:r>
      <w:r w:rsidR="00DF1DED" w:rsidRPr="00CF4F8B">
        <w:rPr>
          <w:rFonts w:ascii="Times New Roman" w:eastAsia="標楷體" w:hAnsi="Times New Roman" w:cs="Times New Roman"/>
          <w:color w:val="000000" w:themeColor="text1"/>
          <w:sz w:val="28"/>
          <w:szCs w:val="28"/>
        </w:rPr>
        <w:t>增加</w:t>
      </w:r>
      <w:r w:rsidR="003F359C" w:rsidRPr="00CF4F8B">
        <w:rPr>
          <w:rFonts w:ascii="Times New Roman" w:eastAsia="標楷體" w:hAnsi="Times New Roman" w:cs="Times New Roman"/>
          <w:color w:val="000000" w:themeColor="text1"/>
          <w:sz w:val="28"/>
          <w:szCs w:val="28"/>
        </w:rPr>
        <w:t>，</w:t>
      </w:r>
      <w:r w:rsidR="00DF1DED" w:rsidRPr="00CF4F8B">
        <w:rPr>
          <w:rFonts w:ascii="Times New Roman" w:eastAsia="標楷體" w:hAnsi="Times New Roman" w:cs="Times New Roman"/>
          <w:color w:val="000000" w:themeColor="text1"/>
          <w:sz w:val="28"/>
          <w:szCs w:val="28"/>
        </w:rPr>
        <w:t>可能</w:t>
      </w:r>
      <w:r w:rsidR="000E2566" w:rsidRPr="00CF4F8B">
        <w:rPr>
          <w:rFonts w:ascii="Times New Roman" w:eastAsia="標楷體" w:hAnsi="Times New Roman" w:cs="Times New Roman"/>
          <w:color w:val="000000" w:themeColor="text1"/>
          <w:sz w:val="28"/>
          <w:szCs w:val="28"/>
        </w:rPr>
        <w:t>對於</w:t>
      </w:r>
      <w:r w:rsidR="006D058E" w:rsidRPr="00CF4F8B">
        <w:rPr>
          <w:rFonts w:ascii="Times New Roman" w:eastAsia="標楷體" w:hAnsi="Times New Roman" w:cs="Times New Roman"/>
          <w:color w:val="000000" w:themeColor="text1"/>
          <w:sz w:val="28"/>
          <w:szCs w:val="28"/>
        </w:rPr>
        <w:t>保險</w:t>
      </w:r>
      <w:r w:rsidR="005F2E5B" w:rsidRPr="00CF4F8B">
        <w:rPr>
          <w:rFonts w:ascii="Times New Roman" w:eastAsia="標楷體" w:hAnsi="Times New Roman" w:cs="Times New Roman"/>
          <w:color w:val="000000" w:themeColor="text1"/>
          <w:sz w:val="28"/>
          <w:szCs w:val="28"/>
        </w:rPr>
        <w:t>理賠</w:t>
      </w:r>
      <w:r w:rsidR="000D7720" w:rsidRPr="00CF4F8B">
        <w:rPr>
          <w:rFonts w:ascii="Times New Roman" w:eastAsia="標楷體" w:hAnsi="Times New Roman" w:cs="Times New Roman"/>
          <w:color w:val="000000" w:themeColor="text1"/>
          <w:sz w:val="28"/>
          <w:szCs w:val="28"/>
        </w:rPr>
        <w:t>之</w:t>
      </w:r>
      <w:r w:rsidR="005F2E5B" w:rsidRPr="00CF4F8B">
        <w:rPr>
          <w:rFonts w:ascii="Times New Roman" w:eastAsia="標楷體" w:hAnsi="Times New Roman" w:cs="Times New Roman"/>
          <w:color w:val="000000" w:themeColor="text1"/>
          <w:sz w:val="28"/>
          <w:szCs w:val="28"/>
        </w:rPr>
        <w:t>支出</w:t>
      </w:r>
      <w:r w:rsidR="000E2566" w:rsidRPr="00CF4F8B">
        <w:rPr>
          <w:rFonts w:ascii="Times New Roman" w:eastAsia="標楷體" w:hAnsi="Times New Roman" w:cs="Times New Roman"/>
          <w:color w:val="000000" w:themeColor="text1"/>
          <w:sz w:val="28"/>
          <w:szCs w:val="28"/>
        </w:rPr>
        <w:t>造成影響</w:t>
      </w:r>
      <w:r w:rsidR="00F15152" w:rsidRPr="00CF4F8B">
        <w:rPr>
          <w:rFonts w:ascii="Times New Roman" w:eastAsia="標楷體" w:hAnsi="Times New Roman" w:cs="Times New Roman"/>
          <w:color w:val="000000" w:themeColor="text1"/>
          <w:sz w:val="28"/>
          <w:szCs w:val="28"/>
        </w:rPr>
        <w:t>，</w:t>
      </w:r>
      <w:r w:rsidR="000E2566" w:rsidRPr="00CF4F8B">
        <w:rPr>
          <w:rFonts w:ascii="Times New Roman" w:eastAsia="標楷體" w:hAnsi="Times New Roman" w:cs="Times New Roman"/>
          <w:color w:val="000000" w:themeColor="text1"/>
          <w:sz w:val="28"/>
          <w:szCs w:val="28"/>
        </w:rPr>
        <w:t>應定期觀察</w:t>
      </w:r>
      <w:r w:rsidR="00EA48EC" w:rsidRPr="00CF4F8B">
        <w:rPr>
          <w:rFonts w:ascii="Times New Roman" w:eastAsia="標楷體" w:hAnsi="Times New Roman" w:cs="Times New Roman"/>
          <w:color w:val="000000" w:themeColor="text1"/>
          <w:sz w:val="28"/>
          <w:szCs w:val="28"/>
        </w:rPr>
        <w:t>損失率</w:t>
      </w:r>
      <w:r w:rsidR="000E2566" w:rsidRPr="00CF4F8B">
        <w:rPr>
          <w:rFonts w:ascii="Times New Roman" w:eastAsia="標楷體" w:hAnsi="Times New Roman" w:cs="Times New Roman"/>
          <w:color w:val="000000" w:themeColor="text1"/>
          <w:sz w:val="28"/>
          <w:szCs w:val="28"/>
        </w:rPr>
        <w:t>之變化</w:t>
      </w:r>
      <w:r w:rsidR="00A66D67" w:rsidRPr="00CF4F8B">
        <w:rPr>
          <w:rFonts w:ascii="Times New Roman" w:eastAsia="標楷體" w:hAnsi="Times New Roman" w:cs="Times New Roman"/>
          <w:color w:val="000000" w:themeColor="text1"/>
          <w:sz w:val="28"/>
          <w:szCs w:val="28"/>
        </w:rPr>
        <w:t>。</w:t>
      </w:r>
    </w:p>
    <w:sectPr w:rsidR="00B442EC" w:rsidRPr="00CF4F8B" w:rsidSect="00B27569">
      <w:footerReference w:type="default" r:id="rId12"/>
      <w:pgSz w:w="11906" w:h="16838"/>
      <w:pgMar w:top="1134"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20E6" w14:textId="77777777" w:rsidR="00F964E9" w:rsidRDefault="00F964E9" w:rsidP="00351693">
      <w:r>
        <w:separator/>
      </w:r>
    </w:p>
  </w:endnote>
  <w:endnote w:type="continuationSeparator" w:id="0">
    <w:p w14:paraId="607AC5B4" w14:textId="77777777" w:rsidR="00F964E9" w:rsidRDefault="00F964E9" w:rsidP="0035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歐陽詢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769480"/>
      <w:docPartObj>
        <w:docPartGallery w:val="Page Numbers (Bottom of Page)"/>
        <w:docPartUnique/>
      </w:docPartObj>
    </w:sdtPr>
    <w:sdtEndPr/>
    <w:sdtContent>
      <w:p w14:paraId="41B7B177" w14:textId="77777777" w:rsidR="0004714E" w:rsidRDefault="0022475A">
        <w:pPr>
          <w:pStyle w:val="a8"/>
          <w:jc w:val="center"/>
        </w:pPr>
        <w:r>
          <w:fldChar w:fldCharType="begin"/>
        </w:r>
        <w:r w:rsidR="0004714E">
          <w:instrText>PAGE   \* MERGEFORMAT</w:instrText>
        </w:r>
        <w:r>
          <w:fldChar w:fldCharType="separate"/>
        </w:r>
        <w:r w:rsidR="00631458" w:rsidRPr="00631458">
          <w:rPr>
            <w:noProof/>
            <w:lang w:val="zh-TW"/>
          </w:rPr>
          <w:t>5</w:t>
        </w:r>
        <w:r>
          <w:fldChar w:fldCharType="end"/>
        </w:r>
      </w:p>
    </w:sdtContent>
  </w:sdt>
  <w:p w14:paraId="3F20085C" w14:textId="77777777" w:rsidR="0004714E" w:rsidRDefault="000471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BF89" w14:textId="77777777" w:rsidR="00F964E9" w:rsidRDefault="00F964E9" w:rsidP="00351693">
      <w:r>
        <w:separator/>
      </w:r>
    </w:p>
  </w:footnote>
  <w:footnote w:type="continuationSeparator" w:id="0">
    <w:p w14:paraId="7A91DEA3" w14:textId="77777777" w:rsidR="00F964E9" w:rsidRDefault="00F964E9" w:rsidP="00351693">
      <w:r>
        <w:continuationSeparator/>
      </w:r>
    </w:p>
  </w:footnote>
  <w:footnote w:id="1">
    <w:p w14:paraId="46749935" w14:textId="77777777" w:rsidR="003D5DC7" w:rsidRPr="000875A9" w:rsidRDefault="003D5DC7" w:rsidP="003D5DC7">
      <w:pPr>
        <w:pStyle w:val="aa"/>
        <w:rPr>
          <w:rFonts w:ascii="Times New Roman" w:eastAsia="標楷體" w:hAnsi="Times New Roman"/>
        </w:rPr>
      </w:pPr>
      <w:r w:rsidRPr="000875A9">
        <w:rPr>
          <w:rStyle w:val="ac"/>
          <w:rFonts w:ascii="Times New Roman" w:eastAsia="標楷體" w:hAnsi="Times New Roman"/>
        </w:rPr>
        <w:footnoteRef/>
      </w:r>
      <w:r w:rsidRPr="000875A9">
        <w:rPr>
          <w:rFonts w:ascii="Times New Roman" w:eastAsia="標楷體" w:hAnsi="Times New Roman"/>
        </w:rPr>
        <w:t xml:space="preserve"> </w:t>
      </w:r>
      <w:r w:rsidRPr="000875A9">
        <w:rPr>
          <w:rFonts w:ascii="Times New Roman" w:eastAsia="標楷體" w:hAnsi="標楷體"/>
        </w:rPr>
        <w:t>高齡化（</w:t>
      </w:r>
      <w:r w:rsidRPr="000875A9">
        <w:rPr>
          <w:rFonts w:ascii="Times New Roman" w:eastAsia="標楷體" w:hAnsi="Times New Roman"/>
        </w:rPr>
        <w:t>ageing</w:t>
      </w:r>
      <w:r w:rsidRPr="000875A9">
        <w:rPr>
          <w:rFonts w:ascii="Times New Roman" w:eastAsia="標楷體" w:hAnsi="標楷體"/>
        </w:rPr>
        <w:t>）社會係指</w:t>
      </w:r>
      <w:r w:rsidRPr="000875A9">
        <w:rPr>
          <w:rFonts w:ascii="Times New Roman" w:eastAsia="標楷體" w:hAnsi="Times New Roman"/>
        </w:rPr>
        <w:t>65</w:t>
      </w:r>
      <w:r w:rsidRPr="000875A9">
        <w:rPr>
          <w:rFonts w:ascii="Times New Roman" w:eastAsia="標楷體" w:hAnsi="標楷體"/>
        </w:rPr>
        <w:t>歲以上人口占總人口比率達</w:t>
      </w:r>
      <w:r w:rsidRPr="000875A9">
        <w:rPr>
          <w:rFonts w:ascii="Times New Roman" w:eastAsia="標楷體" w:hAnsi="Times New Roman"/>
        </w:rPr>
        <w:t>7%</w:t>
      </w:r>
      <w:r w:rsidRPr="000875A9">
        <w:rPr>
          <w:rFonts w:ascii="Times New Roman" w:eastAsia="標楷體" w:hAnsi="標楷體"/>
        </w:rPr>
        <w:t>。</w:t>
      </w:r>
    </w:p>
  </w:footnote>
  <w:footnote w:id="2">
    <w:p w14:paraId="02264FEA" w14:textId="77777777" w:rsidR="003D5DC7" w:rsidRPr="000875A9" w:rsidRDefault="003D5DC7" w:rsidP="003D5DC7">
      <w:pPr>
        <w:pStyle w:val="aa"/>
        <w:rPr>
          <w:rFonts w:ascii="Times New Roman" w:eastAsia="標楷體" w:hAnsi="Times New Roman"/>
        </w:rPr>
      </w:pPr>
      <w:r w:rsidRPr="000875A9">
        <w:rPr>
          <w:rStyle w:val="ac"/>
          <w:rFonts w:ascii="Times New Roman" w:eastAsia="標楷體" w:hAnsi="Times New Roman"/>
        </w:rPr>
        <w:footnoteRef/>
      </w:r>
      <w:r w:rsidRPr="000875A9">
        <w:rPr>
          <w:rFonts w:ascii="Times New Roman" w:eastAsia="標楷體" w:hAnsi="Times New Roman"/>
        </w:rPr>
        <w:t xml:space="preserve"> </w:t>
      </w:r>
      <w:r w:rsidRPr="000875A9">
        <w:rPr>
          <w:rFonts w:ascii="Times New Roman" w:eastAsia="標楷體" w:hAnsi="標楷體"/>
        </w:rPr>
        <w:t>高齡（</w:t>
      </w:r>
      <w:r w:rsidRPr="000875A9">
        <w:rPr>
          <w:rFonts w:ascii="Times New Roman" w:eastAsia="標楷體" w:hAnsi="Times New Roman"/>
        </w:rPr>
        <w:t>aged</w:t>
      </w:r>
      <w:r w:rsidRPr="000875A9">
        <w:rPr>
          <w:rFonts w:ascii="Times New Roman" w:eastAsia="標楷體" w:hAnsi="標楷體"/>
        </w:rPr>
        <w:t>）</w:t>
      </w:r>
      <w:r w:rsidRPr="000875A9">
        <w:rPr>
          <w:rFonts w:ascii="Times New Roman" w:eastAsia="標楷體" w:hAnsi="標楷體"/>
        </w:rPr>
        <w:t>社會係指</w:t>
      </w:r>
      <w:r w:rsidRPr="000875A9">
        <w:rPr>
          <w:rFonts w:ascii="Times New Roman" w:eastAsia="標楷體" w:hAnsi="Times New Roman"/>
        </w:rPr>
        <w:t>65</w:t>
      </w:r>
      <w:r w:rsidRPr="000875A9">
        <w:rPr>
          <w:rFonts w:ascii="Times New Roman" w:eastAsia="標楷體" w:hAnsi="標楷體"/>
        </w:rPr>
        <w:t>歲以上人口占總人口比率達</w:t>
      </w:r>
      <w:r w:rsidRPr="000875A9">
        <w:rPr>
          <w:rFonts w:ascii="Times New Roman" w:eastAsia="標楷體" w:hAnsi="Times New Roman"/>
        </w:rPr>
        <w:t>14%</w:t>
      </w:r>
      <w:r w:rsidRPr="000875A9">
        <w:rPr>
          <w:rFonts w:ascii="Times New Roman" w:eastAsia="標楷體" w:hAnsi="標楷體"/>
        </w:rPr>
        <w:t>。</w:t>
      </w:r>
    </w:p>
  </w:footnote>
  <w:footnote w:id="3">
    <w:p w14:paraId="12D46654" w14:textId="77777777" w:rsidR="003D5DC7" w:rsidRPr="000875A9" w:rsidRDefault="003D5DC7" w:rsidP="003D5DC7">
      <w:pPr>
        <w:pStyle w:val="aa"/>
        <w:rPr>
          <w:rFonts w:ascii="Times New Roman" w:eastAsia="標楷體" w:hAnsi="Times New Roman"/>
        </w:rPr>
      </w:pPr>
      <w:r w:rsidRPr="000875A9">
        <w:rPr>
          <w:rStyle w:val="ac"/>
          <w:rFonts w:ascii="Times New Roman" w:eastAsia="標楷體" w:hAnsi="Times New Roman"/>
        </w:rPr>
        <w:footnoteRef/>
      </w:r>
      <w:r w:rsidRPr="000875A9">
        <w:rPr>
          <w:rFonts w:ascii="Times New Roman" w:eastAsia="標楷體" w:hAnsi="Times New Roman"/>
        </w:rPr>
        <w:t xml:space="preserve"> </w:t>
      </w:r>
      <w:r w:rsidRPr="000875A9">
        <w:rPr>
          <w:rFonts w:ascii="Times New Roman" w:eastAsia="標楷體" w:hAnsi="標楷體"/>
        </w:rPr>
        <w:t>超高齡（</w:t>
      </w:r>
      <w:r w:rsidRPr="000875A9">
        <w:rPr>
          <w:rFonts w:ascii="Times New Roman" w:eastAsia="標楷體" w:hAnsi="Times New Roman"/>
        </w:rPr>
        <w:t>super-aged</w:t>
      </w:r>
      <w:r w:rsidRPr="000875A9">
        <w:rPr>
          <w:rFonts w:ascii="Times New Roman" w:eastAsia="標楷體" w:hAnsi="標楷體"/>
        </w:rPr>
        <w:t>）</w:t>
      </w:r>
      <w:r w:rsidRPr="000875A9">
        <w:rPr>
          <w:rFonts w:ascii="Times New Roman" w:eastAsia="標楷體" w:hAnsi="標楷體"/>
        </w:rPr>
        <w:t>社會係指</w:t>
      </w:r>
      <w:r w:rsidRPr="000875A9">
        <w:rPr>
          <w:rFonts w:ascii="Times New Roman" w:eastAsia="標楷體" w:hAnsi="Times New Roman"/>
        </w:rPr>
        <w:t>65</w:t>
      </w:r>
      <w:r w:rsidRPr="000875A9">
        <w:rPr>
          <w:rFonts w:ascii="Times New Roman" w:eastAsia="標楷體" w:hAnsi="標楷體"/>
        </w:rPr>
        <w:t>歲以上人口占總人口比率達</w:t>
      </w:r>
      <w:r w:rsidRPr="000875A9">
        <w:rPr>
          <w:rFonts w:ascii="Times New Roman" w:eastAsia="標楷體" w:hAnsi="Times New Roman"/>
        </w:rPr>
        <w:t>20%</w:t>
      </w:r>
      <w:r w:rsidRPr="000875A9">
        <w:rPr>
          <w:rFonts w:ascii="Times New Roman" w:eastAsia="標楷體" w:hAnsi="標楷體"/>
        </w:rPr>
        <w:t>。</w:t>
      </w:r>
    </w:p>
  </w:footnote>
  <w:footnote w:id="4">
    <w:p w14:paraId="5D8B98D4" w14:textId="4E9063B7" w:rsidR="000D3650" w:rsidRPr="000D3650" w:rsidRDefault="000D3650">
      <w:pPr>
        <w:pStyle w:val="aa"/>
      </w:pPr>
      <w:r>
        <w:rPr>
          <w:rStyle w:val="ac"/>
        </w:rPr>
        <w:footnoteRef/>
      </w:r>
      <w:r>
        <w:t xml:space="preserve"> </w:t>
      </w:r>
      <w:r w:rsidRPr="00810CF4">
        <w:rPr>
          <w:rFonts w:ascii="Times New Roman" w:eastAsia="標楷體" w:hAnsi="標楷體" w:hint="eastAsia"/>
        </w:rPr>
        <w:t>資料參考來源：健保署</w:t>
      </w:r>
      <w:r w:rsidR="00810CF4" w:rsidRPr="00810CF4">
        <w:rPr>
          <w:rFonts w:ascii="Times New Roman" w:eastAsia="標楷體" w:hAnsi="標楷體" w:hint="eastAsia"/>
        </w:rPr>
        <w:t>全民健康保險統計醫院總額住院醫療費用</w:t>
      </w:r>
      <w:r w:rsidR="00810CF4">
        <w:rPr>
          <w:rFonts w:ascii="Times New Roman" w:eastAsia="標楷體" w:hAnsi="標楷體" w:hint="eastAsia"/>
        </w:rPr>
        <w:t>(</w:t>
      </w:r>
      <w:proofErr w:type="gramStart"/>
      <w:r w:rsidR="00810CF4">
        <w:rPr>
          <w:rFonts w:ascii="Times New Roman" w:eastAsia="標楷體" w:hAnsi="標楷體" w:hint="eastAsia"/>
        </w:rPr>
        <w:t>採</w:t>
      </w:r>
      <w:proofErr w:type="gramEnd"/>
      <w:r w:rsidR="00810CF4">
        <w:rPr>
          <w:rFonts w:ascii="Times New Roman" w:eastAsia="標楷體" w:hAnsi="標楷體" w:hint="eastAsia"/>
        </w:rPr>
        <w:t>申請點數與部分負擔合計為計算基礎</w:t>
      </w:r>
      <w:r w:rsidR="00810CF4">
        <w:rPr>
          <w:rFonts w:ascii="Times New Roman"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537A"/>
    <w:multiLevelType w:val="hybridMultilevel"/>
    <w:tmpl w:val="48C87F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5811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EC"/>
    <w:rsid w:val="00003467"/>
    <w:rsid w:val="00004653"/>
    <w:rsid w:val="000068FC"/>
    <w:rsid w:val="00006D3C"/>
    <w:rsid w:val="000118E1"/>
    <w:rsid w:val="0001537C"/>
    <w:rsid w:val="0002022C"/>
    <w:rsid w:val="00021AD4"/>
    <w:rsid w:val="00022F1F"/>
    <w:rsid w:val="000249CB"/>
    <w:rsid w:val="000250CF"/>
    <w:rsid w:val="00025D52"/>
    <w:rsid w:val="00030E07"/>
    <w:rsid w:val="00032A00"/>
    <w:rsid w:val="00033D5D"/>
    <w:rsid w:val="000367A8"/>
    <w:rsid w:val="00036B9D"/>
    <w:rsid w:val="00037509"/>
    <w:rsid w:val="000409E5"/>
    <w:rsid w:val="00046AEB"/>
    <w:rsid w:val="0004714E"/>
    <w:rsid w:val="000510FE"/>
    <w:rsid w:val="00054FC4"/>
    <w:rsid w:val="0005519A"/>
    <w:rsid w:val="000575DB"/>
    <w:rsid w:val="00065A85"/>
    <w:rsid w:val="00067EB6"/>
    <w:rsid w:val="00073DE8"/>
    <w:rsid w:val="00076318"/>
    <w:rsid w:val="00080B92"/>
    <w:rsid w:val="00081FE5"/>
    <w:rsid w:val="0008357A"/>
    <w:rsid w:val="00084885"/>
    <w:rsid w:val="000877B1"/>
    <w:rsid w:val="00092E01"/>
    <w:rsid w:val="00096707"/>
    <w:rsid w:val="00097259"/>
    <w:rsid w:val="000A2EF3"/>
    <w:rsid w:val="000A34AF"/>
    <w:rsid w:val="000A475F"/>
    <w:rsid w:val="000A6C20"/>
    <w:rsid w:val="000B1F87"/>
    <w:rsid w:val="000B6BE9"/>
    <w:rsid w:val="000B6C14"/>
    <w:rsid w:val="000C4996"/>
    <w:rsid w:val="000C702E"/>
    <w:rsid w:val="000C7128"/>
    <w:rsid w:val="000D001D"/>
    <w:rsid w:val="000D13AF"/>
    <w:rsid w:val="000D283F"/>
    <w:rsid w:val="000D3650"/>
    <w:rsid w:val="000D3A14"/>
    <w:rsid w:val="000D5596"/>
    <w:rsid w:val="000D7720"/>
    <w:rsid w:val="000E2566"/>
    <w:rsid w:val="000E396D"/>
    <w:rsid w:val="000E4151"/>
    <w:rsid w:val="000E7853"/>
    <w:rsid w:val="000F0F99"/>
    <w:rsid w:val="000F58AC"/>
    <w:rsid w:val="00101453"/>
    <w:rsid w:val="001032B9"/>
    <w:rsid w:val="00103D11"/>
    <w:rsid w:val="00111D31"/>
    <w:rsid w:val="00111EF4"/>
    <w:rsid w:val="001141CF"/>
    <w:rsid w:val="00117860"/>
    <w:rsid w:val="0012134F"/>
    <w:rsid w:val="0012284F"/>
    <w:rsid w:val="00123095"/>
    <w:rsid w:val="001243EE"/>
    <w:rsid w:val="00127FE9"/>
    <w:rsid w:val="00131E46"/>
    <w:rsid w:val="001325EF"/>
    <w:rsid w:val="00133427"/>
    <w:rsid w:val="001340A8"/>
    <w:rsid w:val="0014607F"/>
    <w:rsid w:val="0015120B"/>
    <w:rsid w:val="00151BB0"/>
    <w:rsid w:val="00151C66"/>
    <w:rsid w:val="00152B39"/>
    <w:rsid w:val="00153249"/>
    <w:rsid w:val="00156D11"/>
    <w:rsid w:val="00157247"/>
    <w:rsid w:val="0015759D"/>
    <w:rsid w:val="00162FF0"/>
    <w:rsid w:val="00163157"/>
    <w:rsid w:val="0016567B"/>
    <w:rsid w:val="00165782"/>
    <w:rsid w:val="0016766A"/>
    <w:rsid w:val="001720D1"/>
    <w:rsid w:val="00172DE6"/>
    <w:rsid w:val="001743F8"/>
    <w:rsid w:val="001749B1"/>
    <w:rsid w:val="001751A7"/>
    <w:rsid w:val="0017522C"/>
    <w:rsid w:val="00183032"/>
    <w:rsid w:val="001860B0"/>
    <w:rsid w:val="00186117"/>
    <w:rsid w:val="00186161"/>
    <w:rsid w:val="00191834"/>
    <w:rsid w:val="00192A55"/>
    <w:rsid w:val="001939D7"/>
    <w:rsid w:val="001A4BD6"/>
    <w:rsid w:val="001B1169"/>
    <w:rsid w:val="001B3E7A"/>
    <w:rsid w:val="001B4536"/>
    <w:rsid w:val="001C1764"/>
    <w:rsid w:val="001C1C3E"/>
    <w:rsid w:val="001C55C6"/>
    <w:rsid w:val="001C5970"/>
    <w:rsid w:val="001C7AF4"/>
    <w:rsid w:val="001D1063"/>
    <w:rsid w:val="001D192C"/>
    <w:rsid w:val="001D5883"/>
    <w:rsid w:val="001D5A84"/>
    <w:rsid w:val="001D5DEC"/>
    <w:rsid w:val="001D657D"/>
    <w:rsid w:val="001D7172"/>
    <w:rsid w:val="001D76C0"/>
    <w:rsid w:val="001E06F1"/>
    <w:rsid w:val="001E3D1A"/>
    <w:rsid w:val="001F0CB7"/>
    <w:rsid w:val="001F4096"/>
    <w:rsid w:val="001F6203"/>
    <w:rsid w:val="002009CB"/>
    <w:rsid w:val="00206E15"/>
    <w:rsid w:val="00212DFD"/>
    <w:rsid w:val="0022475A"/>
    <w:rsid w:val="00226670"/>
    <w:rsid w:val="00234135"/>
    <w:rsid w:val="002403C7"/>
    <w:rsid w:val="002430B8"/>
    <w:rsid w:val="00244BD8"/>
    <w:rsid w:val="00245AB7"/>
    <w:rsid w:val="00250002"/>
    <w:rsid w:val="0025416A"/>
    <w:rsid w:val="00261BA7"/>
    <w:rsid w:val="00262890"/>
    <w:rsid w:val="00264514"/>
    <w:rsid w:val="00264F35"/>
    <w:rsid w:val="00274115"/>
    <w:rsid w:val="00274958"/>
    <w:rsid w:val="00274C89"/>
    <w:rsid w:val="002760C1"/>
    <w:rsid w:val="002854E7"/>
    <w:rsid w:val="00286831"/>
    <w:rsid w:val="00287DAE"/>
    <w:rsid w:val="00291C78"/>
    <w:rsid w:val="002925ED"/>
    <w:rsid w:val="00295010"/>
    <w:rsid w:val="002974FD"/>
    <w:rsid w:val="002A1B4B"/>
    <w:rsid w:val="002A4398"/>
    <w:rsid w:val="002A47F6"/>
    <w:rsid w:val="002B46FA"/>
    <w:rsid w:val="002B54DF"/>
    <w:rsid w:val="002B61F9"/>
    <w:rsid w:val="002C34F4"/>
    <w:rsid w:val="002C6512"/>
    <w:rsid w:val="002D17DE"/>
    <w:rsid w:val="002D2E94"/>
    <w:rsid w:val="002D3A2C"/>
    <w:rsid w:val="002D5F6A"/>
    <w:rsid w:val="002E1CE0"/>
    <w:rsid w:val="002E3836"/>
    <w:rsid w:val="002E55A0"/>
    <w:rsid w:val="002F1E48"/>
    <w:rsid w:val="002F3862"/>
    <w:rsid w:val="002F4808"/>
    <w:rsid w:val="002F4B03"/>
    <w:rsid w:val="002F6922"/>
    <w:rsid w:val="00303134"/>
    <w:rsid w:val="00306737"/>
    <w:rsid w:val="00311EE1"/>
    <w:rsid w:val="003165FF"/>
    <w:rsid w:val="003242B5"/>
    <w:rsid w:val="003253FB"/>
    <w:rsid w:val="00326100"/>
    <w:rsid w:val="00326DFE"/>
    <w:rsid w:val="00327AE7"/>
    <w:rsid w:val="00332F43"/>
    <w:rsid w:val="00341EEE"/>
    <w:rsid w:val="00343834"/>
    <w:rsid w:val="003469C5"/>
    <w:rsid w:val="00350CDB"/>
    <w:rsid w:val="00350F1C"/>
    <w:rsid w:val="00351693"/>
    <w:rsid w:val="00352D78"/>
    <w:rsid w:val="003543DD"/>
    <w:rsid w:val="0035719B"/>
    <w:rsid w:val="00360321"/>
    <w:rsid w:val="00360E8D"/>
    <w:rsid w:val="00361DA5"/>
    <w:rsid w:val="00362ECB"/>
    <w:rsid w:val="00363C82"/>
    <w:rsid w:val="00365A30"/>
    <w:rsid w:val="00372E97"/>
    <w:rsid w:val="00372F0A"/>
    <w:rsid w:val="00372F43"/>
    <w:rsid w:val="00374B0C"/>
    <w:rsid w:val="00374BED"/>
    <w:rsid w:val="00386CA7"/>
    <w:rsid w:val="00391927"/>
    <w:rsid w:val="00392579"/>
    <w:rsid w:val="00392ED9"/>
    <w:rsid w:val="00393D92"/>
    <w:rsid w:val="0039475D"/>
    <w:rsid w:val="00394E64"/>
    <w:rsid w:val="00397577"/>
    <w:rsid w:val="003A52DC"/>
    <w:rsid w:val="003A7242"/>
    <w:rsid w:val="003A7D47"/>
    <w:rsid w:val="003B122F"/>
    <w:rsid w:val="003B4369"/>
    <w:rsid w:val="003B5B9B"/>
    <w:rsid w:val="003B5D0F"/>
    <w:rsid w:val="003B7066"/>
    <w:rsid w:val="003C4D6D"/>
    <w:rsid w:val="003C6548"/>
    <w:rsid w:val="003C6C99"/>
    <w:rsid w:val="003C7908"/>
    <w:rsid w:val="003D2D6F"/>
    <w:rsid w:val="003D5DC7"/>
    <w:rsid w:val="003D64FF"/>
    <w:rsid w:val="003D6998"/>
    <w:rsid w:val="003E25A3"/>
    <w:rsid w:val="003E2D93"/>
    <w:rsid w:val="003E5F50"/>
    <w:rsid w:val="003E6E3C"/>
    <w:rsid w:val="003F1763"/>
    <w:rsid w:val="003F213D"/>
    <w:rsid w:val="003F359C"/>
    <w:rsid w:val="00405DBC"/>
    <w:rsid w:val="004156A9"/>
    <w:rsid w:val="00420436"/>
    <w:rsid w:val="00420A48"/>
    <w:rsid w:val="0043035D"/>
    <w:rsid w:val="00434C8C"/>
    <w:rsid w:val="00446DF9"/>
    <w:rsid w:val="00450ADE"/>
    <w:rsid w:val="00451F97"/>
    <w:rsid w:val="00452276"/>
    <w:rsid w:val="00453F39"/>
    <w:rsid w:val="00456CFB"/>
    <w:rsid w:val="00461C01"/>
    <w:rsid w:val="00461FCE"/>
    <w:rsid w:val="0046225D"/>
    <w:rsid w:val="004655C8"/>
    <w:rsid w:val="0046589B"/>
    <w:rsid w:val="004658C1"/>
    <w:rsid w:val="00470724"/>
    <w:rsid w:val="00471BB4"/>
    <w:rsid w:val="00471C27"/>
    <w:rsid w:val="004723EF"/>
    <w:rsid w:val="00472DDF"/>
    <w:rsid w:val="00475303"/>
    <w:rsid w:val="0048563B"/>
    <w:rsid w:val="00485748"/>
    <w:rsid w:val="004863AA"/>
    <w:rsid w:val="00490290"/>
    <w:rsid w:val="004944CF"/>
    <w:rsid w:val="004949C3"/>
    <w:rsid w:val="0049599E"/>
    <w:rsid w:val="004A2C11"/>
    <w:rsid w:val="004A33D7"/>
    <w:rsid w:val="004B00EB"/>
    <w:rsid w:val="004B5E8C"/>
    <w:rsid w:val="004B7E95"/>
    <w:rsid w:val="004C1049"/>
    <w:rsid w:val="004C1DA0"/>
    <w:rsid w:val="004C465C"/>
    <w:rsid w:val="004C4F04"/>
    <w:rsid w:val="004C6A4F"/>
    <w:rsid w:val="004C6E44"/>
    <w:rsid w:val="004D0276"/>
    <w:rsid w:val="004D1638"/>
    <w:rsid w:val="004D5218"/>
    <w:rsid w:val="004D7472"/>
    <w:rsid w:val="004E35F7"/>
    <w:rsid w:val="004E374A"/>
    <w:rsid w:val="004E39F0"/>
    <w:rsid w:val="004E4227"/>
    <w:rsid w:val="004E4E73"/>
    <w:rsid w:val="004E54CE"/>
    <w:rsid w:val="004F3AF5"/>
    <w:rsid w:val="004F7387"/>
    <w:rsid w:val="004F74A0"/>
    <w:rsid w:val="00512EA6"/>
    <w:rsid w:val="00513A40"/>
    <w:rsid w:val="00513EBF"/>
    <w:rsid w:val="00515A0C"/>
    <w:rsid w:val="00520E47"/>
    <w:rsid w:val="00527FDB"/>
    <w:rsid w:val="005335B5"/>
    <w:rsid w:val="00535062"/>
    <w:rsid w:val="00536E76"/>
    <w:rsid w:val="00537415"/>
    <w:rsid w:val="00540EC0"/>
    <w:rsid w:val="005545AE"/>
    <w:rsid w:val="00556310"/>
    <w:rsid w:val="00561795"/>
    <w:rsid w:val="00571B04"/>
    <w:rsid w:val="00573813"/>
    <w:rsid w:val="0057513F"/>
    <w:rsid w:val="005753E9"/>
    <w:rsid w:val="00576976"/>
    <w:rsid w:val="00581C7E"/>
    <w:rsid w:val="00583DE9"/>
    <w:rsid w:val="00586B9C"/>
    <w:rsid w:val="00590693"/>
    <w:rsid w:val="0059277C"/>
    <w:rsid w:val="00597DF3"/>
    <w:rsid w:val="005A12E2"/>
    <w:rsid w:val="005A1D08"/>
    <w:rsid w:val="005A79C5"/>
    <w:rsid w:val="005B067B"/>
    <w:rsid w:val="005B0857"/>
    <w:rsid w:val="005B21F3"/>
    <w:rsid w:val="005B50BA"/>
    <w:rsid w:val="005B626C"/>
    <w:rsid w:val="005B7262"/>
    <w:rsid w:val="005B79B6"/>
    <w:rsid w:val="005C0157"/>
    <w:rsid w:val="005C3EB0"/>
    <w:rsid w:val="005C54C8"/>
    <w:rsid w:val="005C6F62"/>
    <w:rsid w:val="005D7908"/>
    <w:rsid w:val="005E12AB"/>
    <w:rsid w:val="005E1C23"/>
    <w:rsid w:val="005E48A8"/>
    <w:rsid w:val="005E50B0"/>
    <w:rsid w:val="005F2E5B"/>
    <w:rsid w:val="005F4CE2"/>
    <w:rsid w:val="005F5C83"/>
    <w:rsid w:val="005F7E8D"/>
    <w:rsid w:val="00601A8B"/>
    <w:rsid w:val="00602D64"/>
    <w:rsid w:val="00604D5E"/>
    <w:rsid w:val="006053E1"/>
    <w:rsid w:val="00605C54"/>
    <w:rsid w:val="00611599"/>
    <w:rsid w:val="0061214A"/>
    <w:rsid w:val="00613E4D"/>
    <w:rsid w:val="0061774A"/>
    <w:rsid w:val="00617DAD"/>
    <w:rsid w:val="006202BA"/>
    <w:rsid w:val="006205B6"/>
    <w:rsid w:val="006220DE"/>
    <w:rsid w:val="0063141C"/>
    <w:rsid w:val="00631458"/>
    <w:rsid w:val="006321F1"/>
    <w:rsid w:val="0063376E"/>
    <w:rsid w:val="00643382"/>
    <w:rsid w:val="00644331"/>
    <w:rsid w:val="0065077B"/>
    <w:rsid w:val="00651E00"/>
    <w:rsid w:val="00651E4B"/>
    <w:rsid w:val="006524D0"/>
    <w:rsid w:val="006541B8"/>
    <w:rsid w:val="00654C03"/>
    <w:rsid w:val="00655D61"/>
    <w:rsid w:val="00657060"/>
    <w:rsid w:val="0066075F"/>
    <w:rsid w:val="006631F5"/>
    <w:rsid w:val="00666F54"/>
    <w:rsid w:val="00670150"/>
    <w:rsid w:val="006740CA"/>
    <w:rsid w:val="00677E22"/>
    <w:rsid w:val="00680123"/>
    <w:rsid w:val="0068443D"/>
    <w:rsid w:val="00686241"/>
    <w:rsid w:val="00686A1F"/>
    <w:rsid w:val="00686AA6"/>
    <w:rsid w:val="00686F8E"/>
    <w:rsid w:val="0068739E"/>
    <w:rsid w:val="006905E3"/>
    <w:rsid w:val="00691A32"/>
    <w:rsid w:val="006926BC"/>
    <w:rsid w:val="00693A1A"/>
    <w:rsid w:val="00693EE7"/>
    <w:rsid w:val="006967B9"/>
    <w:rsid w:val="00697F97"/>
    <w:rsid w:val="006A1720"/>
    <w:rsid w:val="006A2487"/>
    <w:rsid w:val="006B3595"/>
    <w:rsid w:val="006B39AC"/>
    <w:rsid w:val="006B6839"/>
    <w:rsid w:val="006B6BF2"/>
    <w:rsid w:val="006C5B75"/>
    <w:rsid w:val="006C7741"/>
    <w:rsid w:val="006D058E"/>
    <w:rsid w:val="006D0DEF"/>
    <w:rsid w:val="006D3583"/>
    <w:rsid w:val="006D3E34"/>
    <w:rsid w:val="006D67AD"/>
    <w:rsid w:val="006D67B2"/>
    <w:rsid w:val="006D7A5E"/>
    <w:rsid w:val="006E344E"/>
    <w:rsid w:val="006E62C7"/>
    <w:rsid w:val="006F0F2B"/>
    <w:rsid w:val="006F2807"/>
    <w:rsid w:val="006F46B7"/>
    <w:rsid w:val="007110C5"/>
    <w:rsid w:val="00712AFA"/>
    <w:rsid w:val="007138C0"/>
    <w:rsid w:val="00717392"/>
    <w:rsid w:val="007225C6"/>
    <w:rsid w:val="00722AFF"/>
    <w:rsid w:val="007237BA"/>
    <w:rsid w:val="00724142"/>
    <w:rsid w:val="007252C0"/>
    <w:rsid w:val="0073562C"/>
    <w:rsid w:val="007368B2"/>
    <w:rsid w:val="00740C1C"/>
    <w:rsid w:val="0074423A"/>
    <w:rsid w:val="00744FC1"/>
    <w:rsid w:val="007470D2"/>
    <w:rsid w:val="00751814"/>
    <w:rsid w:val="00751D44"/>
    <w:rsid w:val="00755791"/>
    <w:rsid w:val="00756217"/>
    <w:rsid w:val="00756761"/>
    <w:rsid w:val="00756B10"/>
    <w:rsid w:val="0076423B"/>
    <w:rsid w:val="0076481F"/>
    <w:rsid w:val="00766137"/>
    <w:rsid w:val="007678AF"/>
    <w:rsid w:val="00771DEE"/>
    <w:rsid w:val="00771DF5"/>
    <w:rsid w:val="00772AFB"/>
    <w:rsid w:val="00776AB5"/>
    <w:rsid w:val="00780729"/>
    <w:rsid w:val="0078074C"/>
    <w:rsid w:val="00782B76"/>
    <w:rsid w:val="00782DE0"/>
    <w:rsid w:val="0078330A"/>
    <w:rsid w:val="00783EAF"/>
    <w:rsid w:val="007857AA"/>
    <w:rsid w:val="00786360"/>
    <w:rsid w:val="00786B56"/>
    <w:rsid w:val="00787E02"/>
    <w:rsid w:val="00791D34"/>
    <w:rsid w:val="007920CF"/>
    <w:rsid w:val="0079421E"/>
    <w:rsid w:val="00795A9F"/>
    <w:rsid w:val="00796014"/>
    <w:rsid w:val="00796EF6"/>
    <w:rsid w:val="007A253D"/>
    <w:rsid w:val="007A3125"/>
    <w:rsid w:val="007A5A4E"/>
    <w:rsid w:val="007B0C98"/>
    <w:rsid w:val="007B6485"/>
    <w:rsid w:val="007C25E0"/>
    <w:rsid w:val="007C3273"/>
    <w:rsid w:val="007C3D82"/>
    <w:rsid w:val="007C4E1C"/>
    <w:rsid w:val="007C6EC5"/>
    <w:rsid w:val="007C6FFB"/>
    <w:rsid w:val="007D5539"/>
    <w:rsid w:val="007E0070"/>
    <w:rsid w:val="007E1EA1"/>
    <w:rsid w:val="007E3B48"/>
    <w:rsid w:val="007F664C"/>
    <w:rsid w:val="007F7E7C"/>
    <w:rsid w:val="00800886"/>
    <w:rsid w:val="008009C6"/>
    <w:rsid w:val="00803F23"/>
    <w:rsid w:val="00810CF4"/>
    <w:rsid w:val="00812481"/>
    <w:rsid w:val="008138E5"/>
    <w:rsid w:val="00815398"/>
    <w:rsid w:val="00816C8A"/>
    <w:rsid w:val="00822046"/>
    <w:rsid w:val="008223AF"/>
    <w:rsid w:val="0082453E"/>
    <w:rsid w:val="00825E92"/>
    <w:rsid w:val="00826981"/>
    <w:rsid w:val="00830A2B"/>
    <w:rsid w:val="008320EB"/>
    <w:rsid w:val="00833CA5"/>
    <w:rsid w:val="00837011"/>
    <w:rsid w:val="008375C1"/>
    <w:rsid w:val="00842660"/>
    <w:rsid w:val="008463B6"/>
    <w:rsid w:val="008466A5"/>
    <w:rsid w:val="00851786"/>
    <w:rsid w:val="00851C88"/>
    <w:rsid w:val="00853E38"/>
    <w:rsid w:val="008545BF"/>
    <w:rsid w:val="00855BAB"/>
    <w:rsid w:val="008602DE"/>
    <w:rsid w:val="00861D54"/>
    <w:rsid w:val="00865FB6"/>
    <w:rsid w:val="0086665C"/>
    <w:rsid w:val="00866BE2"/>
    <w:rsid w:val="00866D46"/>
    <w:rsid w:val="00866F27"/>
    <w:rsid w:val="00871818"/>
    <w:rsid w:val="0088270E"/>
    <w:rsid w:val="0089326D"/>
    <w:rsid w:val="008957C2"/>
    <w:rsid w:val="008A010F"/>
    <w:rsid w:val="008A136A"/>
    <w:rsid w:val="008A188D"/>
    <w:rsid w:val="008A5A07"/>
    <w:rsid w:val="008A705C"/>
    <w:rsid w:val="008B0036"/>
    <w:rsid w:val="008B354F"/>
    <w:rsid w:val="008B5490"/>
    <w:rsid w:val="008B7492"/>
    <w:rsid w:val="008B762C"/>
    <w:rsid w:val="008D014E"/>
    <w:rsid w:val="008D36E2"/>
    <w:rsid w:val="008E02C4"/>
    <w:rsid w:val="008E2548"/>
    <w:rsid w:val="008F6360"/>
    <w:rsid w:val="008F69CE"/>
    <w:rsid w:val="009009A1"/>
    <w:rsid w:val="00901B4F"/>
    <w:rsid w:val="00905EB8"/>
    <w:rsid w:val="009073DB"/>
    <w:rsid w:val="00910EC2"/>
    <w:rsid w:val="00911D54"/>
    <w:rsid w:val="0091621A"/>
    <w:rsid w:val="00916C28"/>
    <w:rsid w:val="00917E57"/>
    <w:rsid w:val="00920448"/>
    <w:rsid w:val="00925D6E"/>
    <w:rsid w:val="009271E2"/>
    <w:rsid w:val="00935A3C"/>
    <w:rsid w:val="00935D32"/>
    <w:rsid w:val="009459D7"/>
    <w:rsid w:val="00947A18"/>
    <w:rsid w:val="00950851"/>
    <w:rsid w:val="00950C57"/>
    <w:rsid w:val="00955541"/>
    <w:rsid w:val="00955983"/>
    <w:rsid w:val="00955F80"/>
    <w:rsid w:val="00957B38"/>
    <w:rsid w:val="009776F4"/>
    <w:rsid w:val="0098510A"/>
    <w:rsid w:val="0098566C"/>
    <w:rsid w:val="00987E25"/>
    <w:rsid w:val="00991767"/>
    <w:rsid w:val="00992093"/>
    <w:rsid w:val="00994EE7"/>
    <w:rsid w:val="00995E81"/>
    <w:rsid w:val="009A4105"/>
    <w:rsid w:val="009A428D"/>
    <w:rsid w:val="009A7F3E"/>
    <w:rsid w:val="009C25A6"/>
    <w:rsid w:val="009C2E0A"/>
    <w:rsid w:val="009C488A"/>
    <w:rsid w:val="009C5133"/>
    <w:rsid w:val="009C7C52"/>
    <w:rsid w:val="009D1A6D"/>
    <w:rsid w:val="009D56EE"/>
    <w:rsid w:val="009D5CCA"/>
    <w:rsid w:val="009F1C11"/>
    <w:rsid w:val="009F6F1D"/>
    <w:rsid w:val="00A022E1"/>
    <w:rsid w:val="00A10F73"/>
    <w:rsid w:val="00A2010E"/>
    <w:rsid w:val="00A22487"/>
    <w:rsid w:val="00A234DC"/>
    <w:rsid w:val="00A25680"/>
    <w:rsid w:val="00A32B0F"/>
    <w:rsid w:val="00A35AB8"/>
    <w:rsid w:val="00A418EE"/>
    <w:rsid w:val="00A44553"/>
    <w:rsid w:val="00A45C47"/>
    <w:rsid w:val="00A4725E"/>
    <w:rsid w:val="00A51393"/>
    <w:rsid w:val="00A530A4"/>
    <w:rsid w:val="00A53F79"/>
    <w:rsid w:val="00A54FAB"/>
    <w:rsid w:val="00A54FBD"/>
    <w:rsid w:val="00A56F22"/>
    <w:rsid w:val="00A657CC"/>
    <w:rsid w:val="00A66D67"/>
    <w:rsid w:val="00A66DB8"/>
    <w:rsid w:val="00A6753B"/>
    <w:rsid w:val="00A67FB2"/>
    <w:rsid w:val="00A72521"/>
    <w:rsid w:val="00A72BAD"/>
    <w:rsid w:val="00A74515"/>
    <w:rsid w:val="00A7719C"/>
    <w:rsid w:val="00A77EA4"/>
    <w:rsid w:val="00A80EDD"/>
    <w:rsid w:val="00A81FF3"/>
    <w:rsid w:val="00A829DF"/>
    <w:rsid w:val="00A84852"/>
    <w:rsid w:val="00A868D0"/>
    <w:rsid w:val="00A90FF2"/>
    <w:rsid w:val="00A964DB"/>
    <w:rsid w:val="00A96ED2"/>
    <w:rsid w:val="00AB25B3"/>
    <w:rsid w:val="00AB3283"/>
    <w:rsid w:val="00AB3BEB"/>
    <w:rsid w:val="00AC5359"/>
    <w:rsid w:val="00AD107B"/>
    <w:rsid w:val="00AD1958"/>
    <w:rsid w:val="00AE0A84"/>
    <w:rsid w:val="00AE5CCC"/>
    <w:rsid w:val="00AE6815"/>
    <w:rsid w:val="00AE6F68"/>
    <w:rsid w:val="00AF2D84"/>
    <w:rsid w:val="00AF417B"/>
    <w:rsid w:val="00AF4203"/>
    <w:rsid w:val="00AF479C"/>
    <w:rsid w:val="00AF49B9"/>
    <w:rsid w:val="00AF62C8"/>
    <w:rsid w:val="00B04BC0"/>
    <w:rsid w:val="00B117AA"/>
    <w:rsid w:val="00B140BC"/>
    <w:rsid w:val="00B1618E"/>
    <w:rsid w:val="00B16B71"/>
    <w:rsid w:val="00B178FF"/>
    <w:rsid w:val="00B17BF7"/>
    <w:rsid w:val="00B242C1"/>
    <w:rsid w:val="00B26B37"/>
    <w:rsid w:val="00B27569"/>
    <w:rsid w:val="00B301A1"/>
    <w:rsid w:val="00B30330"/>
    <w:rsid w:val="00B31EF8"/>
    <w:rsid w:val="00B333BD"/>
    <w:rsid w:val="00B3718E"/>
    <w:rsid w:val="00B37338"/>
    <w:rsid w:val="00B42045"/>
    <w:rsid w:val="00B440C8"/>
    <w:rsid w:val="00B442EC"/>
    <w:rsid w:val="00B4468C"/>
    <w:rsid w:val="00B46FD6"/>
    <w:rsid w:val="00B53278"/>
    <w:rsid w:val="00B54CBC"/>
    <w:rsid w:val="00B57909"/>
    <w:rsid w:val="00B65369"/>
    <w:rsid w:val="00B65651"/>
    <w:rsid w:val="00B66D36"/>
    <w:rsid w:val="00B70C7F"/>
    <w:rsid w:val="00B715CD"/>
    <w:rsid w:val="00B74734"/>
    <w:rsid w:val="00B83CCC"/>
    <w:rsid w:val="00B863B1"/>
    <w:rsid w:val="00B92586"/>
    <w:rsid w:val="00B929D1"/>
    <w:rsid w:val="00B955B1"/>
    <w:rsid w:val="00BA0D32"/>
    <w:rsid w:val="00BA1AC8"/>
    <w:rsid w:val="00BC0A47"/>
    <w:rsid w:val="00BC2A66"/>
    <w:rsid w:val="00BC3466"/>
    <w:rsid w:val="00BC6E23"/>
    <w:rsid w:val="00BE21A6"/>
    <w:rsid w:val="00BE550C"/>
    <w:rsid w:val="00BF005E"/>
    <w:rsid w:val="00BF3654"/>
    <w:rsid w:val="00BF4A73"/>
    <w:rsid w:val="00BF5BA6"/>
    <w:rsid w:val="00BF5D7D"/>
    <w:rsid w:val="00C03472"/>
    <w:rsid w:val="00C0511C"/>
    <w:rsid w:val="00C05997"/>
    <w:rsid w:val="00C06799"/>
    <w:rsid w:val="00C108CC"/>
    <w:rsid w:val="00C12FE0"/>
    <w:rsid w:val="00C13E3C"/>
    <w:rsid w:val="00C155B3"/>
    <w:rsid w:val="00C16B91"/>
    <w:rsid w:val="00C16D99"/>
    <w:rsid w:val="00C223DE"/>
    <w:rsid w:val="00C22C6F"/>
    <w:rsid w:val="00C23D82"/>
    <w:rsid w:val="00C34D9A"/>
    <w:rsid w:val="00C366DE"/>
    <w:rsid w:val="00C424DB"/>
    <w:rsid w:val="00C4305B"/>
    <w:rsid w:val="00C4742F"/>
    <w:rsid w:val="00C50BC4"/>
    <w:rsid w:val="00C50FF1"/>
    <w:rsid w:val="00C5545A"/>
    <w:rsid w:val="00C55CCF"/>
    <w:rsid w:val="00C661F1"/>
    <w:rsid w:val="00C7058C"/>
    <w:rsid w:val="00C71ADB"/>
    <w:rsid w:val="00C74D7E"/>
    <w:rsid w:val="00C765A4"/>
    <w:rsid w:val="00C84D8A"/>
    <w:rsid w:val="00C860E1"/>
    <w:rsid w:val="00CA4A3F"/>
    <w:rsid w:val="00CA54B8"/>
    <w:rsid w:val="00CB22AB"/>
    <w:rsid w:val="00CB2D15"/>
    <w:rsid w:val="00CB3FC0"/>
    <w:rsid w:val="00CB49DE"/>
    <w:rsid w:val="00CC2930"/>
    <w:rsid w:val="00CC3F26"/>
    <w:rsid w:val="00CD0535"/>
    <w:rsid w:val="00CD0E85"/>
    <w:rsid w:val="00CD16DC"/>
    <w:rsid w:val="00CD2BF0"/>
    <w:rsid w:val="00CD32CA"/>
    <w:rsid w:val="00CD5CBC"/>
    <w:rsid w:val="00CD71B7"/>
    <w:rsid w:val="00CE2721"/>
    <w:rsid w:val="00CE50B0"/>
    <w:rsid w:val="00CF1431"/>
    <w:rsid w:val="00CF1D51"/>
    <w:rsid w:val="00CF4F8B"/>
    <w:rsid w:val="00D00B59"/>
    <w:rsid w:val="00D049B2"/>
    <w:rsid w:val="00D128BC"/>
    <w:rsid w:val="00D141E7"/>
    <w:rsid w:val="00D1594B"/>
    <w:rsid w:val="00D16085"/>
    <w:rsid w:val="00D16163"/>
    <w:rsid w:val="00D22C4D"/>
    <w:rsid w:val="00D3106C"/>
    <w:rsid w:val="00D4091A"/>
    <w:rsid w:val="00D44E45"/>
    <w:rsid w:val="00D461D8"/>
    <w:rsid w:val="00D472FB"/>
    <w:rsid w:val="00D5034F"/>
    <w:rsid w:val="00D50450"/>
    <w:rsid w:val="00D50C37"/>
    <w:rsid w:val="00D52701"/>
    <w:rsid w:val="00D544A1"/>
    <w:rsid w:val="00D5656D"/>
    <w:rsid w:val="00D62601"/>
    <w:rsid w:val="00D63897"/>
    <w:rsid w:val="00D63D59"/>
    <w:rsid w:val="00D65C2E"/>
    <w:rsid w:val="00D70470"/>
    <w:rsid w:val="00D73B2B"/>
    <w:rsid w:val="00D7421A"/>
    <w:rsid w:val="00D74E50"/>
    <w:rsid w:val="00D75307"/>
    <w:rsid w:val="00D76CCC"/>
    <w:rsid w:val="00D776D6"/>
    <w:rsid w:val="00D83489"/>
    <w:rsid w:val="00D8369E"/>
    <w:rsid w:val="00D83701"/>
    <w:rsid w:val="00D84B7C"/>
    <w:rsid w:val="00D86181"/>
    <w:rsid w:val="00D87A6A"/>
    <w:rsid w:val="00D941BA"/>
    <w:rsid w:val="00D94F46"/>
    <w:rsid w:val="00D95B94"/>
    <w:rsid w:val="00D9647F"/>
    <w:rsid w:val="00DA2F58"/>
    <w:rsid w:val="00DA4CF2"/>
    <w:rsid w:val="00DB0502"/>
    <w:rsid w:val="00DB1CCF"/>
    <w:rsid w:val="00DB2499"/>
    <w:rsid w:val="00DB5317"/>
    <w:rsid w:val="00DC2CB5"/>
    <w:rsid w:val="00DC3F1A"/>
    <w:rsid w:val="00DD227B"/>
    <w:rsid w:val="00DD27D8"/>
    <w:rsid w:val="00DD2DFF"/>
    <w:rsid w:val="00DE09A2"/>
    <w:rsid w:val="00DE0B14"/>
    <w:rsid w:val="00DE18CA"/>
    <w:rsid w:val="00DE1D48"/>
    <w:rsid w:val="00DE2493"/>
    <w:rsid w:val="00DE6125"/>
    <w:rsid w:val="00DF0BE5"/>
    <w:rsid w:val="00DF1DED"/>
    <w:rsid w:val="00DF7275"/>
    <w:rsid w:val="00E053F6"/>
    <w:rsid w:val="00E10501"/>
    <w:rsid w:val="00E14A1E"/>
    <w:rsid w:val="00E15533"/>
    <w:rsid w:val="00E17F98"/>
    <w:rsid w:val="00E21F0F"/>
    <w:rsid w:val="00E226BB"/>
    <w:rsid w:val="00E22EF6"/>
    <w:rsid w:val="00E2313C"/>
    <w:rsid w:val="00E26551"/>
    <w:rsid w:val="00E33E80"/>
    <w:rsid w:val="00E363DA"/>
    <w:rsid w:val="00E41E7C"/>
    <w:rsid w:val="00E44710"/>
    <w:rsid w:val="00E46CE0"/>
    <w:rsid w:val="00E53132"/>
    <w:rsid w:val="00E55E0C"/>
    <w:rsid w:val="00E5709B"/>
    <w:rsid w:val="00E625F9"/>
    <w:rsid w:val="00E63178"/>
    <w:rsid w:val="00E64757"/>
    <w:rsid w:val="00E70162"/>
    <w:rsid w:val="00E70AB7"/>
    <w:rsid w:val="00E71BB0"/>
    <w:rsid w:val="00E769EE"/>
    <w:rsid w:val="00E7787E"/>
    <w:rsid w:val="00E8049F"/>
    <w:rsid w:val="00E8111C"/>
    <w:rsid w:val="00E82179"/>
    <w:rsid w:val="00E836C1"/>
    <w:rsid w:val="00E83C3F"/>
    <w:rsid w:val="00E90E0C"/>
    <w:rsid w:val="00E93E56"/>
    <w:rsid w:val="00EA0CEF"/>
    <w:rsid w:val="00EA3A77"/>
    <w:rsid w:val="00EA48EC"/>
    <w:rsid w:val="00EA4970"/>
    <w:rsid w:val="00EB5C72"/>
    <w:rsid w:val="00EB5CD7"/>
    <w:rsid w:val="00EC0D79"/>
    <w:rsid w:val="00EC25A0"/>
    <w:rsid w:val="00EC27EC"/>
    <w:rsid w:val="00EC4786"/>
    <w:rsid w:val="00EC5247"/>
    <w:rsid w:val="00ED2434"/>
    <w:rsid w:val="00ED2C7B"/>
    <w:rsid w:val="00ED538B"/>
    <w:rsid w:val="00ED753F"/>
    <w:rsid w:val="00EE02D4"/>
    <w:rsid w:val="00EE0913"/>
    <w:rsid w:val="00EE5DE6"/>
    <w:rsid w:val="00EE630B"/>
    <w:rsid w:val="00EF34A0"/>
    <w:rsid w:val="00EF48F8"/>
    <w:rsid w:val="00EF573E"/>
    <w:rsid w:val="00EF60EF"/>
    <w:rsid w:val="00F002E0"/>
    <w:rsid w:val="00F03338"/>
    <w:rsid w:val="00F056EA"/>
    <w:rsid w:val="00F07A90"/>
    <w:rsid w:val="00F11B6D"/>
    <w:rsid w:val="00F14A30"/>
    <w:rsid w:val="00F15152"/>
    <w:rsid w:val="00F2278F"/>
    <w:rsid w:val="00F244F2"/>
    <w:rsid w:val="00F259F6"/>
    <w:rsid w:val="00F25FDD"/>
    <w:rsid w:val="00F27CB1"/>
    <w:rsid w:val="00F320BC"/>
    <w:rsid w:val="00F32767"/>
    <w:rsid w:val="00F34E9F"/>
    <w:rsid w:val="00F420EA"/>
    <w:rsid w:val="00F459D9"/>
    <w:rsid w:val="00F52D56"/>
    <w:rsid w:val="00F553A7"/>
    <w:rsid w:val="00F57BA8"/>
    <w:rsid w:val="00F7169E"/>
    <w:rsid w:val="00F75054"/>
    <w:rsid w:val="00F84032"/>
    <w:rsid w:val="00F964E9"/>
    <w:rsid w:val="00FA08EC"/>
    <w:rsid w:val="00FA244D"/>
    <w:rsid w:val="00FB0203"/>
    <w:rsid w:val="00FB3083"/>
    <w:rsid w:val="00FB59C2"/>
    <w:rsid w:val="00FB5F1A"/>
    <w:rsid w:val="00FC1F33"/>
    <w:rsid w:val="00FC28AA"/>
    <w:rsid w:val="00FC3408"/>
    <w:rsid w:val="00FC64E4"/>
    <w:rsid w:val="00FD2056"/>
    <w:rsid w:val="00FD459E"/>
    <w:rsid w:val="00FE2919"/>
    <w:rsid w:val="00FE3588"/>
    <w:rsid w:val="00FE75C3"/>
    <w:rsid w:val="00FF001B"/>
    <w:rsid w:val="00FF0ACE"/>
    <w:rsid w:val="00FF1D32"/>
    <w:rsid w:val="00FF1F0D"/>
    <w:rsid w:val="00FF278A"/>
    <w:rsid w:val="00FF6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3B3587"/>
  <w15:docId w15:val="{EFEE1A9C-B472-4264-B2B5-2208173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2EC"/>
    <w:pPr>
      <w:ind w:leftChars="200" w:left="480"/>
    </w:pPr>
  </w:style>
  <w:style w:type="paragraph" w:styleId="a4">
    <w:name w:val="Balloon Text"/>
    <w:basedOn w:val="a"/>
    <w:link w:val="a5"/>
    <w:uiPriority w:val="99"/>
    <w:semiHidden/>
    <w:unhideWhenUsed/>
    <w:rsid w:val="00B442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442EC"/>
    <w:rPr>
      <w:rFonts w:asciiTheme="majorHAnsi" w:eastAsiaTheme="majorEastAsia" w:hAnsiTheme="majorHAnsi" w:cstheme="majorBidi"/>
      <w:sz w:val="18"/>
      <w:szCs w:val="18"/>
    </w:rPr>
  </w:style>
  <w:style w:type="paragraph" w:styleId="a6">
    <w:name w:val="header"/>
    <w:basedOn w:val="a"/>
    <w:link w:val="a7"/>
    <w:uiPriority w:val="99"/>
    <w:unhideWhenUsed/>
    <w:rsid w:val="00351693"/>
    <w:pPr>
      <w:tabs>
        <w:tab w:val="center" w:pos="4153"/>
        <w:tab w:val="right" w:pos="8306"/>
      </w:tabs>
      <w:snapToGrid w:val="0"/>
    </w:pPr>
    <w:rPr>
      <w:sz w:val="20"/>
      <w:szCs w:val="20"/>
    </w:rPr>
  </w:style>
  <w:style w:type="character" w:customStyle="1" w:styleId="a7">
    <w:name w:val="頁首 字元"/>
    <w:basedOn w:val="a0"/>
    <w:link w:val="a6"/>
    <w:uiPriority w:val="99"/>
    <w:rsid w:val="00351693"/>
    <w:rPr>
      <w:sz w:val="20"/>
      <w:szCs w:val="20"/>
    </w:rPr>
  </w:style>
  <w:style w:type="paragraph" w:styleId="a8">
    <w:name w:val="footer"/>
    <w:basedOn w:val="a"/>
    <w:link w:val="a9"/>
    <w:uiPriority w:val="99"/>
    <w:unhideWhenUsed/>
    <w:rsid w:val="00351693"/>
    <w:pPr>
      <w:tabs>
        <w:tab w:val="center" w:pos="4153"/>
        <w:tab w:val="right" w:pos="8306"/>
      </w:tabs>
      <w:snapToGrid w:val="0"/>
    </w:pPr>
    <w:rPr>
      <w:sz w:val="20"/>
      <w:szCs w:val="20"/>
    </w:rPr>
  </w:style>
  <w:style w:type="character" w:customStyle="1" w:styleId="a9">
    <w:name w:val="頁尾 字元"/>
    <w:basedOn w:val="a0"/>
    <w:link w:val="a8"/>
    <w:uiPriority w:val="99"/>
    <w:rsid w:val="00351693"/>
    <w:rPr>
      <w:sz w:val="20"/>
      <w:szCs w:val="20"/>
    </w:rPr>
  </w:style>
  <w:style w:type="paragraph" w:styleId="aa">
    <w:name w:val="footnote text"/>
    <w:basedOn w:val="a"/>
    <w:link w:val="ab"/>
    <w:semiHidden/>
    <w:unhideWhenUsed/>
    <w:rsid w:val="00EE0913"/>
    <w:pPr>
      <w:snapToGrid w:val="0"/>
    </w:pPr>
    <w:rPr>
      <w:sz w:val="20"/>
      <w:szCs w:val="20"/>
    </w:rPr>
  </w:style>
  <w:style w:type="character" w:customStyle="1" w:styleId="ab">
    <w:name w:val="註腳文字 字元"/>
    <w:basedOn w:val="a0"/>
    <w:link w:val="aa"/>
    <w:semiHidden/>
    <w:rsid w:val="00EE0913"/>
    <w:rPr>
      <w:sz w:val="20"/>
      <w:szCs w:val="20"/>
    </w:rPr>
  </w:style>
  <w:style w:type="character" w:styleId="ac">
    <w:name w:val="footnote reference"/>
    <w:basedOn w:val="a0"/>
    <w:semiHidden/>
    <w:unhideWhenUsed/>
    <w:rsid w:val="00EE0913"/>
    <w:rPr>
      <w:vertAlign w:val="superscript"/>
    </w:rPr>
  </w:style>
  <w:style w:type="character" w:styleId="ad">
    <w:name w:val="Hyperlink"/>
    <w:basedOn w:val="a0"/>
    <w:uiPriority w:val="99"/>
    <w:unhideWhenUsed/>
    <w:rsid w:val="00151C66"/>
    <w:rPr>
      <w:color w:val="0000FF" w:themeColor="hyperlink"/>
      <w:u w:val="single"/>
    </w:rPr>
  </w:style>
  <w:style w:type="character" w:styleId="ae">
    <w:name w:val="FollowedHyperlink"/>
    <w:basedOn w:val="a0"/>
    <w:uiPriority w:val="99"/>
    <w:semiHidden/>
    <w:unhideWhenUsed/>
    <w:rsid w:val="00451F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3175">
      <w:bodyDiv w:val="1"/>
      <w:marLeft w:val="0"/>
      <w:marRight w:val="0"/>
      <w:marTop w:val="0"/>
      <w:marBottom w:val="0"/>
      <w:divBdr>
        <w:top w:val="none" w:sz="0" w:space="0" w:color="auto"/>
        <w:left w:val="none" w:sz="0" w:space="0" w:color="auto"/>
        <w:bottom w:val="none" w:sz="0" w:space="0" w:color="auto"/>
        <w:right w:val="none" w:sz="0" w:space="0" w:color="auto"/>
      </w:divBdr>
    </w:div>
    <w:div w:id="644354324">
      <w:bodyDiv w:val="1"/>
      <w:marLeft w:val="0"/>
      <w:marRight w:val="0"/>
      <w:marTop w:val="0"/>
      <w:marBottom w:val="0"/>
      <w:divBdr>
        <w:top w:val="none" w:sz="0" w:space="0" w:color="auto"/>
        <w:left w:val="none" w:sz="0" w:space="0" w:color="auto"/>
        <w:bottom w:val="none" w:sz="0" w:space="0" w:color="auto"/>
        <w:right w:val="none" w:sz="0" w:space="0" w:color="auto"/>
      </w:divBdr>
    </w:div>
    <w:div w:id="13917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mis-km-nt1\&#30693;&#35672;&#24235;\01-&#22781;&#38570;&#31934;&#31639;&#34389;\03&#21830;&#21697;&#32068;\&#38263;&#30701;&#24180;&#26399;&#20581;&#24247;&#38570;&#25613;&#22833;&#29575;\&#38263;&#24180;&#26399;&#20581;&#24247;&#38570;&#25613;&#22833;&#29575;\&#26032;&#29256;\110&#24180;\&#20998;&#20844;&#21496;&#21029;_26-4&#38263;&#24180;&#26399;&#20581;&#24247;&#38570;&#24409;&#25972;&#32080;&#26524;(110&#241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400202\Desktop\&#26989;&#21209;\04&#38263;&#30701;&#24180;&#26399;&#20581;&#24247;&#38570;&#25613;&#22833;&#29575;\&#20581;&#20445;_T80\&#24409;&#3231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200">
                <a:solidFill>
                  <a:schemeClr val="tx1"/>
                </a:solidFill>
                <a:latin typeface="標楷體" panose="03000509000000000000" pitchFamily="65" charset="-120"/>
                <a:ea typeface="標楷體" panose="03000509000000000000" pitchFamily="65" charset="-120"/>
              </a:rPr>
              <a:t>保單年度</a:t>
            </a:r>
          </a:p>
        </c:rich>
      </c:tx>
      <c:layout>
        <c:manualLayout>
          <c:xMode val="edge"/>
          <c:yMode val="edge"/>
          <c:x val="0.89728897268123176"/>
          <c:y val="0.8601583113456464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8.3480536763890431E-2"/>
          <c:y val="0.20857540564685351"/>
          <c:w val="0.8188668810764852"/>
          <c:h val="0.61057860511499384"/>
        </c:manualLayout>
      </c:layout>
      <c:lineChart>
        <c:grouping val="standard"/>
        <c:varyColors val="0"/>
        <c:ser>
          <c:idx val="0"/>
          <c:order val="0"/>
          <c:tx>
            <c:strRef>
              <c:f>圖!$B$10</c:f>
              <c:strCache>
                <c:ptCount val="1"/>
                <c:pt idx="0">
                  <c:v>108填報年度</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cat>
            <c:strRef>
              <c:f>圖!$C$9:$N$9</c:f>
              <c:strCache>
                <c:ptCount val="12"/>
                <c:pt idx="0">
                  <c:v>1</c:v>
                </c:pt>
                <c:pt idx="1">
                  <c:v>2</c:v>
                </c:pt>
                <c:pt idx="2">
                  <c:v>3</c:v>
                </c:pt>
                <c:pt idx="3">
                  <c:v>4</c:v>
                </c:pt>
                <c:pt idx="4">
                  <c:v>5</c:v>
                </c:pt>
                <c:pt idx="5">
                  <c:v>6</c:v>
                </c:pt>
                <c:pt idx="6">
                  <c:v>7</c:v>
                </c:pt>
                <c:pt idx="7">
                  <c:v>8</c:v>
                </c:pt>
                <c:pt idx="8">
                  <c:v>9</c:v>
                </c:pt>
                <c:pt idx="9">
                  <c:v>10</c:v>
                </c:pt>
                <c:pt idx="10">
                  <c:v>11~14</c:v>
                </c:pt>
                <c:pt idx="11">
                  <c:v>15+</c:v>
                </c:pt>
              </c:strCache>
            </c:strRef>
          </c:cat>
          <c:val>
            <c:numRef>
              <c:f>圖!$C$10:$N$10</c:f>
              <c:numCache>
                <c:formatCode>0%</c:formatCode>
                <c:ptCount val="12"/>
                <c:pt idx="0">
                  <c:v>0.39</c:v>
                </c:pt>
                <c:pt idx="1">
                  <c:v>0.52</c:v>
                </c:pt>
                <c:pt idx="2">
                  <c:v>0.59</c:v>
                </c:pt>
                <c:pt idx="3">
                  <c:v>0.59</c:v>
                </c:pt>
                <c:pt idx="4">
                  <c:v>0.53</c:v>
                </c:pt>
                <c:pt idx="5">
                  <c:v>0.51</c:v>
                </c:pt>
                <c:pt idx="6">
                  <c:v>0.53</c:v>
                </c:pt>
                <c:pt idx="7">
                  <c:v>0.54</c:v>
                </c:pt>
                <c:pt idx="8">
                  <c:v>0.53</c:v>
                </c:pt>
                <c:pt idx="9">
                  <c:v>0.48</c:v>
                </c:pt>
                <c:pt idx="10">
                  <c:v>0.59</c:v>
                </c:pt>
                <c:pt idx="11">
                  <c:v>0.81</c:v>
                </c:pt>
              </c:numCache>
            </c:numRef>
          </c:val>
          <c:smooth val="0"/>
          <c:extLst>
            <c:ext xmlns:c16="http://schemas.microsoft.com/office/drawing/2014/chart" uri="{C3380CC4-5D6E-409C-BE32-E72D297353CC}">
              <c16:uniqueId val="{00000000-E1CD-49C6-A7BD-01E0349947AC}"/>
            </c:ext>
          </c:extLst>
        </c:ser>
        <c:ser>
          <c:idx val="1"/>
          <c:order val="1"/>
          <c:tx>
            <c:strRef>
              <c:f>圖!$B$11</c:f>
              <c:strCache>
                <c:ptCount val="1"/>
                <c:pt idx="0">
                  <c:v>109填報年度</c:v>
                </c:pt>
              </c:strCache>
            </c:strRef>
          </c:tx>
          <c:spPr>
            <a:ln w="28575" cap="rnd">
              <a:solidFill>
                <a:schemeClr val="accent2"/>
              </a:solidFill>
              <a:round/>
            </a:ln>
            <a:effectLst/>
          </c:spPr>
          <c:marker>
            <c:symbol val="diamond"/>
            <c:size val="7"/>
            <c:spPr>
              <a:solidFill>
                <a:schemeClr val="accent2"/>
              </a:solidFill>
              <a:ln w="9525">
                <a:solidFill>
                  <a:schemeClr val="accent2"/>
                </a:solidFill>
              </a:ln>
              <a:effectLst/>
            </c:spPr>
          </c:marker>
          <c:cat>
            <c:strRef>
              <c:f>圖!$C$9:$N$9</c:f>
              <c:strCache>
                <c:ptCount val="12"/>
                <c:pt idx="0">
                  <c:v>1</c:v>
                </c:pt>
                <c:pt idx="1">
                  <c:v>2</c:v>
                </c:pt>
                <c:pt idx="2">
                  <c:v>3</c:v>
                </c:pt>
                <c:pt idx="3">
                  <c:v>4</c:v>
                </c:pt>
                <c:pt idx="4">
                  <c:v>5</c:v>
                </c:pt>
                <c:pt idx="5">
                  <c:v>6</c:v>
                </c:pt>
                <c:pt idx="6">
                  <c:v>7</c:v>
                </c:pt>
                <c:pt idx="7">
                  <c:v>8</c:v>
                </c:pt>
                <c:pt idx="8">
                  <c:v>9</c:v>
                </c:pt>
                <c:pt idx="9">
                  <c:v>10</c:v>
                </c:pt>
                <c:pt idx="10">
                  <c:v>11~14</c:v>
                </c:pt>
                <c:pt idx="11">
                  <c:v>15+</c:v>
                </c:pt>
              </c:strCache>
            </c:strRef>
          </c:cat>
          <c:val>
            <c:numRef>
              <c:f>圖!$C$11:$N$11</c:f>
              <c:numCache>
                <c:formatCode>0%</c:formatCode>
                <c:ptCount val="12"/>
                <c:pt idx="0">
                  <c:v>0.38366193492274603</c:v>
                </c:pt>
                <c:pt idx="1">
                  <c:v>0.49575760875324165</c:v>
                </c:pt>
                <c:pt idx="2">
                  <c:v>0.56945291974076895</c:v>
                </c:pt>
                <c:pt idx="3">
                  <c:v>0.58334772926914447</c:v>
                </c:pt>
                <c:pt idx="4">
                  <c:v>0.56244392828041911</c:v>
                </c:pt>
                <c:pt idx="5">
                  <c:v>0.54731497570862364</c:v>
                </c:pt>
                <c:pt idx="6">
                  <c:v>0.52914463666695077</c:v>
                </c:pt>
                <c:pt idx="7">
                  <c:v>0.50541237163807406</c:v>
                </c:pt>
                <c:pt idx="8">
                  <c:v>0.50789701456372705</c:v>
                </c:pt>
                <c:pt idx="9">
                  <c:v>0.4605958860840349</c:v>
                </c:pt>
                <c:pt idx="10">
                  <c:v>0.537752024617286</c:v>
                </c:pt>
                <c:pt idx="11">
                  <c:v>0.78842460700272243</c:v>
                </c:pt>
              </c:numCache>
            </c:numRef>
          </c:val>
          <c:smooth val="0"/>
          <c:extLst>
            <c:ext xmlns:c16="http://schemas.microsoft.com/office/drawing/2014/chart" uri="{C3380CC4-5D6E-409C-BE32-E72D297353CC}">
              <c16:uniqueId val="{00000001-E1CD-49C6-A7BD-01E0349947AC}"/>
            </c:ext>
          </c:extLst>
        </c:ser>
        <c:ser>
          <c:idx val="2"/>
          <c:order val="2"/>
          <c:tx>
            <c:strRef>
              <c:f>圖!$B$12</c:f>
              <c:strCache>
                <c:ptCount val="1"/>
                <c:pt idx="0">
                  <c:v>110填報年度</c:v>
                </c:pt>
              </c:strCache>
            </c:strRef>
          </c:tx>
          <c:spPr>
            <a:ln w="28575" cap="rnd">
              <a:solidFill>
                <a:schemeClr val="accent3"/>
              </a:solidFill>
              <a:round/>
            </a:ln>
            <a:effectLst/>
          </c:spPr>
          <c:marker>
            <c:symbol val="square"/>
            <c:size val="6"/>
            <c:spPr>
              <a:solidFill>
                <a:schemeClr val="accent3"/>
              </a:solidFill>
              <a:ln w="9525">
                <a:solidFill>
                  <a:schemeClr val="accent3"/>
                </a:solidFill>
              </a:ln>
              <a:effectLst/>
            </c:spPr>
          </c:marker>
          <c:cat>
            <c:strRef>
              <c:f>圖!$C$9:$N$9</c:f>
              <c:strCache>
                <c:ptCount val="12"/>
                <c:pt idx="0">
                  <c:v>1</c:v>
                </c:pt>
                <c:pt idx="1">
                  <c:v>2</c:v>
                </c:pt>
                <c:pt idx="2">
                  <c:v>3</c:v>
                </c:pt>
                <c:pt idx="3">
                  <c:v>4</c:v>
                </c:pt>
                <c:pt idx="4">
                  <c:v>5</c:v>
                </c:pt>
                <c:pt idx="5">
                  <c:v>6</c:v>
                </c:pt>
                <c:pt idx="6">
                  <c:v>7</c:v>
                </c:pt>
                <c:pt idx="7">
                  <c:v>8</c:v>
                </c:pt>
                <c:pt idx="8">
                  <c:v>9</c:v>
                </c:pt>
                <c:pt idx="9">
                  <c:v>10</c:v>
                </c:pt>
                <c:pt idx="10">
                  <c:v>11~14</c:v>
                </c:pt>
                <c:pt idx="11">
                  <c:v>15+</c:v>
                </c:pt>
              </c:strCache>
            </c:strRef>
          </c:cat>
          <c:val>
            <c:numRef>
              <c:f>圖!$C$12:$N$12</c:f>
              <c:numCache>
                <c:formatCode>0%</c:formatCode>
                <c:ptCount val="12"/>
                <c:pt idx="0">
                  <c:v>0.39512105622382399</c:v>
                </c:pt>
                <c:pt idx="1">
                  <c:v>0.49347638763393253</c:v>
                </c:pt>
                <c:pt idx="2">
                  <c:v>0.5492522315549051</c:v>
                </c:pt>
                <c:pt idx="3">
                  <c:v>0.55741396263795395</c:v>
                </c:pt>
                <c:pt idx="4">
                  <c:v>0.57733603642933695</c:v>
                </c:pt>
                <c:pt idx="5">
                  <c:v>0.56392116884738586</c:v>
                </c:pt>
                <c:pt idx="6">
                  <c:v>0.49488368485227385</c:v>
                </c:pt>
                <c:pt idx="7">
                  <c:v>0.48485382749087763</c:v>
                </c:pt>
                <c:pt idx="8">
                  <c:v>0.49664835961495668</c:v>
                </c:pt>
                <c:pt idx="9">
                  <c:v>0.46706658371684812</c:v>
                </c:pt>
                <c:pt idx="10">
                  <c:v>0.49736916755152366</c:v>
                </c:pt>
                <c:pt idx="11">
                  <c:v>0.75641682516038389</c:v>
                </c:pt>
              </c:numCache>
            </c:numRef>
          </c:val>
          <c:smooth val="0"/>
          <c:extLst>
            <c:ext xmlns:c16="http://schemas.microsoft.com/office/drawing/2014/chart" uri="{C3380CC4-5D6E-409C-BE32-E72D297353CC}">
              <c16:uniqueId val="{00000002-E1CD-49C6-A7BD-01E0349947AC}"/>
            </c:ext>
          </c:extLst>
        </c:ser>
        <c:dLbls>
          <c:showLegendKey val="0"/>
          <c:showVal val="0"/>
          <c:showCatName val="0"/>
          <c:showSerName val="0"/>
          <c:showPercent val="0"/>
          <c:showBubbleSize val="0"/>
        </c:dLbls>
        <c:marker val="1"/>
        <c:smooth val="0"/>
        <c:axId val="322164111"/>
        <c:axId val="322165359"/>
      </c:lineChart>
      <c:catAx>
        <c:axId val="32216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TW"/>
          </a:p>
        </c:txPr>
        <c:crossAx val="322165359"/>
        <c:crosses val="autoZero"/>
        <c:auto val="1"/>
        <c:lblAlgn val="ctr"/>
        <c:lblOffset val="100"/>
        <c:noMultiLvlLbl val="0"/>
      </c:catAx>
      <c:valAx>
        <c:axId val="322165359"/>
        <c:scaling>
          <c:orientation val="minMax"/>
          <c:max val="1"/>
          <c:min val="0.2"/>
        </c:scaling>
        <c:delete val="0"/>
        <c:axPos val="l"/>
        <c:majorGridlines>
          <c:spPr>
            <a:ln w="9525" cap="flat" cmpd="sng" algn="ctr">
              <a:solidFill>
                <a:schemeClr val="tx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TW"/>
          </a:p>
        </c:txPr>
        <c:crossAx val="322164111"/>
        <c:crosses val="autoZero"/>
        <c:crossBetween val="between"/>
        <c:majorUnit val="0.2"/>
      </c:valAx>
      <c:spPr>
        <a:noFill/>
        <a:ln>
          <a:noFill/>
        </a:ln>
        <a:effectLst/>
      </c:spPr>
    </c:plotArea>
    <c:legend>
      <c:legendPos val="b"/>
      <c:layout>
        <c:manualLayout>
          <c:xMode val="edge"/>
          <c:yMode val="edge"/>
          <c:x val="0.19988761385112716"/>
          <c:y val="4.7474705503500712E-2"/>
          <c:w val="0.59825320257836179"/>
          <c:h val="0.1081981177154966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65000"/>
          <a:lumOff val="3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Book Antiqua" panose="02040602050305030304" pitchFamily="18" charset="0"/>
                <a:ea typeface="標楷體" panose="03000509000000000000" pitchFamily="65" charset="-120"/>
                <a:cs typeface="+mn-cs"/>
              </a:defRPr>
            </a:pPr>
            <a:r>
              <a:rPr lang="zh-TW" altLang="en-US" sz="800"/>
              <a:t>單位：歲數</a:t>
            </a:r>
            <a:endParaRPr lang="zh-TW" altLang="en-US"/>
          </a:p>
        </c:rich>
      </c:tx>
      <c:layout>
        <c:manualLayout>
          <c:xMode val="edge"/>
          <c:yMode val="edge"/>
          <c:x val="3.6344755970924196E-3"/>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Book Antiqua" panose="02040602050305030304" pitchFamily="18" charset="0"/>
              <a:ea typeface="標楷體" panose="03000509000000000000" pitchFamily="65" charset="-120"/>
              <a:cs typeface="+mn-cs"/>
            </a:defRPr>
          </a:pPr>
          <a:endParaRPr lang="zh-TW"/>
        </a:p>
      </c:txPr>
    </c:title>
    <c:autoTitleDeleted val="0"/>
    <c:plotArea>
      <c:layout/>
      <c:lineChart>
        <c:grouping val="standard"/>
        <c:varyColors val="0"/>
        <c:ser>
          <c:idx val="0"/>
          <c:order val="0"/>
          <c:tx>
            <c:strRef>
              <c:f>工作表1!$B$1</c:f>
              <c:strCache>
                <c:ptCount val="1"/>
                <c:pt idx="0">
                  <c:v>平均餘命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標楷體" panose="03000509000000000000" pitchFamily="65" charset="-120"/>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工作表1!$B$2:$B$18</c:f>
              <c:numCache>
                <c:formatCode>##0.0</c:formatCode>
                <c:ptCount val="12"/>
                <c:pt idx="0">
                  <c:v>79.005455474000001</c:v>
                </c:pt>
                <c:pt idx="1">
                  <c:v>79.182333454000002</c:v>
                </c:pt>
                <c:pt idx="2">
                  <c:v>79.150000000000006</c:v>
                </c:pt>
                <c:pt idx="3">
                  <c:v>79.505897719999993</c:v>
                </c:pt>
                <c:pt idx="4">
                  <c:v>80.024498412</c:v>
                </c:pt>
                <c:pt idx="5">
                  <c:v>79.84</c:v>
                </c:pt>
                <c:pt idx="6">
                  <c:v>80.2</c:v>
                </c:pt>
                <c:pt idx="7">
                  <c:v>80</c:v>
                </c:pt>
                <c:pt idx="8">
                  <c:v>80.39</c:v>
                </c:pt>
                <c:pt idx="9">
                  <c:v>80.69</c:v>
                </c:pt>
                <c:pt idx="10">
                  <c:v>80.86</c:v>
                </c:pt>
                <c:pt idx="11">
                  <c:v>81.3</c:v>
                </c:pt>
              </c:numCache>
            </c:numRef>
          </c:val>
          <c:smooth val="0"/>
          <c:extLst>
            <c:ext xmlns:c16="http://schemas.microsoft.com/office/drawing/2014/chart" uri="{C3380CC4-5D6E-409C-BE32-E72D297353CC}">
              <c16:uniqueId val="{00000000-C3BC-4C71-8A04-870DC993ED87}"/>
            </c:ext>
          </c:extLst>
        </c:ser>
        <c:ser>
          <c:idx val="1"/>
          <c:order val="1"/>
          <c:tx>
            <c:strRef>
              <c:f>工作表1!$C$1</c:f>
              <c:strCache>
                <c:ptCount val="1"/>
                <c:pt idx="0">
                  <c:v>平均健康餘命</c:v>
                </c:pt>
              </c:strCache>
            </c:strRef>
          </c:tx>
          <c:spPr>
            <a:ln w="28575" cap="rnd">
              <a:solidFill>
                <a:schemeClr val="accent2"/>
              </a:solidFill>
              <a:round/>
            </a:ln>
            <a:effectLst/>
          </c:spPr>
          <c:marker>
            <c:symbol val="x"/>
            <c:size val="5"/>
            <c:spPr>
              <a:noFill/>
              <a:ln w="9525">
                <a:solidFill>
                  <a:schemeClr val="accent2"/>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標楷體" panose="03000509000000000000" pitchFamily="65" charset="-120"/>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工作表1!$A$2:$A$18</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工作表1!$C$2:$C$18</c:f>
              <c:numCache>
                <c:formatCode>##0.0</c:formatCode>
                <c:ptCount val="12"/>
                <c:pt idx="0">
                  <c:v>70.78</c:v>
                </c:pt>
                <c:pt idx="1">
                  <c:v>71.02</c:v>
                </c:pt>
                <c:pt idx="2">
                  <c:v>70.83</c:v>
                </c:pt>
                <c:pt idx="3">
                  <c:v>71.56</c:v>
                </c:pt>
                <c:pt idx="4">
                  <c:v>71.78</c:v>
                </c:pt>
                <c:pt idx="5">
                  <c:v>71.58</c:v>
                </c:pt>
                <c:pt idx="6">
                  <c:v>71.87</c:v>
                </c:pt>
                <c:pt idx="7">
                  <c:v>71.83</c:v>
                </c:pt>
                <c:pt idx="8">
                  <c:v>72.069999999999993</c:v>
                </c:pt>
                <c:pt idx="9">
                  <c:v>72.28</c:v>
                </c:pt>
                <c:pt idx="10">
                  <c:v>72.400000000000006</c:v>
                </c:pt>
              </c:numCache>
            </c:numRef>
          </c:val>
          <c:smooth val="0"/>
          <c:extLst>
            <c:ext xmlns:c16="http://schemas.microsoft.com/office/drawing/2014/chart" uri="{C3380CC4-5D6E-409C-BE32-E72D297353CC}">
              <c16:uniqueId val="{00000001-C3BC-4C71-8A04-870DC993ED87}"/>
            </c:ext>
          </c:extLst>
        </c:ser>
        <c:dLbls>
          <c:dLblPos val="t"/>
          <c:showLegendKey val="0"/>
          <c:showVal val="1"/>
          <c:showCatName val="0"/>
          <c:showSerName val="0"/>
          <c:showPercent val="0"/>
          <c:showBubbleSize val="0"/>
        </c:dLbls>
        <c:marker val="1"/>
        <c:smooth val="0"/>
        <c:axId val="1304096848"/>
        <c:axId val="1304100176"/>
      </c:lineChart>
      <c:catAx>
        <c:axId val="1304096848"/>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標楷體" panose="03000509000000000000" pitchFamily="65" charset="-120"/>
                <a:cs typeface="+mn-cs"/>
              </a:defRPr>
            </a:pPr>
            <a:endParaRPr lang="zh-TW"/>
          </a:p>
        </c:txPr>
        <c:crossAx val="1304100176"/>
        <c:crosses val="autoZero"/>
        <c:auto val="1"/>
        <c:lblAlgn val="ctr"/>
        <c:lblOffset val="100"/>
        <c:noMultiLvlLbl val="0"/>
      </c:catAx>
      <c:valAx>
        <c:axId val="1304100176"/>
        <c:scaling>
          <c:orientation val="minMax"/>
          <c:min val="65"/>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標楷體" panose="03000509000000000000" pitchFamily="65" charset="-120"/>
                <a:cs typeface="+mn-cs"/>
              </a:defRPr>
            </a:pPr>
            <a:endParaRPr lang="zh-TW"/>
          </a:p>
        </c:txPr>
        <c:crossAx val="1304096848"/>
        <c:crosses val="autoZero"/>
        <c:crossBetween val="between"/>
        <c:minorUnit val="5"/>
      </c:valAx>
      <c:spPr>
        <a:noFill/>
        <a:ln>
          <a:noFill/>
        </a:ln>
        <a:effectLst/>
      </c:spPr>
    </c:plotArea>
    <c:legend>
      <c:legendPos val="b"/>
      <c:layout>
        <c:manualLayout>
          <c:xMode val="edge"/>
          <c:yMode val="edge"/>
          <c:x val="0.19259259259259259"/>
          <c:y val="0.89284906954198295"/>
          <c:w val="0.59166666666666667"/>
          <c:h val="8.312690643399305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solidFill>
            <a:sysClr val="windowText" lastClr="000000"/>
          </a:solidFill>
          <a:latin typeface="Book Antiqua" panose="02040602050305030304" pitchFamily="18" charset="0"/>
          <a:ea typeface="標楷體" panose="03000509000000000000" pitchFamily="65" charset="-120"/>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r>
              <a:rPr lang="zh-TW" altLang="zh-TW" sz="800" b="0" i="0" u="none" strike="noStrike" baseline="0">
                <a:effectLst/>
              </a:rPr>
              <a:t>單位：元</a:t>
            </a:r>
            <a:r>
              <a:rPr lang="en-US" altLang="zh-TW" sz="800" b="0" i="0" u="none" strike="noStrike" baseline="0">
                <a:effectLst/>
              </a:rPr>
              <a:t>/</a:t>
            </a:r>
            <a:r>
              <a:rPr lang="zh-TW" altLang="zh-TW" sz="800" b="0" i="0" u="none" strike="noStrike" baseline="0">
                <a:effectLst/>
              </a:rPr>
              <a:t>人</a:t>
            </a:r>
            <a:endParaRPr lang="zh-TW" altLang="en-US" sz="800"/>
          </a:p>
        </c:rich>
      </c:tx>
      <c:layout>
        <c:manualLayout>
          <c:xMode val="edge"/>
          <c:yMode val="edge"/>
          <c:x val="2.4652230971128615E-3"/>
          <c:y val="9.2592592592592587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autoTitleDeleted val="0"/>
    <c:plotArea>
      <c:layout/>
      <c:lineChart>
        <c:grouping val="standard"/>
        <c:varyColors val="0"/>
        <c:ser>
          <c:idx val="0"/>
          <c:order val="0"/>
          <c:tx>
            <c:strRef>
              <c:f>Sum!$M$18</c:f>
              <c:strCache>
                <c:ptCount val="1"/>
                <c:pt idx="0">
                  <c:v>所有年齡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9F-47EF-8A73-14CDE73BE136}"/>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9F-47EF-8A73-14CDE73BE136}"/>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Sum!$L$20:$L$24</c:f>
              <c:strCache>
                <c:ptCount val="5"/>
                <c:pt idx="0">
                  <c:v>2016</c:v>
                </c:pt>
                <c:pt idx="1">
                  <c:v>2017</c:v>
                </c:pt>
                <c:pt idx="2">
                  <c:v>2018</c:v>
                </c:pt>
                <c:pt idx="3">
                  <c:v>2019</c:v>
                </c:pt>
                <c:pt idx="4">
                  <c:v>2020</c:v>
                </c:pt>
              </c:strCache>
            </c:strRef>
          </c:cat>
          <c:val>
            <c:numRef>
              <c:f>Sum!$M$20:$M$24</c:f>
              <c:numCache>
                <c:formatCode>_-* #,##0_-;\-* #,##0_-;_-* "-"??_-;_-@_-</c:formatCode>
                <c:ptCount val="5"/>
                <c:pt idx="0">
                  <c:v>104138.09401448059</c:v>
                </c:pt>
                <c:pt idx="1">
                  <c:v>108078.68169774345</c:v>
                </c:pt>
                <c:pt idx="2">
                  <c:v>112873.86583717004</c:v>
                </c:pt>
                <c:pt idx="3">
                  <c:v>114371.61613003694</c:v>
                </c:pt>
                <c:pt idx="4">
                  <c:v>124210.50621789758</c:v>
                </c:pt>
              </c:numCache>
            </c:numRef>
          </c:val>
          <c:smooth val="0"/>
          <c:extLst>
            <c:ext xmlns:c16="http://schemas.microsoft.com/office/drawing/2014/chart" uri="{C3380CC4-5D6E-409C-BE32-E72D297353CC}">
              <c16:uniqueId val="{00000000-899F-47EF-8A73-14CDE73BE136}"/>
            </c:ext>
          </c:extLst>
        </c:ser>
        <c:ser>
          <c:idx val="1"/>
          <c:order val="1"/>
          <c:tx>
            <c:strRef>
              <c:f>Sum!$N$18</c:f>
              <c:strCache>
                <c:ptCount val="1"/>
                <c:pt idx="0">
                  <c:v>0～59歲</c:v>
                </c:pt>
              </c:strCache>
            </c:strRef>
          </c:tx>
          <c:spPr>
            <a:ln w="28575" cap="rnd">
              <a:solidFill>
                <a:schemeClr val="accent2"/>
              </a:solidFill>
              <a:round/>
            </a:ln>
            <a:effectLst/>
          </c:spPr>
          <c:marker>
            <c:symbol val="star"/>
            <c:size val="5"/>
            <c:spPr>
              <a:solidFill>
                <a:schemeClr val="accent2"/>
              </a:solidFill>
              <a:ln w="9525">
                <a:solidFill>
                  <a:schemeClr val="accent2"/>
                </a:solidFill>
              </a:ln>
              <a:effectLst/>
            </c:spPr>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9F-47EF-8A73-14CDE73BE136}"/>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Sum!$L$20:$L$24</c:f>
              <c:strCache>
                <c:ptCount val="5"/>
                <c:pt idx="0">
                  <c:v>2016</c:v>
                </c:pt>
                <c:pt idx="1">
                  <c:v>2017</c:v>
                </c:pt>
                <c:pt idx="2">
                  <c:v>2018</c:v>
                </c:pt>
                <c:pt idx="3">
                  <c:v>2019</c:v>
                </c:pt>
                <c:pt idx="4">
                  <c:v>2020</c:v>
                </c:pt>
              </c:strCache>
            </c:strRef>
          </c:cat>
          <c:val>
            <c:numRef>
              <c:f>Sum!$N$20:$N$24</c:f>
              <c:numCache>
                <c:formatCode>_-* #,##0_-;\-* #,##0_-;_-* "-"??_-;_-@_-</c:formatCode>
                <c:ptCount val="5"/>
                <c:pt idx="0">
                  <c:v>80863.347909097152</c:v>
                </c:pt>
                <c:pt idx="1">
                  <c:v>84827.778542326341</c:v>
                </c:pt>
                <c:pt idx="2">
                  <c:v>88934.978170600734</c:v>
                </c:pt>
                <c:pt idx="3">
                  <c:v>90069.232584445257</c:v>
                </c:pt>
                <c:pt idx="4">
                  <c:v>98900.049385300372</c:v>
                </c:pt>
              </c:numCache>
            </c:numRef>
          </c:val>
          <c:smooth val="0"/>
          <c:extLst>
            <c:ext xmlns:c16="http://schemas.microsoft.com/office/drawing/2014/chart" uri="{C3380CC4-5D6E-409C-BE32-E72D297353CC}">
              <c16:uniqueId val="{00000001-899F-47EF-8A73-14CDE73BE136}"/>
            </c:ext>
          </c:extLst>
        </c:ser>
        <c:ser>
          <c:idx val="2"/>
          <c:order val="2"/>
          <c:tx>
            <c:strRef>
              <c:f>Sum!$O$18</c:f>
              <c:strCache>
                <c:ptCount val="1"/>
                <c:pt idx="0">
                  <c:v>60歲以上</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9F-47EF-8A73-14CDE73BE136}"/>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9F-47EF-8A73-14CDE73BE136}"/>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Sum!$L$20:$L$24</c:f>
              <c:strCache>
                <c:ptCount val="5"/>
                <c:pt idx="0">
                  <c:v>2016</c:v>
                </c:pt>
                <c:pt idx="1">
                  <c:v>2017</c:v>
                </c:pt>
                <c:pt idx="2">
                  <c:v>2018</c:v>
                </c:pt>
                <c:pt idx="3">
                  <c:v>2019</c:v>
                </c:pt>
                <c:pt idx="4">
                  <c:v>2020</c:v>
                </c:pt>
              </c:strCache>
            </c:strRef>
          </c:cat>
          <c:val>
            <c:numRef>
              <c:f>Sum!$O$20:$O$24</c:f>
              <c:numCache>
                <c:formatCode>_-* #,##0_-;\-* #,##0_-;_-* "-"??_-;_-@_-</c:formatCode>
                <c:ptCount val="5"/>
                <c:pt idx="0">
                  <c:v>137077.48376288018</c:v>
                </c:pt>
                <c:pt idx="1">
                  <c:v>139338.82008521803</c:v>
                </c:pt>
                <c:pt idx="2">
                  <c:v>143660.27429069535</c:v>
                </c:pt>
                <c:pt idx="3">
                  <c:v>144902.60398341136</c:v>
                </c:pt>
                <c:pt idx="4">
                  <c:v>154145.756977415</c:v>
                </c:pt>
              </c:numCache>
            </c:numRef>
          </c:val>
          <c:smooth val="0"/>
          <c:extLst>
            <c:ext xmlns:c16="http://schemas.microsoft.com/office/drawing/2014/chart" uri="{C3380CC4-5D6E-409C-BE32-E72D297353CC}">
              <c16:uniqueId val="{00000002-899F-47EF-8A73-14CDE73BE136}"/>
            </c:ext>
          </c:extLst>
        </c:ser>
        <c:dLbls>
          <c:showLegendKey val="0"/>
          <c:showVal val="0"/>
          <c:showCatName val="0"/>
          <c:showSerName val="0"/>
          <c:showPercent val="0"/>
          <c:showBubbleSize val="0"/>
        </c:dLbls>
        <c:marker val="1"/>
        <c:smooth val="0"/>
        <c:axId val="781582896"/>
        <c:axId val="781582064"/>
      </c:lineChart>
      <c:catAx>
        <c:axId val="78158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781582064"/>
        <c:crosses val="autoZero"/>
        <c:auto val="1"/>
        <c:lblAlgn val="ctr"/>
        <c:lblOffset val="100"/>
        <c:noMultiLvlLbl val="0"/>
      </c:catAx>
      <c:valAx>
        <c:axId val="781582064"/>
        <c:scaling>
          <c:orientation val="minMax"/>
          <c:min val="60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781582896"/>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5296-B759-472E-9A2F-82FA7DD8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4</Pages>
  <Words>260</Words>
  <Characters>1486</Characters>
  <Application>Microsoft Office Word</Application>
  <DocSecurity>0</DocSecurity>
  <Lines>12</Lines>
  <Paragraphs>3</Paragraphs>
  <ScaleCrop>false</ScaleCrop>
  <Company>LENOVO CUSTOMER</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MIKELIEN</dc:creator>
  <cp:lastModifiedBy>蔡鎮鴻</cp:lastModifiedBy>
  <cp:revision>42</cp:revision>
  <cp:lastPrinted>2020-06-19T06:09:00Z</cp:lastPrinted>
  <dcterms:created xsi:type="dcterms:W3CDTF">2017-06-01T05:52:00Z</dcterms:created>
  <dcterms:modified xsi:type="dcterms:W3CDTF">2022-06-29T08:30:00Z</dcterms:modified>
</cp:coreProperties>
</file>